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line="1228" w:lineRule="exact"/>
        <w:ind w:left="37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961691" cy="7802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961691" cy="780287"/>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0"/>
        <w:rPr>
          <w:rFonts w:ascii="Times New Roman" w:hAnsi="Times New Roman" w:cs="Times New Roman" w:eastAsia="Times New Roman" w:hint="default"/>
          <w:sz w:val="20"/>
          <w:szCs w:val="20"/>
        </w:rPr>
      </w:pPr>
    </w:p>
    <w:p>
      <w:pPr>
        <w:spacing w:before="112"/>
        <w:ind w:left="1" w:right="0" w:firstLine="0"/>
        <w:jc w:val="center"/>
        <w:rPr>
          <w:rFonts w:ascii="宋体" w:hAnsi="宋体" w:cs="宋体" w:eastAsia="宋体" w:hint="default"/>
          <w:sz w:val="36"/>
          <w:szCs w:val="36"/>
        </w:rPr>
      </w:pPr>
      <w:r>
        <w:rPr>
          <w:rFonts w:ascii="宋体" w:hAnsi="宋体" w:cs="宋体" w:eastAsia="宋体" w:hint="default"/>
          <w:b/>
          <w:bCs/>
          <w:sz w:val="36"/>
          <w:szCs w:val="36"/>
        </w:rPr>
        <w:t>广州广电运通金融电子股份有限公司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before="0"/>
        <w:ind w:right="0"/>
        <w:jc w:val="center"/>
        <w:rPr>
          <w:b w:val="0"/>
          <w:bCs w:val="0"/>
        </w:rPr>
      </w:pPr>
      <w:bookmarkStart w:name="_TOC_250000" w:id="1"/>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年度报告</w:t>
      </w:r>
      <w:bookmarkEnd w:id="1"/>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848" w:right="0" w:firstLine="0"/>
        <w:jc w:val="left"/>
        <w:rPr>
          <w:rFonts w:ascii="宋体" w:hAnsi="宋体" w:cs="宋体" w:eastAsia="宋体" w:hint="default"/>
          <w:sz w:val="32"/>
          <w:szCs w:val="32"/>
        </w:rPr>
      </w:pPr>
      <w:r>
        <w:rPr>
          <w:rFonts w:ascii="宋体" w:hAnsi="宋体" w:cs="宋体" w:eastAsia="宋体" w:hint="default"/>
          <w:b/>
          <w:bCs/>
          <w:sz w:val="32"/>
          <w:szCs w:val="32"/>
        </w:rPr>
        <w:t>二〇一三年三月</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tabs>
          <w:tab w:pos="4819" w:val="left" w:leader="none"/>
        </w:tabs>
        <w:spacing w:before="241"/>
        <w:ind w:left="0" w:right="0" w:firstLine="0"/>
        <w:jc w:val="center"/>
        <w:rPr>
          <w:rFonts w:ascii="Times New Roman" w:hAnsi="Times New Roman" w:cs="Times New Roman" w:eastAsia="Times New Roman" w:hint="default"/>
          <w:sz w:val="32"/>
          <w:szCs w:val="32"/>
        </w:rPr>
      </w:pPr>
      <w:r>
        <w:rPr>
          <w:rFonts w:ascii="宋体" w:hAnsi="宋体" w:cs="宋体" w:eastAsia="宋体" w:hint="default"/>
          <w:b/>
          <w:bCs/>
          <w:w w:val="95"/>
          <w:sz w:val="32"/>
          <w:szCs w:val="32"/>
        </w:rPr>
        <w:t>证券简称：广电运通</w:t>
        <w:tab/>
      </w: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sz w:val="32"/>
          <w:szCs w:val="32"/>
        </w:rPr>
      </w:r>
    </w:p>
    <w:p>
      <w:pPr>
        <w:spacing w:after="0"/>
        <w:jc w:val="center"/>
        <w:rPr>
          <w:rFonts w:ascii="Times New Roman" w:hAnsi="Times New Roman" w:cs="Times New Roman" w:eastAsia="Times New Roman"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4"/>
        <w:rPr>
          <w:rFonts w:ascii="Times New Roman" w:hAnsi="Times New Roman" w:cs="Times New Roman" w:eastAsia="Times New Roman" w:hint="default"/>
          <w:b/>
          <w:bCs/>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1"/>
        <w:rPr>
          <w:rFonts w:ascii="Times New Roman" w:hAnsi="Times New Roman" w:cs="Times New Roman" w:eastAsia="Times New Roman" w:hint="default"/>
          <w:b/>
          <w:bCs/>
          <w:sz w:val="26"/>
          <w:szCs w:val="26"/>
        </w:rPr>
      </w:pPr>
    </w:p>
    <w:p>
      <w:pPr>
        <w:pStyle w:val="Heading1"/>
        <w:spacing w:line="240" w:lineRule="auto"/>
        <w:ind w:left="2804"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81"/>
        <w:ind w:left="154"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公司负责人赵友永、主管会计工作负责人蒋春晨及会计机构负责人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符昀声明：保证年度报告中财务报告的真实、准确、完整。</w:t>
      </w:r>
      <w:r>
        <w:rPr>
          <w:rFonts w:ascii="宋体" w:hAnsi="宋体" w:cs="宋体" w:eastAsia="宋体" w:hint="default"/>
          <w:sz w:val="28"/>
          <w:szCs w:val="28"/>
        </w:rPr>
      </w:r>
    </w:p>
    <w:p>
      <w:pPr>
        <w:spacing w:before="16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8"/>
          <w:szCs w:val="28"/>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622,697,755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3.00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60" w:lineRule="auto" w:before="236"/>
        <w:ind w:left="715" w:right="0" w:hanging="562"/>
        <w:jc w:val="left"/>
        <w:rPr>
          <w:rFonts w:ascii="宋体" w:hAnsi="宋体" w:cs="宋体" w:eastAsia="宋体" w:hint="default"/>
          <w:sz w:val="28"/>
          <w:szCs w:val="28"/>
        </w:rPr>
      </w:pPr>
      <w:r>
        <w:rPr>
          <w:rFonts w:ascii="宋体" w:hAnsi="宋体" w:cs="宋体" w:eastAsia="宋体" w:hint="default"/>
          <w:b/>
          <w:bCs/>
          <w:spacing w:val="-23"/>
          <w:w w:val="99"/>
          <w:sz w:val="28"/>
          <w:szCs w:val="28"/>
        </w:rPr>
        <w:t>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4"/>
          <w:w w:val="99"/>
          <w:sz w:val="28"/>
          <w:szCs w:val="28"/>
        </w:rPr>
        <w:t> </w:t>
      </w:r>
      <w:r>
        <w:rPr>
          <w:rFonts w:ascii="宋体" w:hAnsi="宋体" w:cs="宋体" w:eastAsia="宋体" w:hint="default"/>
          <w:b/>
          <w:bCs/>
          <w:spacing w:val="-124"/>
          <w:w w:val="99"/>
          <w:sz w:val="28"/>
          <w:szCs w:val="28"/>
        </w:rPr>
      </w:r>
      <w:r>
        <w:rPr>
          <w:rFonts w:ascii="宋体" w:hAnsi="宋体" w:cs="宋体" w:eastAsia="宋体" w:hint="default"/>
          <w:b/>
          <w:bCs/>
          <w:spacing w:val="4"/>
          <w:w w:val="95"/>
          <w:sz w:val="28"/>
          <w:szCs w:val="28"/>
        </w:rPr>
        <w:t>本年度报告涉及未来计划等前瞻性陈述，不构成本公司对投资者的实质承</w:t>
      </w:r>
      <w:r>
        <w:rPr>
          <w:rFonts w:ascii="宋体" w:hAnsi="宋体" w:cs="宋体" w:eastAsia="宋体" w:hint="default"/>
          <w:sz w:val="28"/>
          <w:szCs w:val="28"/>
        </w:rPr>
      </w:r>
    </w:p>
    <w:p>
      <w:pPr>
        <w:spacing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诺，请投资者注意投资风险。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6"/>
          <w:szCs w:val="26"/>
        </w:rPr>
      </w:pPr>
    </w:p>
    <w:p>
      <w:pPr>
        <w:spacing w:line="460" w:lineRule="exact" w:before="0"/>
        <w:ind w:left="1"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155</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pStyle w:val="Heading1"/>
        <w:spacing w:line="240" w:lineRule="auto" w:before="426"/>
        <w:ind w:right="0"/>
        <w:jc w:val="center"/>
        <w:rPr>
          <w:b w:val="0"/>
          <w:bCs w:val="0"/>
        </w:rPr>
      </w:pPr>
      <w:r>
        <w:rPr/>
        <w:t>释义</w:t>
      </w:r>
      <w:r>
        <w:rPr>
          <w:b w:val="0"/>
          <w:bCs w:val="0"/>
        </w:rPr>
      </w:r>
    </w:p>
    <w:p>
      <w:pPr>
        <w:spacing w:line="240" w:lineRule="auto" w:before="3"/>
        <w:rPr>
          <w:rFonts w:ascii="宋体" w:hAnsi="宋体" w:cs="宋体" w:eastAsia="宋体"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3524"/>
        <w:gridCol w:w="610"/>
        <w:gridCol w:w="5435"/>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运通电子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广州市人民政府国有资产监督管理委员会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Banking Equipment (HK)</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（广电运通国际有限公司）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支点投资</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广州龙源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GRGI</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 </w:t>
            </w:r>
            <w:r>
              <w:rPr>
                <w:rFonts w:ascii="Times New Roman"/>
                <w:spacing w:val="-3"/>
                <w:sz w:val="18"/>
              </w:rPr>
              <w:t>INTERNATIONAL</w:t>
            </w:r>
            <w:r>
              <w:rPr>
                <w:rFonts w:ascii="Times New Roman"/>
                <w:sz w:val="18"/>
              </w:rPr>
              <w:t> </w:t>
            </w:r>
            <w:r>
              <w:rPr>
                <w:rFonts w:ascii="Times New Roman"/>
                <w:spacing w:val="-6"/>
                <w:sz w:val="18"/>
              </w:rPr>
              <w:t>LTD</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深圳鹏通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江苏保通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江苏保通金融外包服务有限公司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石家庄银通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石家庄银通金融服务有限公司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广电房地产</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盈富创投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广电物业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海华电子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7"/>
                <w:sz w:val="18"/>
              </w:rPr>
              <w:t>ATM</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银行自动柜员机（</w:t>
            </w:r>
            <w:r>
              <w:rPr>
                <w:rFonts w:ascii="Times New Roman" w:hAnsi="Times New Roman" w:cs="Times New Roman" w:eastAsia="Times New Roman" w:hint="default"/>
                <w:sz w:val="18"/>
                <w:szCs w:val="18"/>
              </w:rPr>
              <w:t>Automatic </w:t>
            </w:r>
            <w:r>
              <w:rPr>
                <w:rFonts w:ascii="Times New Roman" w:hAnsi="Times New Roman" w:cs="Times New Roman" w:eastAsia="Times New Roman" w:hint="default"/>
                <w:spacing w:val="-3"/>
                <w:sz w:val="18"/>
                <w:szCs w:val="18"/>
              </w:rPr>
              <w:t>Teller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AFC</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2" w:lineRule="auto" w:before="51"/>
              <w:ind w:left="28" w:right="122"/>
              <w:jc w:val="left"/>
              <w:rPr>
                <w:rFonts w:ascii="宋体" w:hAnsi="宋体" w:cs="宋体" w:eastAsia="宋体" w:hint="default"/>
                <w:sz w:val="18"/>
                <w:szCs w:val="18"/>
              </w:rPr>
            </w:pPr>
            <w:r>
              <w:rPr>
                <w:rFonts w:ascii="宋体" w:hAnsi="宋体" w:cs="宋体" w:eastAsia="宋体" w:hint="default"/>
                <w:sz w:val="18"/>
                <w:szCs w:val="18"/>
              </w:rPr>
              <w:t>地铁、轻轨、铁道、高铁等轨道交通票卡处理设备（</w:t>
            </w:r>
            <w:r>
              <w:rPr>
                <w:rFonts w:ascii="Times New Roman" w:hAnsi="Times New Roman" w:cs="Times New Roman" w:eastAsia="Times New Roman" w:hint="default"/>
                <w:sz w:val="18"/>
                <w:szCs w:val="18"/>
              </w:rPr>
              <w:t>Automatic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Fare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Collection</w:t>
            </w:r>
            <w:r>
              <w:rPr>
                <w:rFonts w:ascii="宋体" w:hAnsi="宋体" w:cs="宋体" w:eastAsia="宋体" w:hint="default"/>
                <w:spacing w:val="-6"/>
                <w:sz w:val="18"/>
                <w:szCs w:val="18"/>
              </w:rPr>
              <w:t>），主要包括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TVM</w:t>
            </w:r>
            <w:r>
              <w:rPr>
                <w:rFonts w:ascii="宋体" w:hAnsi="宋体" w:cs="宋体" w:eastAsia="宋体" w:hint="default"/>
                <w:sz w:val="18"/>
                <w:szCs w:val="18"/>
              </w:rPr>
              <w:t>、自动检票机、自动验票机等设备</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3"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750" w:right="384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公司存在市场竞争加剧风险、经营成本上升风险、海外业务不稳定风险等，</w:t>
      </w:r>
      <w:r>
        <w:rPr>
          <w:rFonts w:ascii="宋体" w:hAnsi="宋体" w:cs="宋体" w:eastAsia="宋体" w:hint="default"/>
          <w:b/>
          <w:bCs/>
          <w:spacing w:val="1"/>
          <w:w w:val="99"/>
          <w:sz w:val="28"/>
          <w:szCs w:val="28"/>
        </w:rPr>
        <w:t> </w:t>
      </w:r>
      <w:r>
        <w:rPr>
          <w:rFonts w:ascii="宋体" w:hAnsi="宋体" w:cs="宋体" w:eastAsia="宋体" w:hint="default"/>
          <w:b/>
          <w:bCs/>
          <w:spacing w:val="-13"/>
          <w:w w:val="99"/>
          <w:sz w:val="28"/>
          <w:szCs w:val="28"/>
        </w:rPr>
        <w:t>敬请广大投资者注意投资风险。详细内容见本报告“第四节（八）</w:t>
      </w:r>
      <w:r>
        <w:rPr>
          <w:rFonts w:ascii="Times New Roman" w:hAnsi="Times New Roman" w:cs="Times New Roman" w:eastAsia="Times New Roman" w:hint="default"/>
          <w:b/>
          <w:bCs/>
          <w:spacing w:val="-13"/>
          <w:w w:val="99"/>
          <w:sz w:val="28"/>
          <w:szCs w:val="28"/>
        </w:rPr>
        <w:t>5</w:t>
      </w:r>
      <w:r>
        <w:rPr>
          <w:rFonts w:ascii="宋体" w:hAnsi="宋体" w:cs="宋体" w:eastAsia="宋体" w:hint="default"/>
          <w:b/>
          <w:bCs/>
          <w:spacing w:val="-13"/>
          <w:w w:val="99"/>
          <w:sz w:val="28"/>
          <w:szCs w:val="28"/>
        </w:rPr>
        <w:t>、风险因素”。</w:t>
      </w:r>
      <w:r>
        <w:rPr>
          <w:rFonts w:ascii="宋体" w:hAnsi="宋体" w:cs="宋体" w:eastAsia="宋体" w:hint="default"/>
          <w:spacing w:val="-13"/>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0"/>
        <w:jc w:val="center"/>
        <w:rPr>
          <w:b w:val="0"/>
          <w:bCs w:val="0"/>
        </w:rPr>
      </w:pP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28"/>
        <w:gridCol w:w="2363"/>
        <w:gridCol w:w="1789"/>
        <w:gridCol w:w="2189"/>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63"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广电运通</w:t>
            </w:r>
          </w:p>
        </w:tc>
        <w:tc>
          <w:tcPr>
            <w:tcW w:w="1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002152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4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广电运通</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16"/>
                <w:sz w:val="18"/>
              </w:rPr>
              <w:t> </w:t>
            </w:r>
            <w:r>
              <w:rPr>
                <w:rFonts w:ascii="Times New Roman"/>
                <w:sz w:val="18"/>
              </w:rPr>
              <w:t>Co.,Ltd.</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9"/>
                <w:sz w:val="18"/>
              </w:rPr>
              <w:t> </w:t>
            </w:r>
            <w:r>
              <w:rPr>
                <w:rFonts w:ascii="Times New Roman"/>
                <w:sz w:val="18"/>
              </w:rPr>
              <w:t>Banking</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赵友永</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9">
              <w:r>
                <w:rPr>
                  <w:rFonts w:ascii="Times New Roman"/>
                  <w:sz w:val="18"/>
                </w:rPr>
                <w:t>www.grgbanking.com</w:t>
              </w:r>
            </w:hyperlink>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4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王英</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020-82188517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020-82188900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020-82188517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020-82188517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222"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16"/>
        <w:gridCol w:w="1594"/>
        <w:gridCol w:w="2026"/>
        <w:gridCol w:w="1626"/>
        <w:gridCol w:w="1586"/>
        <w:gridCol w:w="1594"/>
      </w:tblGrid>
      <w:tr>
        <w:trPr>
          <w:trHeight w:val="160" w:hRule="exact"/>
        </w:trPr>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38" w:right="85"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31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20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626" w:type="dxa"/>
            <w:vMerge/>
            <w:tcBorders>
              <w:left w:val="single" w:sz="4" w:space="0" w:color="000000"/>
              <w:right w:val="single" w:sz="4" w:space="0" w:color="000000"/>
            </w:tcBorders>
            <w:shd w:val="clear" w:color="auto" w:fill="D3D3D3"/>
          </w:tcPr>
          <w:p>
            <w:pPr/>
          </w:p>
        </w:tc>
        <w:tc>
          <w:tcPr>
            <w:tcW w:w="15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广州市天河区黄埔大道 西平云路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16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4401011103795</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440106716340473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71634047-3</w:t>
            </w:r>
          </w:p>
        </w:tc>
      </w:tr>
      <w:tr>
        <w:trPr>
          <w:trHeight w:val="393" w:hRule="exact"/>
        </w:trPr>
        <w:tc>
          <w:tcPr>
            <w:tcW w:w="1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2026" w:type="dxa"/>
            <w:vMerge/>
            <w:tcBorders>
              <w:left w:val="single" w:sz="4" w:space="0" w:color="000000"/>
              <w:right w:val="single" w:sz="4" w:space="0" w:color="000000"/>
            </w:tcBorders>
          </w:tcPr>
          <w:p>
            <w:pPr/>
          </w:p>
        </w:tc>
        <w:tc>
          <w:tcPr>
            <w:tcW w:w="1626" w:type="dxa"/>
            <w:vMerge/>
            <w:tcBorders>
              <w:left w:val="single" w:sz="4" w:space="0" w:color="000000"/>
              <w:right w:val="single" w:sz="4" w:space="0" w:color="000000"/>
            </w:tcBorders>
          </w:tcPr>
          <w:p>
            <w:pPr/>
          </w:p>
        </w:tc>
        <w:tc>
          <w:tcPr>
            <w:tcW w:w="15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0" w:hRule="exact"/>
        </w:trPr>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0" w:hRule="exact"/>
        </w:trPr>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广州市萝岗区科学城科 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6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440101000000880</w:t>
            </w:r>
          </w:p>
        </w:tc>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440106716340473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71634047-3</w:t>
            </w:r>
          </w:p>
        </w:tc>
      </w:tr>
      <w:tr>
        <w:trPr>
          <w:trHeight w:val="393" w:hRule="exact"/>
        </w:trPr>
        <w:tc>
          <w:tcPr>
            <w:tcW w:w="1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2026" w:type="dxa"/>
            <w:vMerge/>
            <w:tcBorders>
              <w:left w:val="single" w:sz="4" w:space="0" w:color="000000"/>
              <w:right w:val="single" w:sz="4" w:space="0" w:color="000000"/>
            </w:tcBorders>
          </w:tcPr>
          <w:p>
            <w:pPr/>
          </w:p>
        </w:tc>
        <w:tc>
          <w:tcPr>
            <w:tcW w:w="1626" w:type="dxa"/>
            <w:vMerge/>
            <w:tcBorders>
              <w:left w:val="single" w:sz="4" w:space="0" w:color="000000"/>
              <w:right w:val="single" w:sz="4" w:space="0" w:color="000000"/>
            </w:tcBorders>
          </w:tcPr>
          <w:p>
            <w:pPr/>
          </w:p>
        </w:tc>
        <w:tc>
          <w:tcPr>
            <w:tcW w:w="158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0" w:hRule="exact"/>
        </w:trPr>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2026"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c>
          <w:tcPr>
            <w:tcW w:w="158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4"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32" w:type="dxa"/>
            <w:gridSpan w:val="4"/>
            <w:tcBorders>
              <w:top w:val="single" w:sz="4" w:space="0" w:color="000000"/>
              <w:left w:val="single" w:sz="10" w:space="0" w:color="D3D3D3"/>
              <w:bottom w:val="single" w:sz="4" w:space="0" w:color="000000"/>
              <w:right w:val="single" w:sz="4" w:space="0" w:color="000000"/>
            </w:tcBorders>
          </w:tcPr>
          <w:p>
            <w:pPr>
              <w:pStyle w:val="TableParagraph"/>
              <w:spacing w:line="300" w:lineRule="auto" w:before="51"/>
              <w:ind w:left="15" w:right="2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月在广州市工商行政管理局变更登记，公司经营范围增加了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对自 动柜员机提供日常维护与管理服务；对现金及有价证券提供清分处理服务。</w:t>
            </w:r>
            <w:r>
              <w:rPr>
                <w:rFonts w:ascii="Times New Roman" w:hAnsi="Times New Roman" w:cs="Times New Roman" w:eastAsia="Times New Roman" w:hint="default"/>
                <w:sz w:val="18"/>
                <w:szCs w:val="18"/>
              </w:rPr>
              <w:t>”</w:t>
            </w:r>
          </w:p>
        </w:tc>
      </w:tr>
      <w:tr>
        <w:trPr>
          <w:trHeight w:val="402" w:hRule="exact"/>
        </w:trPr>
        <w:tc>
          <w:tcPr>
            <w:tcW w:w="29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832"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spacing w:before="26"/>
        <w:ind w:left="154" w:right="222"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22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80"/>
        <w:gridCol w:w="6688"/>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上海市黄埔区南京东路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王建民、蔡洁瑜</w:t>
            </w:r>
          </w:p>
        </w:tc>
      </w:tr>
    </w:tbl>
    <w:p>
      <w:pPr>
        <w:pStyle w:val="BodyText"/>
        <w:spacing w:line="240" w:lineRule="auto" w:before="51"/>
        <w:ind w:right="222"/>
        <w:jc w:val="left"/>
      </w:pPr>
      <w:r>
        <w:rPr/>
        <w:t>公司聘请的报告期内履行持续督导职责的保荐机构</w:t>
      </w:r>
    </w:p>
    <w:p>
      <w:pPr>
        <w:pStyle w:val="BodyText"/>
        <w:spacing w:line="338" w:lineRule="auto" w:before="117"/>
        <w:ind w:right="5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2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1,724,211,269.52</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578,631,983.99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506,533,839.64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475,131,689.63</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558,026,987.53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488,890,094.73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463,874,200.56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856,899,247.74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498,188,459.43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118,922,359.04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596" w:type="dxa"/>
            <w:vMerge w:val="restart"/>
            <w:tcBorders>
              <w:top w:val="nil" w:sz="6" w:space="0" w:color="auto"/>
              <w:left w:val="single" w:sz="4" w:space="0" w:color="000000"/>
              <w:right w:val="single" w:sz="4" w:space="0" w:color="000000"/>
            </w:tcBorders>
            <w:shd w:val="clear" w:color="auto" w:fill="D3D3D3"/>
          </w:tcPr>
          <w:p>
            <w:pPr/>
          </w:p>
        </w:tc>
        <w:tc>
          <w:tcPr>
            <w:tcW w:w="17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bottom w:val="nil" w:sz="6" w:space="0" w:color="auto"/>
              <w:right w:val="single" w:sz="4" w:space="0" w:color="000000"/>
            </w:tcBorders>
            <w:shd w:val="clear" w:color="auto" w:fill="D3D3D3"/>
          </w:tcPr>
          <w:p>
            <w:pPr/>
          </w:p>
        </w:tc>
        <w:tc>
          <w:tcPr>
            <w:tcW w:w="17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596" w:type="dxa"/>
            <w:vMerge/>
            <w:tcBorders>
              <w:left w:val="single" w:sz="4" w:space="0" w:color="000000"/>
              <w:bottom w:val="nil" w:sz="6" w:space="0" w:color="auto"/>
              <w:right w:val="single" w:sz="4" w:space="0" w:color="000000"/>
            </w:tcBorders>
            <w:shd w:val="clear" w:color="auto" w:fill="D3D3D3"/>
          </w:tcPr>
          <w:p>
            <w:pPr/>
          </w:p>
        </w:tc>
        <w:tc>
          <w:tcPr>
            <w:tcW w:w="1750" w:type="dxa"/>
            <w:vMerge/>
            <w:tcBorders>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bottom w:val="nil" w:sz="6" w:space="0" w:color="auto"/>
              <w:right w:val="single" w:sz="4" w:space="0" w:color="000000"/>
            </w:tcBorders>
            <w:shd w:val="clear" w:color="auto" w:fill="D3D3D3"/>
          </w:tcPr>
          <w:p>
            <w:pPr/>
          </w:p>
        </w:tc>
        <w:tc>
          <w:tcPr>
            <w:tcW w:w="17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4,020,427,291.24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3,377,610,273.95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2,773,932,857.92</w:t>
            </w:r>
          </w:p>
        </w:tc>
      </w:tr>
      <w:tr>
        <w:trPr>
          <w:trHeight w:val="357"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50" w:type="dxa"/>
            <w:tcBorders>
              <w:top w:val="single" w:sz="4" w:space="0" w:color="000000"/>
              <w:left w:val="single" w:sz="13" w:space="0" w:color="D3D3D3"/>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9"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w:t>
            </w:r>
          </w:p>
        </w:tc>
        <w:tc>
          <w:tcPr>
            <w:tcW w:w="1750"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2,968,241,852.43</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2,436,881,894.63</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21.80%</w:t>
            </w:r>
          </w:p>
        </w:tc>
        <w:tc>
          <w:tcPr>
            <w:tcW w:w="1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2,007,851,358.88</w:t>
            </w:r>
          </w:p>
        </w:tc>
      </w:tr>
      <w:tr>
        <w:trPr>
          <w:trHeight w:val="353"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1750" w:type="dxa"/>
            <w:tcBorders>
              <w:top w:val="nil" w:sz="6" w:space="0" w:color="auto"/>
              <w:left w:val="single" w:sz="13" w:space="0" w:color="D3D3D3"/>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9" w:type="dxa"/>
            <w:tcBorders>
              <w:top w:val="nil" w:sz="6" w:space="0" w:color="auto"/>
              <w:left w:val="single" w:sz="4" w:space="0" w:color="000000"/>
              <w:bottom w:val="single" w:sz="4" w:space="0" w:color="000000"/>
              <w:right w:val="single" w:sz="4" w:space="0" w:color="000000"/>
            </w:tcBorders>
          </w:tcPr>
          <w:p>
            <w:pPr/>
          </w:p>
        </w:tc>
        <w:tc>
          <w:tcPr>
            <w:tcW w:w="1735"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、同时按照国际会计准则与按中国会计准则披露的财务报告中净利润和净资产</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、同时按照境外会计准则与按中国会计准则披露的财务报告中净利润和净资产差异情况</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、境内外会计准则下会计数据差异原因说明</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-465,475.26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-1,055,763.49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1,442,842.10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22,702,826.74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17,274,305.59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11,095,535.06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667,244.28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4,601,511.50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540,781.18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2,388,303.92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3,170,320.67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1,817,257.36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-88,704.62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5,988.02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4,411.91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20,604,996.46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17,643,744.91</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11,257,489.07</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2" w:lineRule="auto" w:before="51"/>
        <w:ind w:right="148"/>
        <w:jc w:val="left"/>
      </w:pPr>
      <w:r>
        <w:rPr>
          <w:spacing w:val="-2"/>
        </w:rPr>
        <w:t>注：非经常性损益项目合计</w:t>
      </w:r>
      <w:r>
        <w:rPr>
          <w:rFonts w:ascii="Times New Roman" w:hAnsi="Times New Roman" w:cs="Times New Roman" w:eastAsia="Times New Roman" w:hint="default"/>
          <w:spacing w:val="-2"/>
        </w:rPr>
        <w:t>=</w:t>
      </w:r>
      <w:r>
        <w:rPr>
          <w:spacing w:val="-2"/>
        </w:rPr>
        <w:t>非流动资产处置损益</w:t>
      </w:r>
      <w:r>
        <w:rPr>
          <w:rFonts w:ascii="Times New Roman" w:hAnsi="Times New Roman" w:cs="Times New Roman" w:eastAsia="Times New Roman" w:hint="default"/>
          <w:spacing w:val="-2"/>
        </w:rPr>
        <w:t>+</w:t>
      </w:r>
      <w:r>
        <w:rPr>
          <w:spacing w:val="-2"/>
        </w:rPr>
        <w:t>计入当期损益的政府补助</w:t>
      </w:r>
      <w:r>
        <w:rPr>
          <w:rFonts w:ascii="Times New Roman" w:hAnsi="Times New Roman" w:cs="Times New Roman" w:eastAsia="Times New Roman" w:hint="default"/>
          <w:spacing w:val="-2"/>
        </w:rPr>
        <w:t>+</w:t>
      </w:r>
      <w:r>
        <w:rPr>
          <w:spacing w:val="-2"/>
        </w:rPr>
        <w:t>除上述各项之外的其他营业外收入和支出</w:t>
      </w:r>
      <w:r>
        <w:rPr>
          <w:rFonts w:ascii="Times New Roman" w:hAnsi="Times New Roman" w:cs="Times New Roman" w:eastAsia="Times New Roman" w:hint="default"/>
          <w:spacing w:val="-2"/>
        </w:rPr>
        <w:t>-</w:t>
      </w:r>
      <w:r>
        <w:rPr>
          <w:spacing w:val="-2"/>
        </w:rPr>
        <w:t>所得</w:t>
      </w:r>
      <w:r>
        <w:rPr>
          <w:spacing w:val="-65"/>
        </w:rPr>
        <w:t> </w:t>
      </w:r>
      <w:r>
        <w:rPr/>
        <w:t>税影响额</w:t>
      </w:r>
      <w:r>
        <w:rPr>
          <w:rFonts w:ascii="Times New Roman" w:hAnsi="Times New Roman" w:cs="Times New Roman" w:eastAsia="Times New Roman" w:hint="default"/>
        </w:rPr>
        <w:t>-</w:t>
      </w:r>
      <w:r>
        <w:rPr/>
        <w:t>少数股东权益影响额</w:t>
      </w:r>
    </w:p>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91" w:firstLine="360"/>
        <w:jc w:val="both"/>
      </w:pPr>
      <w:r>
        <w:rPr>
          <w:rFonts w:ascii="Times New Roman" w:hAnsi="Times New Roman" w:cs="Times New Roman" w:eastAsia="Times New Roman" w:hint="default"/>
        </w:rPr>
        <w:t>2012</w:t>
      </w:r>
      <w:r>
        <w:rPr/>
        <w:t>年，面临国内外严峻复杂的经济形势，公司紧紧围绕</w:t>
      </w:r>
      <w:r>
        <w:rPr>
          <w:rFonts w:ascii="Times New Roman" w:hAnsi="Times New Roman" w:cs="Times New Roman" w:eastAsia="Times New Roman" w:hint="default"/>
        </w:rPr>
        <w:t>“</w:t>
      </w:r>
      <w:r>
        <w:rPr/>
        <w:t>新定位</w:t>
      </w:r>
      <w:r>
        <w:rPr>
          <w:rFonts w:ascii="Times New Roman" w:hAnsi="Times New Roman" w:cs="Times New Roman" w:eastAsia="Times New Roman" w:hint="default"/>
        </w:rPr>
        <w:t>•</w:t>
      </w:r>
      <w:r>
        <w:rPr/>
        <w:t>新起点，以系统思维智绘未来</w:t>
      </w:r>
      <w:r>
        <w:rPr>
          <w:rFonts w:ascii="Times New Roman" w:hAnsi="Times New Roman" w:cs="Times New Roman" w:eastAsia="Times New Roman" w:hint="default"/>
        </w:rPr>
        <w:t>”</w:t>
      </w:r>
      <w:r>
        <w:rPr/>
        <w:t>的经营主题，审时度 </w:t>
      </w:r>
      <w:r>
        <w:rPr>
          <w:spacing w:val="-2"/>
        </w:rPr>
        <w:t>势，积极调整业务策略，持续完善核心技术，提升企业的创新领导力，强化客户关系的价值培育与品牌管理，构建灵活的运</w:t>
      </w:r>
      <w:r>
        <w:rPr>
          <w:spacing w:val="-66"/>
        </w:rPr>
        <w:t> </w:t>
      </w:r>
      <w:r>
        <w:rPr>
          <w:spacing w:val="-66"/>
        </w:rPr>
      </w:r>
      <w:r>
        <w:rPr/>
        <w:t>营体系和价值共享网络，不断巩固、深化国内</w:t>
      </w:r>
      <w:r>
        <w:rPr>
          <w:rFonts w:ascii="Times New Roman" w:hAnsi="Times New Roman" w:cs="Times New Roman" w:eastAsia="Times New Roman" w:hint="default"/>
        </w:rPr>
        <w:t>ATM</w:t>
      </w:r>
      <w:r>
        <w:rPr/>
        <w:t>、</w:t>
      </w:r>
      <w:r>
        <w:rPr>
          <w:rFonts w:ascii="Times New Roman" w:hAnsi="Times New Roman" w:cs="Times New Roman" w:eastAsia="Times New Roman" w:hint="default"/>
        </w:rPr>
        <w:t>AFC</w:t>
      </w:r>
      <w:r>
        <w:rPr/>
        <w:t>市场地位，加快清分机、</w:t>
      </w:r>
      <w:r>
        <w:rPr>
          <w:rFonts w:ascii="Times New Roman" w:hAnsi="Times New Roman" w:cs="Times New Roman" w:eastAsia="Times New Roman" w:hint="default"/>
        </w:rPr>
        <w:t>VTM</w:t>
      </w:r>
      <w:r>
        <w:rPr/>
        <w:t>等新产品攻关，加大海外市场拓展</w:t>
      </w:r>
      <w:r>
        <w:rPr>
          <w:spacing w:val="-74"/>
        </w:rPr>
        <w:t> </w:t>
      </w:r>
      <w:r>
        <w:rPr>
          <w:spacing w:val="-74"/>
        </w:rPr>
      </w:r>
      <w:r>
        <w:rPr/>
        <w:t>力度，加快金融服务市场的产业布局，报告期内公司整体经营状况保持稳健发展态势。</w:t>
      </w:r>
    </w:p>
    <w:p>
      <w:pPr>
        <w:spacing w:line="240" w:lineRule="auto" w:before="12"/>
        <w:rPr>
          <w:rFonts w:ascii="宋体" w:hAnsi="宋体" w:cs="宋体" w:eastAsia="宋体" w:hint="default"/>
          <w:sz w:val="13"/>
          <w:szCs w:val="13"/>
        </w:rPr>
      </w:pPr>
    </w:p>
    <w:p>
      <w:pPr>
        <w:pStyle w:val="BodyText"/>
        <w:spacing w:line="314" w:lineRule="auto"/>
        <w:ind w:right="90" w:firstLine="360"/>
        <w:jc w:val="left"/>
      </w:pPr>
      <w:r>
        <w:rPr/>
        <w:t>在</w:t>
      </w:r>
      <w:r>
        <w:rPr>
          <w:rFonts w:ascii="Times New Roman" w:hAnsi="Times New Roman" w:cs="Times New Roman" w:eastAsia="Times New Roman" w:hint="default"/>
        </w:rPr>
        <w:t>ATM</w:t>
      </w:r>
      <w:r>
        <w:rPr/>
        <w:t>国内市场上，农信、地方性城商行市场整体进展良好，国有大行、股份制银行、商行、农信等并行发展的多元 </w:t>
      </w:r>
      <w:r>
        <w:rPr>
          <w:spacing w:val="-2"/>
        </w:rPr>
        <w:t>化市场格局进一步明显，客户行业均衡性有所提高，公司整体抗风险能力逐渐增强。银行总行项目持续获得突破，取得中总</w:t>
      </w:r>
      <w:r>
        <w:rPr>
          <w:spacing w:val="-66"/>
        </w:rPr>
        <w:t> </w:t>
      </w:r>
      <w:r>
        <w:rPr>
          <w:spacing w:val="-66"/>
        </w:rPr>
      </w:r>
      <w:r>
        <w:rPr/>
        <w:t>行、农总行、建总行、交总行以及邮政邮储等多个总行级批量采购合同；建行、农信市场继续保持快速增长；股份制银行、 </w:t>
      </w:r>
      <w:r>
        <w:rPr>
          <w:spacing w:val="-2"/>
        </w:rPr>
        <w:t>地方商业银行等市场也取得良好业绩，同比上年均实现较好增长；精耕细作、细分区域，深入拓展各行业市场，全年新增分</w:t>
      </w:r>
      <w:r>
        <w:rPr>
          <w:spacing w:val="-66"/>
        </w:rPr>
        <w:t> </w:t>
      </w:r>
      <w:r>
        <w:rPr>
          <w:spacing w:val="-66"/>
        </w:rPr>
      </w:r>
      <w:r>
        <w:rPr/>
        <w:t>行级银行客户</w:t>
      </w:r>
      <w:r>
        <w:rPr>
          <w:rFonts w:ascii="Times New Roman" w:hAnsi="Times New Roman" w:cs="Times New Roman" w:eastAsia="Times New Roman" w:hint="default"/>
        </w:rPr>
        <w:t>128</w:t>
      </w:r>
      <w:r>
        <w:rPr/>
        <w:t>家，国内市场</w:t>
      </w:r>
      <w:r>
        <w:rPr>
          <w:rFonts w:ascii="Times New Roman" w:hAnsi="Times New Roman" w:cs="Times New Roman" w:eastAsia="Times New Roman" w:hint="default"/>
        </w:rPr>
        <w:t>ATM</w:t>
      </w:r>
      <w:r>
        <w:rPr/>
        <w:t>销售再创新高。</w:t>
      </w:r>
    </w:p>
    <w:p>
      <w:pPr>
        <w:pStyle w:val="BodyText"/>
        <w:spacing w:line="300" w:lineRule="auto" w:before="157"/>
        <w:ind w:right="191" w:firstLine="360"/>
        <w:jc w:val="both"/>
      </w:pPr>
      <w:r>
        <w:rPr/>
        <w:t>在</w:t>
      </w:r>
      <w:r>
        <w:rPr>
          <w:rFonts w:ascii="Times New Roman" w:hAnsi="Times New Roman" w:cs="Times New Roman" w:eastAsia="Times New Roman" w:hint="default"/>
        </w:rPr>
        <w:t>ATM</w:t>
      </w:r>
      <w:r>
        <w:rPr/>
        <w:t>海外市场上，由于</w:t>
      </w:r>
      <w:r>
        <w:rPr>
          <w:rFonts w:ascii="Times New Roman" w:hAnsi="Times New Roman" w:cs="Times New Roman" w:eastAsia="Times New Roman" w:hint="default"/>
        </w:rPr>
        <w:t>2012</w:t>
      </w:r>
      <w:r>
        <w:rPr/>
        <w:t>年全球经济低迷，伊朗、土耳其等主要市场合同额同比下降，为此，公司积极应对不利 形势，通过完善海外业绩考核与管理办法，理性定位目标市场，明确重点市场、重点投入、重点突破，积极推进</w:t>
      </w:r>
      <w:r>
        <w:rPr>
          <w:rFonts w:ascii="Times New Roman" w:hAnsi="Times New Roman" w:cs="Times New Roman" w:eastAsia="Times New Roman" w:hint="default"/>
        </w:rPr>
        <w:t>“</w:t>
      </w:r>
      <w:r>
        <w:rPr/>
        <w:t>服务本地 </w:t>
      </w:r>
      <w:r>
        <w:rPr>
          <w:spacing w:val="-1"/>
        </w:rPr>
        <w:t>化、支持本地化</w:t>
      </w:r>
      <w:r>
        <w:rPr>
          <w:rFonts w:ascii="Times New Roman" w:hAnsi="Times New Roman" w:cs="Times New Roman" w:eastAsia="Times New Roman" w:hint="default"/>
          <w:spacing w:val="-1"/>
        </w:rPr>
        <w:t>”</w:t>
      </w:r>
      <w:r>
        <w:rPr>
          <w:spacing w:val="-1"/>
        </w:rPr>
        <w:t>策略等一系列措施，全年新增合作伙伴</w:t>
      </w:r>
      <w:r>
        <w:rPr>
          <w:rFonts w:ascii="Times New Roman" w:hAnsi="Times New Roman" w:cs="Times New Roman" w:eastAsia="Times New Roman" w:hint="default"/>
          <w:spacing w:val="-1"/>
        </w:rPr>
        <w:t>/</w:t>
      </w:r>
      <w:r>
        <w:rPr>
          <w:spacing w:val="-1"/>
        </w:rPr>
        <w:t>客户</w:t>
      </w:r>
      <w:r>
        <w:rPr>
          <w:rFonts w:ascii="Times New Roman" w:hAnsi="Times New Roman" w:cs="Times New Roman" w:eastAsia="Times New Roman" w:hint="default"/>
          <w:spacing w:val="-1"/>
        </w:rPr>
        <w:t>20</w:t>
      </w:r>
      <w:r>
        <w:rPr>
          <w:spacing w:val="-1"/>
        </w:rPr>
        <w:t>余家，在菲律宾、阿联酋、罗马尼亚、突尼斯、古巴等国家</w:t>
      </w:r>
      <w:r>
        <w:rPr>
          <w:spacing w:val="-69"/>
        </w:rPr>
        <w:t> </w:t>
      </w:r>
      <w:r>
        <w:rPr>
          <w:spacing w:val="-69"/>
        </w:rPr>
      </w:r>
      <w:r>
        <w:rPr/>
        <w:t>获批量订单；</w:t>
      </w:r>
      <w:r>
        <w:rPr>
          <w:rFonts w:ascii="Times New Roman" w:hAnsi="Times New Roman" w:cs="Times New Roman" w:eastAsia="Times New Roman" w:hint="default"/>
        </w:rPr>
        <w:t>OEM</w:t>
      </w:r>
      <w:r>
        <w:rPr/>
        <w:t>、备品备件销售良好；</w:t>
      </w:r>
      <w:r>
        <w:rPr>
          <w:rFonts w:ascii="Times New Roman" w:hAnsi="Times New Roman" w:cs="Times New Roman" w:eastAsia="Times New Roman" w:hint="default"/>
        </w:rPr>
        <w:t>VTM</w:t>
      </w:r>
      <w:r>
        <w:rPr/>
        <w:t>在土耳其市场取得突破。</w:t>
      </w:r>
    </w:p>
    <w:p>
      <w:pPr>
        <w:spacing w:line="240" w:lineRule="auto" w:before="12"/>
        <w:rPr>
          <w:rFonts w:ascii="宋体" w:hAnsi="宋体" w:cs="宋体" w:eastAsia="宋体" w:hint="default"/>
          <w:sz w:val="12"/>
          <w:szCs w:val="12"/>
        </w:rPr>
      </w:pPr>
    </w:p>
    <w:p>
      <w:pPr>
        <w:pStyle w:val="BodyText"/>
        <w:spacing w:line="316" w:lineRule="auto"/>
        <w:ind w:right="188" w:firstLine="360"/>
        <w:jc w:val="both"/>
      </w:pPr>
      <w:r>
        <w:rPr>
          <w:spacing w:val="-2"/>
        </w:rPr>
        <w:t>在轨道交通市场上，公司继续保持AFC整机设备在国内轨道交通市场上的优势地位，加大AFC模块产品的推广力度，巩固</w:t>
      </w:r>
      <w:r>
        <w:rPr/>
        <w:t> </w:t>
      </w:r>
      <w:r>
        <w:rPr>
          <w:spacing w:val="-2"/>
        </w:rPr>
        <w:t>核心模块在地铁、高铁市场地位。在高铁市场上，将核心模块作为重点突破口，深化业主关系，中标铁科院项目，成为纸币</w:t>
      </w:r>
      <w:r>
        <w:rPr>
          <w:spacing w:val="-68"/>
        </w:rPr>
        <w:t> </w:t>
      </w:r>
      <w:r>
        <w:rPr>
          <w:spacing w:val="-68"/>
        </w:rPr>
      </w:r>
      <w:r>
        <w:rPr>
          <w:spacing w:val="-2"/>
        </w:rPr>
        <w:t>识别、纸币找零模块的主要供应商；在地铁市场上，公司在一线城市没有项目的情况下，集中开拓二线城市的市场，并取得</w:t>
      </w:r>
      <w:r>
        <w:rPr>
          <w:spacing w:val="-66"/>
        </w:rPr>
        <w:t> </w:t>
      </w:r>
      <w:r>
        <w:rPr>
          <w:spacing w:val="-66"/>
        </w:rPr>
      </w:r>
      <w:r>
        <w:rPr>
          <w:spacing w:val="-2"/>
        </w:rPr>
        <w:t>进展，在长沙、青岛和宁波市场取得突破，为后续项目的开拓打下基础；在海外市场上，以地理、文化比较近的香港和澳门</w:t>
      </w:r>
      <w:r>
        <w:rPr>
          <w:spacing w:val="-68"/>
        </w:rPr>
        <w:t> </w:t>
      </w:r>
      <w:r>
        <w:rPr>
          <w:spacing w:val="-68"/>
        </w:rPr>
      </w:r>
      <w:r>
        <w:rPr>
          <w:spacing w:val="-2"/>
        </w:rPr>
        <w:t>作为突破口，紧紧抓住港澳轨道交通设备国产化的趋势，获得澳门轻轨、香港轻轨等合同，为后续进一步开拓港澳以及海外</w:t>
      </w:r>
      <w:r>
        <w:rPr>
          <w:spacing w:val="-66"/>
        </w:rPr>
        <w:t> </w:t>
      </w:r>
      <w:r>
        <w:rPr>
          <w:spacing w:val="-66"/>
        </w:rPr>
      </w:r>
      <w:r>
        <w:rPr/>
        <w:t>市场打下基础。</w:t>
      </w:r>
    </w:p>
    <w:p>
      <w:pPr>
        <w:spacing w:line="240" w:lineRule="auto" w:before="5"/>
        <w:rPr>
          <w:rFonts w:ascii="宋体" w:hAnsi="宋体" w:cs="宋体" w:eastAsia="宋体" w:hint="default"/>
          <w:sz w:val="13"/>
          <w:szCs w:val="13"/>
        </w:rPr>
      </w:pPr>
    </w:p>
    <w:p>
      <w:pPr>
        <w:pStyle w:val="BodyText"/>
        <w:spacing w:line="312" w:lineRule="auto"/>
        <w:ind w:right="90" w:firstLine="360"/>
        <w:jc w:val="left"/>
      </w:pPr>
      <w:r>
        <w:rPr>
          <w:spacing w:val="-2"/>
        </w:rPr>
        <w:t>在金融服务业务上，通过积极调整服务组织体系、增强管控手段、打造服务技术平台，服务竞争力有效提升，基于服务</w:t>
      </w:r>
      <w:r>
        <w:rPr/>
        <w:t> </w:t>
      </w:r>
      <w:r>
        <w:rPr>
          <w:spacing w:val="-2"/>
        </w:rPr>
        <w:t>产业链延伸的业务布局进一步加快，服务布局不断优化。深圳银通维保服务市场快速增长，新建服务网点</w:t>
      </w:r>
      <w:r>
        <w:rPr>
          <w:rFonts w:ascii="Times New Roman" w:hAnsi="Times New Roman" w:cs="Times New Roman" w:eastAsia="Times New Roman" w:hint="default"/>
          <w:spacing w:val="-2"/>
        </w:rPr>
        <w:t>85</w:t>
      </w:r>
      <w:r>
        <w:rPr>
          <w:spacing w:val="-2"/>
        </w:rPr>
        <w:t>个，截至本报告</w:t>
      </w:r>
      <w:r>
        <w:rPr>
          <w:spacing w:val="-64"/>
        </w:rPr>
        <w:t> </w:t>
      </w:r>
      <w:r>
        <w:rPr>
          <w:spacing w:val="-64"/>
        </w:rPr>
      </w:r>
      <w:r>
        <w:rPr/>
        <w:t>期末，服务网点总数达</w:t>
      </w:r>
      <w:r>
        <w:rPr>
          <w:rFonts w:ascii="Times New Roman" w:hAnsi="Times New Roman" w:cs="Times New Roman" w:eastAsia="Times New Roman" w:hint="default"/>
        </w:rPr>
        <w:t>443</w:t>
      </w:r>
      <w:r>
        <w:rPr/>
        <w:t>个；ATM运营监控中心（AOC）推广见成效，成功实施了广发总行等5家银行的AOC项目；金融服务 </w:t>
      </w:r>
      <w:r>
        <w:rPr>
          <w:spacing w:val="-2"/>
        </w:rPr>
        <w:t>外包业务进程稳步推进，已开展全外包项目27个，外包业务类型已涉及现金清分、清机加钞、驻点营销、大堂经理、上门收</w:t>
      </w:r>
      <w:r>
        <w:rPr>
          <w:spacing w:val="-66"/>
        </w:rPr>
        <w:t> </w:t>
      </w:r>
      <w:r>
        <w:rPr>
          <w:spacing w:val="-66"/>
        </w:rPr>
      </w:r>
      <w:r>
        <w:rPr/>
        <w:t>款、现金调拨、电子对账、安全巡检、单据递送等多种业务。广州穗通金融服务外包市场突破成效显著，截至本报告期末， 累计服务设备超过一千台，服务客户总数</w:t>
      </w:r>
      <w:r>
        <w:rPr>
          <w:rFonts w:ascii="Times New Roman" w:hAnsi="Times New Roman" w:cs="Times New Roman" w:eastAsia="Times New Roman" w:hint="default"/>
        </w:rPr>
        <w:t>14</w:t>
      </w:r>
      <w:r>
        <w:rPr/>
        <w:t>家。</w:t>
      </w:r>
    </w:p>
    <w:p>
      <w:pPr>
        <w:pStyle w:val="BodyText"/>
        <w:spacing w:line="314" w:lineRule="auto" w:before="159"/>
        <w:ind w:right="188" w:firstLine="360"/>
        <w:jc w:val="both"/>
      </w:pPr>
      <w:r>
        <w:rPr/>
        <w:t>在核心技术的推广上，拥有自主出钞机芯、自主循环机芯的N系列产品全面推向市场，逐步获得市场的认可，公司自主 </w:t>
      </w:r>
      <w:r>
        <w:rPr>
          <w:spacing w:val="-2"/>
        </w:rPr>
        <w:t>出钞机芯、自主循环机芯均已在国有银行、股份制银行、农信社及地方商业银行等批量使用。新产品推广初见成效，远程智</w:t>
      </w:r>
      <w:r>
        <w:rPr>
          <w:spacing w:val="-66"/>
        </w:rPr>
        <w:t> </w:t>
      </w:r>
      <w:r>
        <w:rPr>
          <w:spacing w:val="-66"/>
        </w:rPr>
      </w:r>
      <w:r>
        <w:rPr/>
        <w:t>能柜员机VTM在广发、交行、土耳其等顺利试点并实现小批量销售；清分机研发进展顺利，公司正式进入现金清分与处理设</w:t>
      </w:r>
      <w:r>
        <w:rPr>
          <w:spacing w:val="-83"/>
        </w:rPr>
        <w:t> </w:t>
      </w:r>
      <w:r>
        <w:rPr>
          <w:spacing w:val="-83"/>
        </w:rPr>
      </w:r>
      <w:r>
        <w:rPr>
          <w:spacing w:val="-1"/>
        </w:rPr>
        <w:t>备业务领域，四口清分机CM400已在部分股份制银行、商行及农信使用；外币兑换机、</w:t>
      </w:r>
      <w:r>
        <w:rPr>
          <w:rFonts w:ascii="Times New Roman" w:hAnsi="Times New Roman" w:cs="Times New Roman" w:eastAsia="Times New Roman" w:hint="default"/>
          <w:spacing w:val="-1"/>
        </w:rPr>
        <w:t>P2801</w:t>
      </w:r>
      <w:r>
        <w:rPr>
          <w:spacing w:val="-1"/>
        </w:rPr>
        <w:t>、</w:t>
      </w:r>
      <w:r>
        <w:rPr>
          <w:rFonts w:ascii="Times New Roman" w:hAnsi="Times New Roman" w:cs="Times New Roman" w:eastAsia="Times New Roman" w:hint="default"/>
          <w:spacing w:val="-1"/>
        </w:rPr>
        <w:t>H90</w:t>
      </w:r>
      <w:r>
        <w:rPr>
          <w:spacing w:val="-1"/>
        </w:rPr>
        <w:t>等产品也有新的突破。公</w:t>
      </w:r>
      <w:r>
        <w:rPr>
          <w:spacing w:val="-83"/>
        </w:rPr>
        <w:t> </w:t>
      </w:r>
      <w:r>
        <w:rPr>
          <w:spacing w:val="-83"/>
        </w:rPr>
      </w:r>
      <w:r>
        <w:rPr/>
        <w:t>司的技术影响力与品牌美誉度进一步增强。</w:t>
      </w:r>
    </w:p>
    <w:p>
      <w:pPr>
        <w:spacing w:line="240" w:lineRule="auto" w:before="7"/>
        <w:rPr>
          <w:rFonts w:ascii="宋体" w:hAnsi="宋体" w:cs="宋体" w:eastAsia="宋体" w:hint="default"/>
          <w:sz w:val="13"/>
          <w:szCs w:val="13"/>
        </w:rPr>
      </w:pPr>
    </w:p>
    <w:p>
      <w:pPr>
        <w:pStyle w:val="BodyText"/>
        <w:spacing w:line="300" w:lineRule="auto"/>
        <w:ind w:left="153" w:right="90" w:firstLine="360"/>
        <w:jc w:val="left"/>
      </w:pPr>
      <w:r>
        <w:rPr>
          <w:spacing w:val="-3"/>
        </w:rPr>
        <w:t>报告期内，公司荣获“</w:t>
      </w:r>
      <w:r>
        <w:rPr>
          <w:rFonts w:ascii="Times New Roman" w:hAnsi="Times New Roman" w:cs="Times New Roman" w:eastAsia="Times New Roman" w:hint="default"/>
          <w:spacing w:val="-3"/>
        </w:rPr>
        <w:t>“2012</w:t>
      </w:r>
      <w:r>
        <w:rPr>
          <w:spacing w:val="-3"/>
        </w:rPr>
        <w:t>年（第十一届）中国软件业务收入前百家企业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“2012</w:t>
      </w:r>
      <w:r>
        <w:rPr>
          <w:spacing w:val="-3"/>
        </w:rPr>
        <w:t>年国家火炬计划重点高新技术企业</w:t>
      </w:r>
      <w:r>
        <w:rPr>
          <w:rFonts w:ascii="Times New Roman" w:hAnsi="Times New Roman" w:cs="Times New Roman" w:eastAsia="Times New Roman" w:hint="default"/>
          <w:spacing w:val="-3"/>
        </w:rPr>
        <w:t>”</w:t>
      </w:r>
      <w:r>
        <w:rPr>
          <w:spacing w:val="-3"/>
        </w:rPr>
        <w:t>、</w:t>
      </w:r>
      <w:r>
        <w:rPr/>
        <w:t> </w:t>
      </w:r>
      <w:r>
        <w:rPr>
          <w:rFonts w:ascii="Times New Roman" w:hAnsi="Times New Roman" w:cs="Times New Roman" w:eastAsia="Times New Roman" w:hint="default"/>
        </w:rPr>
        <w:t>“</w:t>
      </w:r>
      <w:r>
        <w:rPr/>
        <w:t>中国最佳全球品牌自主研发奖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中国软件创新潜力奖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中小板上市公司价值五十强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年广东省知识产权示范企</w:t>
      </w:r>
      <w:r>
        <w:rPr>
          <w:spacing w:val="-33"/>
        </w:rPr>
        <w:t> </w:t>
      </w:r>
      <w:r>
        <w:rPr>
          <w:spacing w:val="-33"/>
        </w:rPr>
      </w:r>
      <w:r>
        <w:rPr>
          <w:spacing w:val="-2"/>
        </w:rPr>
        <w:t>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广州市工业设计示范企业</w:t>
      </w:r>
      <w:r>
        <w:rPr>
          <w:rFonts w:ascii="Times New Roman" w:hAnsi="Times New Roman" w:cs="Times New Roman" w:eastAsia="Times New Roman" w:hint="default"/>
          <w:spacing w:val="-2"/>
        </w:rPr>
        <w:t>”</w:t>
      </w:r>
      <w:r>
        <w:rPr>
          <w:spacing w:val="-2"/>
        </w:rPr>
        <w:t>等多项荣誉和资质，公司</w:t>
      </w:r>
      <w:r>
        <w:rPr>
          <w:rFonts w:ascii="Times New Roman" w:hAnsi="Times New Roman" w:cs="Times New Roman" w:eastAsia="Times New Roman" w:hint="default"/>
          <w:spacing w:val="-2"/>
        </w:rPr>
        <w:t>ATM</w:t>
      </w:r>
      <w:r>
        <w:rPr>
          <w:spacing w:val="-2"/>
        </w:rPr>
        <w:t>钞票检测技术获广东省科学技术奖，专利</w:t>
      </w:r>
      <w:r>
        <w:rPr>
          <w:rFonts w:ascii="Times New Roman" w:hAnsi="Times New Roman" w:cs="Times New Roman" w:eastAsia="Times New Roman" w:hint="default"/>
          <w:spacing w:val="-2"/>
        </w:rPr>
        <w:t>“</w:t>
      </w:r>
      <w:r>
        <w:rPr>
          <w:spacing w:val="-2"/>
        </w:rPr>
        <w:t>有价识别方法及装</w:t>
      </w:r>
      <w:r>
        <w:rPr>
          <w:spacing w:val="-63"/>
        </w:rPr>
        <w:t> </w:t>
      </w:r>
      <w:r>
        <w:rPr>
          <w:spacing w:val="-63"/>
        </w:rPr>
      </w:r>
      <w:r>
        <w:rPr/>
        <w:t>置</w:t>
      </w:r>
      <w:r>
        <w:rPr>
          <w:rFonts w:ascii="Times New Roman" w:hAnsi="Times New Roman" w:cs="Times New Roman" w:eastAsia="Times New Roman" w:hint="default"/>
        </w:rPr>
        <w:t>”</w:t>
      </w:r>
      <w:r>
        <w:rPr/>
        <w:t>获得第十四届中国专利优秀奖，公司连续五年被认定为“国家规划布局内重点软件企业”，公司实力得到进一步显现。</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90" w:firstLine="360"/>
        <w:jc w:val="left"/>
      </w:pPr>
      <w:r>
        <w:rPr/>
        <w:t>报告期内，公司经营业绩稳步增长，实现营业总收入</w:t>
      </w:r>
      <w:r>
        <w:rPr>
          <w:rFonts w:ascii="Times New Roman" w:hAnsi="Times New Roman" w:cs="Times New Roman" w:eastAsia="Times New Roman" w:hint="default"/>
        </w:rPr>
        <w:t>216,840.96</w:t>
      </w:r>
      <w:r>
        <w:rPr/>
        <w:t>万元，同比增长</w:t>
      </w:r>
      <w:r>
        <w:rPr>
          <w:rFonts w:ascii="Times New Roman" w:hAnsi="Times New Roman" w:cs="Times New Roman" w:eastAsia="Times New Roman" w:hint="default"/>
        </w:rPr>
        <w:t>3.78%</w:t>
      </w:r>
      <w:r>
        <w:rPr/>
        <w:t>；实现利润总额</w:t>
      </w:r>
      <w:r>
        <w:rPr>
          <w:rFonts w:ascii="Times New Roman" w:hAnsi="Times New Roman" w:cs="Times New Roman" w:eastAsia="Times New Roman" w:hint="default"/>
        </w:rPr>
        <w:t>64,758.21</w:t>
      </w:r>
      <w:r>
        <w:rPr/>
        <w:t>万元，</w:t>
      </w:r>
      <w:r>
        <w:rPr>
          <w:spacing w:val="2"/>
        </w:rPr>
        <w:t> </w:t>
      </w:r>
      <w:r>
        <w:rPr/>
        <w:t>同比增长</w:t>
      </w:r>
      <w:r>
        <w:rPr>
          <w:rFonts w:ascii="Times New Roman" w:hAnsi="Times New Roman" w:cs="Times New Roman" w:eastAsia="Times New Roman" w:hint="default"/>
        </w:rPr>
        <w:t>8.91%</w:t>
      </w:r>
      <w:r>
        <w:rPr/>
        <w:t>；实现归属于上市公司股东的净利润</w:t>
      </w:r>
      <w:r>
        <w:rPr>
          <w:rFonts w:ascii="Times New Roman" w:hAnsi="Times New Roman" w:cs="Times New Roman" w:eastAsia="Times New Roman" w:hint="default"/>
        </w:rPr>
        <w:t>57,863.20</w:t>
      </w:r>
      <w:r>
        <w:rPr/>
        <w:t>万元，同比增长</w:t>
      </w:r>
      <w:r>
        <w:rPr>
          <w:rFonts w:ascii="Times New Roman" w:hAnsi="Times New Roman" w:cs="Times New Roman" w:eastAsia="Times New Roman" w:hint="default"/>
        </w:rPr>
        <w:t>14.23%</w:t>
      </w:r>
      <w:r>
        <w:rPr/>
        <w:t>。</w:t>
      </w:r>
    </w:p>
    <w:p>
      <w:pPr>
        <w:spacing w:line="240" w:lineRule="auto" w:before="4"/>
        <w:rPr>
          <w:rFonts w:ascii="宋体" w:hAnsi="宋体" w:cs="宋体" w:eastAsia="宋体" w:hint="default"/>
          <w:sz w:val="20"/>
          <w:szCs w:val="20"/>
        </w:rPr>
      </w:pPr>
    </w:p>
    <w:p>
      <w:pPr>
        <w:pStyle w:val="Heading2"/>
        <w:spacing w:line="240" w:lineRule="auto"/>
        <w:ind w:right="90"/>
        <w:jc w:val="left"/>
        <w:rPr>
          <w:b w:val="0"/>
          <w:bCs w:val="0"/>
        </w:rPr>
      </w:pPr>
      <w:r>
        <w:rPr/>
        <w:t>二、主营业务分析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4"/>
        </w:rPr>
        <w:t>公司经营范围：研制、生产、销售电子计算机设备、货币类自助设备、税务应用设备。电子计算机系统集成及技术服务。</w:t>
      </w:r>
      <w:r>
        <w:rPr/>
        <w:t> </w:t>
      </w:r>
      <w:r>
        <w:rPr>
          <w:spacing w:val="-2"/>
        </w:rPr>
        <w:t>电子计算机软件开发。本企业生产产品的技术咨询和售后服务。货物和技术进出口（国家限定经营或禁止进出口的商品和技</w:t>
      </w:r>
      <w:r>
        <w:rPr>
          <w:spacing w:val="-66"/>
        </w:rPr>
        <w:t> </w:t>
      </w:r>
      <w:r>
        <w:rPr>
          <w:spacing w:val="-66"/>
        </w:rPr>
      </w:r>
      <w:r>
        <w:rPr/>
        <w:t>术除外）。对自动柜员机提供日常维修与管理服务。对现金及有价证券提供清分处理服务。</w:t>
      </w:r>
    </w:p>
    <w:p>
      <w:pPr>
        <w:pStyle w:val="BodyText"/>
        <w:spacing w:line="316" w:lineRule="auto" w:before="139"/>
        <w:ind w:left="153" w:right="101" w:firstLine="360"/>
        <w:jc w:val="left"/>
      </w:pPr>
      <w:r>
        <w:rPr>
          <w:spacing w:val="-2"/>
        </w:rPr>
        <w:t>公司主营业务是ATM和AFC的生产、销售以及ATM营运业务和为相关设备提供服务业务。2012年，公司积极调整业务策略，</w:t>
      </w:r>
      <w:r>
        <w:rPr/>
        <w:t> 持续完善核心技术，提升企业的创新领导力，强化客户关系的价值培育与品牌管理，构建灵活的运营体系和价值共享网络， </w:t>
      </w:r>
      <w:r>
        <w:rPr>
          <w:spacing w:val="-2"/>
        </w:rPr>
        <w:t>合理配置生产资源，提高生产效率，加强产品成本控制，消化各种不利因素。报告期内，公司拥有企业自主循环机芯的存取</w:t>
      </w:r>
      <w:r>
        <w:rPr>
          <w:spacing w:val="-66"/>
        </w:rPr>
        <w:t> </w:t>
      </w:r>
      <w:r>
        <w:rPr>
          <w:spacing w:val="-66"/>
        </w:rPr>
      </w:r>
      <w:r>
        <w:rPr>
          <w:spacing w:val="-2"/>
        </w:rPr>
        <w:t>款一体机在国内市场的批量切换铺开，核心技术模块逐渐国产化，扩大设备维护网络，设备维护规模再上台阶，实现营业总</w:t>
      </w:r>
      <w:r>
        <w:rPr>
          <w:spacing w:val="-66"/>
        </w:rPr>
        <w:t> </w:t>
      </w:r>
      <w:r>
        <w:rPr>
          <w:spacing w:val="-66"/>
        </w:rPr>
      </w:r>
      <w:r>
        <w:rPr>
          <w:spacing w:val="-2"/>
        </w:rPr>
        <w:t>收入216,840.96万元，同比增长3.78%；自主机芯的ATM设备批量投入生产，以及研发、采购等多个环节采取多种措施降低材</w:t>
      </w:r>
      <w:r>
        <w:rPr>
          <w:spacing w:val="-48"/>
        </w:rPr>
        <w:t> </w:t>
      </w:r>
      <w:r>
        <w:rPr>
          <w:spacing w:val="-48"/>
        </w:rPr>
      </w:r>
      <w:r>
        <w:rPr>
          <w:spacing w:val="-2"/>
        </w:rPr>
        <w:t>料成本，生产成本得到有效控制。营业成本为103,482.60万元，比上年同期减少1.52%，实现利润总额64,758.21万元，同比</w:t>
      </w:r>
      <w:r>
        <w:rPr>
          <w:spacing w:val="-42"/>
        </w:rPr>
        <w:t> </w:t>
      </w:r>
      <w:r>
        <w:rPr>
          <w:spacing w:val="-42"/>
        </w:rPr>
      </w:r>
      <w:r>
        <w:rPr/>
        <w:t>增长8.91%；公司被认定为“2011-2012年度国家规划布局内重点软件企业”，2012年享受减按10%的税率缴纳企业所得税， 实现归属于上市公司股东的净利润57,863.20万元，同比增长14.23%。</w:t>
      </w:r>
    </w:p>
    <w:p>
      <w:pPr>
        <w:pStyle w:val="Heading3"/>
        <w:spacing w:line="240" w:lineRule="auto" w:before="114"/>
        <w:ind w:left="153" w:right="90"/>
        <w:jc w:val="left"/>
        <w:rPr>
          <w:b w:val="0"/>
          <w:bCs w:val="0"/>
        </w:rPr>
      </w:pPr>
      <w:r>
        <w:rPr/>
        <w:t>公司回顾总结前期披露的发展战略和经营计划在报告期内的进展情况</w:t>
      </w:r>
      <w:r>
        <w:rPr>
          <w:b w:val="0"/>
          <w:bCs w:val="0"/>
        </w:rPr>
      </w:r>
    </w:p>
    <w:p>
      <w:pPr>
        <w:spacing w:line="240" w:lineRule="auto" w:before="8"/>
        <w:rPr>
          <w:rFonts w:ascii="宋体" w:hAnsi="宋体" w:cs="宋体" w:eastAsia="宋体" w:hint="default"/>
          <w:b/>
          <w:bCs/>
          <w:sz w:val="16"/>
          <w:szCs w:val="16"/>
        </w:rPr>
      </w:pPr>
    </w:p>
    <w:p>
      <w:pPr>
        <w:pStyle w:val="BodyText"/>
        <w:spacing w:line="316" w:lineRule="auto"/>
        <w:ind w:right="90" w:firstLine="360"/>
        <w:jc w:val="left"/>
      </w:pPr>
      <w:r>
        <w:rPr>
          <w:spacing w:val="-2"/>
        </w:rPr>
        <w:t>2012年度公司严格实施了2011年度报告中披露的发展战略和经营计划，根据年初制定的2012年公司经营目标，结合市场</w:t>
      </w:r>
      <w:r>
        <w:rPr/>
        <w:t> 实际情况开展工作，公司整体经营状况保持稳健发展态势。</w:t>
      </w:r>
    </w:p>
    <w:p>
      <w:pPr>
        <w:spacing w:line="240" w:lineRule="auto" w:before="5"/>
        <w:rPr>
          <w:rFonts w:ascii="宋体" w:hAnsi="宋体" w:cs="宋体" w:eastAsia="宋体" w:hint="default"/>
          <w:sz w:val="13"/>
          <w:szCs w:val="13"/>
        </w:rPr>
      </w:pPr>
    </w:p>
    <w:p>
      <w:pPr>
        <w:pStyle w:val="BodyText"/>
        <w:spacing w:line="316" w:lineRule="auto"/>
        <w:ind w:right="90" w:firstLine="380"/>
        <w:jc w:val="left"/>
      </w:pPr>
      <w:r>
        <w:rPr/>
        <w:t>国内ATM传统业务的市场份额得到巩固和提升，国内市场ATM销售再创新高，实现了对客户持续经营能力的提升及销售 目标的突破；公司持续完善核心技术，加强新产品研发，新业务市场取得突破，VTM、清分机等新产品发展势头良好；拥有 自主出钞机芯、自主循环机芯的N系列产品全面推向市场，自主核心模块纸币识别、纸币找零模块在高铁市场上的应用进一 步扩大，AFC产品业务成功开拓港澳市场，核心竞争力进一步提高；随着公司销售量的增加及深圳银通服务规模的增大，设 备维护收入比去年同期大幅增长，全外包服务业务进程稳步推进；海外市场业务受全球经济低迷的影响导致海外业绩下滑。</w:t>
      </w:r>
    </w:p>
    <w:p>
      <w:pPr>
        <w:pStyle w:val="Heading3"/>
        <w:spacing w:line="240" w:lineRule="auto" w:before="113"/>
        <w:ind w:right="90"/>
        <w:jc w:val="left"/>
        <w:rPr>
          <w:b w:val="0"/>
          <w:bCs w:val="0"/>
        </w:rPr>
      </w:pPr>
      <w:r>
        <w:rPr/>
        <w:t>公司实际经营业绩较曾公开披露过的本年度盈利预测低于或高于</w:t>
      </w:r>
      <w:r>
        <w:rPr>
          <w:spacing w:val="-63"/>
        </w:rPr>
        <w:t> </w:t>
      </w:r>
      <w:r>
        <w:rPr/>
        <w:t>20%以上的差异原因</w:t>
      </w:r>
      <w:r>
        <w:rPr>
          <w:b w:val="0"/>
          <w:bCs w:val="0"/>
        </w:rPr>
      </w:r>
    </w:p>
    <w:p>
      <w:pPr>
        <w:spacing w:before="158"/>
        <w:ind w:left="154" w:right="9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5"/>
          <w:szCs w:val="25"/>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说明</w:t>
      </w:r>
    </w:p>
    <w:p>
      <w:pPr>
        <w:spacing w:line="240" w:lineRule="auto" w:before="10"/>
        <w:rPr>
          <w:rFonts w:ascii="宋体" w:hAnsi="宋体" w:cs="宋体" w:eastAsia="宋体" w:hint="default"/>
          <w:sz w:val="17"/>
          <w:szCs w:val="17"/>
        </w:rPr>
      </w:pPr>
    </w:p>
    <w:p>
      <w:pPr>
        <w:pStyle w:val="BodyText"/>
        <w:spacing w:line="304" w:lineRule="auto"/>
        <w:ind w:right="92" w:firstLine="360"/>
        <w:jc w:val="left"/>
      </w:pPr>
      <w:r>
        <w:rPr/>
        <w:t>报告期内，公司营业收入在全球经济低迷和竞争不断加剧的形势下保持稳健增长态势。国内</w:t>
      </w:r>
      <w:r>
        <w:rPr>
          <w:spacing w:val="-49"/>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3"/>
        </w:rPr>
        <w:t> </w:t>
      </w:r>
      <w:r>
        <w:rPr/>
        <w:t>市场开疆拓土，地位 日益稳固；</w:t>
      </w:r>
      <w:r>
        <w:rPr>
          <w:rFonts w:ascii="Times New Roman" w:hAnsi="Times New Roman" w:cs="Times New Roman" w:eastAsia="Times New Roman" w:hint="default"/>
        </w:rPr>
        <w:t>AFC </w:t>
      </w:r>
      <w:r>
        <w:rPr/>
        <w:t>设备远销委内瑞拉等国家和地区，产品国际化成熟度提升；公司率先通过</w:t>
      </w:r>
      <w:r>
        <w:rPr>
          <w:spacing w:val="-15"/>
        </w:rPr>
        <w:t> </w:t>
      </w:r>
      <w:r>
        <w:rPr/>
        <w:t>“欧洲中央银行（</w:t>
      </w:r>
      <w:r>
        <w:rPr>
          <w:rFonts w:ascii="Times New Roman" w:hAnsi="Times New Roman" w:cs="Times New Roman" w:eastAsia="Times New Roman" w:hint="default"/>
        </w:rPr>
        <w:t>ECB</w:t>
      </w:r>
      <w:r>
        <w:rPr/>
        <w:t>）现金处 </w:t>
      </w:r>
      <w:r>
        <w:rPr>
          <w:spacing w:val="-5"/>
        </w:rPr>
        <w:t>理设备测试”，技术实力持续强化；高端金融外包服务不断突破；全面进入现金清分领域。</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9"/>
        </w:rPr>
        <w:t> </w:t>
      </w:r>
      <w:r>
        <w:rPr>
          <w:spacing w:val="-2"/>
        </w:rPr>
        <w:t>年的市场工作，以销售保障、</w:t>
      </w:r>
      <w:r>
        <w:rPr>
          <w:spacing w:val="-85"/>
        </w:rPr>
        <w:t> </w:t>
      </w:r>
      <w:r>
        <w:rPr>
          <w:spacing w:val="-85"/>
        </w:rPr>
      </w:r>
      <w:r>
        <w:rPr>
          <w:spacing w:val="-2"/>
        </w:rPr>
        <w:t>扩大品牌影响力为工作目标；规范了商务及技术支持流程，加强了重点以及薄弱市场的品牌推广工作；创新营销策略，进一</w:t>
      </w:r>
      <w:r>
        <w:rPr>
          <w:spacing w:val="-66"/>
        </w:rPr>
        <w:t> </w:t>
      </w:r>
      <w:r>
        <w:rPr>
          <w:spacing w:val="-66"/>
        </w:rPr>
      </w:r>
      <w:r>
        <w:rPr/>
        <w:t>步细分区域，实行区域模拟利润考核，国内市场</w:t>
      </w:r>
      <w:r>
        <w:rPr>
          <w:spacing w:val="-46"/>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2"/>
        </w:rPr>
        <w:t> </w:t>
      </w:r>
      <w:r>
        <w:rPr/>
        <w:t>销售在激烈的竞争环境中保持稳健增长态势；精耕细作、细分区域， 深入拓展各行业市场，全年新增分行级银行客户</w:t>
      </w:r>
      <w:r>
        <w:rPr>
          <w:spacing w:val="-46"/>
        </w:rPr>
        <w:t> </w:t>
      </w:r>
      <w:r>
        <w:rPr>
          <w:rFonts w:ascii="Times New Roman" w:hAnsi="Times New Roman" w:cs="Times New Roman" w:eastAsia="Times New Roman" w:hint="default"/>
        </w:rPr>
        <w:t>128</w:t>
      </w:r>
      <w:r>
        <w:rPr>
          <w:rFonts w:ascii="Times New Roman" w:hAnsi="Times New Roman" w:cs="Times New Roman" w:eastAsia="Times New Roman" w:hint="default"/>
          <w:spacing w:val="-1"/>
        </w:rPr>
        <w:t> </w:t>
      </w:r>
      <w:r>
        <w:rPr/>
        <w:t>家，国内市场</w:t>
      </w:r>
      <w:r>
        <w:rPr>
          <w:spacing w:val="-46"/>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2"/>
        </w:rPr>
        <w:t> </w:t>
      </w:r>
      <w:r>
        <w:rPr/>
        <w:t>销售再创新高。</w:t>
      </w:r>
    </w:p>
    <w:p>
      <w:pPr>
        <w:pStyle w:val="BodyText"/>
        <w:spacing w:line="240" w:lineRule="auto" w:before="129"/>
        <w:ind w:right="90"/>
        <w:jc w:val="left"/>
      </w:pPr>
      <w:r>
        <w:rPr/>
        <w:t>行业分类</w:t>
      </w:r>
    </w:p>
    <w:p>
      <w:pPr>
        <w:spacing w:line="240" w:lineRule="auto" w:before="1"/>
        <w:rPr>
          <w:rFonts w:ascii="宋体" w:hAnsi="宋体" w:cs="宋体" w:eastAsia="宋体" w:hint="default"/>
          <w:sz w:val="15"/>
          <w:szCs w:val="15"/>
        </w:rPr>
      </w:pPr>
    </w:p>
    <w:p>
      <w:pPr>
        <w:pStyle w:val="BodyText"/>
        <w:spacing w:line="240" w:lineRule="auto"/>
        <w:ind w:left="0" w:right="189"/>
        <w:jc w:val="right"/>
      </w:pPr>
      <w:r>
        <w:rPr/>
        <w:t>单位：元</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960"/>
        <w:gridCol w:w="1116"/>
        <w:gridCol w:w="1818"/>
        <w:gridCol w:w="1186"/>
        <w:gridCol w:w="1820"/>
        <w:gridCol w:w="1187"/>
        <w:gridCol w:w="900"/>
      </w:tblGrid>
      <w:tr>
        <w:trPr>
          <w:trHeight w:val="322" w:hRule="exact"/>
        </w:trPr>
        <w:tc>
          <w:tcPr>
            <w:tcW w:w="19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9" w:right="173"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 减</w:t>
            </w:r>
            <w:r>
              <w:rPr>
                <w:rFonts w:ascii="Times New Roman" w:hAnsi="Times New Roman" w:cs="Times New Roman" w:eastAsia="Times New Roman" w:hint="default"/>
                <w:sz w:val="18"/>
                <w:szCs w:val="18"/>
              </w:rPr>
              <w:t>(%)</w:t>
            </w:r>
          </w:p>
        </w:tc>
      </w:tr>
      <w:tr>
        <w:trPr>
          <w:trHeight w:val="634" w:hRule="exact"/>
        </w:trPr>
        <w:tc>
          <w:tcPr>
            <w:tcW w:w="19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613"/>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11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52" w:right="137" w:hanging="16"/>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53" w:right="137" w:hanging="16"/>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）制造业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1,808,300,948.96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83.39%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1,782,325,240.29</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1.46%</w:t>
            </w:r>
          </w:p>
        </w:tc>
      </w:tr>
      <w:tr>
        <w:trPr>
          <w:trHeight w:val="32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）材料</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106,846,605.63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123,848,466.41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-13.73%</w:t>
            </w:r>
          </w:p>
        </w:tc>
      </w:tr>
      <w:tr>
        <w:trPr>
          <w:trHeight w:val="323"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）营运收入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21,550,579.96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23,759,839.66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-9.30%</w:t>
            </w:r>
          </w:p>
        </w:tc>
      </w:tr>
      <w:tr>
        <w:trPr>
          <w:trHeight w:val="322"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）服务费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231,711,418.45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159,533,885.31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45.24%</w:t>
            </w:r>
          </w:p>
        </w:tc>
      </w:tr>
      <w:tr>
        <w:trPr>
          <w:trHeight w:val="323"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0"/>
              <w:ind w:right="65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116"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2,168,409,553.00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2,089,467,431.67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3.78%</w:t>
            </w:r>
          </w:p>
        </w:tc>
      </w:tr>
    </w:tbl>
    <w:p>
      <w:pPr>
        <w:spacing w:line="240" w:lineRule="auto" w:before="5"/>
        <w:rPr>
          <w:rFonts w:ascii="宋体" w:hAnsi="宋体" w:cs="宋体" w:eastAsia="宋体" w:hint="default"/>
          <w:sz w:val="27"/>
          <w:szCs w:val="27"/>
        </w:rPr>
      </w:pPr>
    </w:p>
    <w:p>
      <w:pPr>
        <w:pStyle w:val="BodyText"/>
        <w:spacing w:line="240" w:lineRule="auto" w:before="44"/>
        <w:ind w:left="214" w:right="266"/>
        <w:jc w:val="left"/>
      </w:pPr>
      <w:r>
        <w:rPr/>
        <w:t>产品分类</w:t>
      </w:r>
    </w:p>
    <w:p>
      <w:pPr>
        <w:pStyle w:val="BodyText"/>
        <w:spacing w:line="240" w:lineRule="auto" w:before="117"/>
        <w:ind w:left="0" w:right="371"/>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40"/>
        <w:gridCol w:w="1008"/>
        <w:gridCol w:w="1476"/>
        <w:gridCol w:w="1224"/>
        <w:gridCol w:w="1836"/>
        <w:gridCol w:w="1224"/>
        <w:gridCol w:w="900"/>
      </w:tblGrid>
      <w:tr>
        <w:trPr>
          <w:trHeight w:val="322" w:hRule="exact"/>
        </w:trPr>
        <w:tc>
          <w:tcPr>
            <w:tcW w:w="23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9" w:right="173"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 减</w:t>
            </w:r>
            <w:r>
              <w:rPr>
                <w:rFonts w:ascii="Times New Roman" w:hAnsi="Times New Roman" w:cs="Times New Roman" w:eastAsia="Times New Roman" w:hint="default"/>
                <w:sz w:val="18"/>
                <w:szCs w:val="18"/>
              </w:rPr>
              <w:t>(%)</w:t>
            </w:r>
          </w:p>
        </w:tc>
      </w:tr>
      <w:tr>
        <w:trPr>
          <w:trHeight w:val="635" w:hRule="exact"/>
        </w:trPr>
        <w:tc>
          <w:tcPr>
            <w:tcW w:w="23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100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1" w:right="155"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71" w:right="155" w:hanging="15"/>
              <w:jc w:val="left"/>
              <w:rPr>
                <w:rFonts w:ascii="宋体" w:hAnsi="宋体" w:cs="宋体" w:eastAsia="宋体" w:hint="default"/>
                <w:sz w:val="18"/>
                <w:szCs w:val="18"/>
              </w:rPr>
            </w:pPr>
            <w:r>
              <w:rPr>
                <w:rFonts w:ascii="宋体" w:hAnsi="宋体" w:cs="宋体" w:eastAsia="宋体" w:hint="default"/>
                <w:sz w:val="18"/>
                <w:szCs w:val="18"/>
              </w:rPr>
              <w:t>占营业收入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）货币自动处理设备</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1,808,300,948.96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83.39%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1,782,325,240.29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1.46%</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1,776,862,734.63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81.94%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1,649,262,748.94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78.93%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7.74%</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3" w:right="0"/>
              <w:jc w:val="left"/>
              <w:rPr>
                <w:rFonts w:ascii="Times New Roman" w:hAnsi="Times New Roman" w:cs="Times New Roman" w:eastAsia="Times New Roman" w:hint="default"/>
                <w:sz w:val="18"/>
                <w:szCs w:val="18"/>
              </w:rPr>
            </w:pPr>
            <w:r>
              <w:rPr>
                <w:rFonts w:ascii="Times New Roman"/>
                <w:sz w:val="18"/>
              </w:rPr>
              <w:t>AFC</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31,438,214.33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133,062,491.35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-76.37%</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106,846,605.63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4.93%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123,848,466.41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-13.73%</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21,550,579.96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23,759,839.66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-9.30%</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231,711,418.45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10.69%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159,533,885.31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45.24%</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2,168,409,553.00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2,089,467,431.67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3.78%</w:t>
            </w:r>
          </w:p>
        </w:tc>
      </w:tr>
    </w:tbl>
    <w:p>
      <w:pPr>
        <w:pStyle w:val="Heading3"/>
        <w:spacing w:line="240" w:lineRule="auto" w:before="65"/>
        <w:ind w:left="214" w:right="266"/>
        <w:jc w:val="left"/>
        <w:rPr>
          <w:b w:val="0"/>
          <w:bCs w:val="0"/>
        </w:rPr>
      </w:pPr>
      <w:r>
        <w:rPr/>
        <w:t>主营业务收入产品分类情况的说明：</w:t>
      </w:r>
      <w:r>
        <w:rPr>
          <w:b w:val="0"/>
          <w:bCs w:val="0"/>
        </w:rPr>
      </w:r>
    </w:p>
    <w:p>
      <w:pPr>
        <w:pStyle w:val="BodyText"/>
        <w:spacing w:line="302" w:lineRule="auto" w:before="140"/>
        <w:ind w:left="214" w:right="319" w:firstLine="360"/>
        <w:jc w:val="both"/>
      </w:pPr>
      <w:r>
        <w:rPr/>
        <w:t>报告期内，公司实现营业收入</w:t>
      </w:r>
      <w:r>
        <w:rPr>
          <w:spacing w:val="-46"/>
        </w:rPr>
        <w:t> </w:t>
      </w:r>
      <w:r>
        <w:rPr>
          <w:rFonts w:ascii="Times New Roman" w:hAnsi="Times New Roman" w:cs="Times New Roman" w:eastAsia="Times New Roman" w:hint="default"/>
        </w:rPr>
        <w:t>216,840.96</w:t>
      </w:r>
      <w:r>
        <w:rPr>
          <w:rFonts w:ascii="Times New Roman" w:hAnsi="Times New Roman" w:cs="Times New Roman" w:eastAsia="Times New Roman" w:hint="default"/>
          <w:spacing w:val="-1"/>
        </w:rPr>
        <w:t> </w:t>
      </w:r>
      <w:r>
        <w:rPr/>
        <w:t>万元，比去年同期的</w:t>
      </w:r>
      <w:r>
        <w:rPr>
          <w:spacing w:val="-46"/>
        </w:rPr>
        <w:t> </w:t>
      </w:r>
      <w:r>
        <w:rPr>
          <w:rFonts w:ascii="Times New Roman" w:hAnsi="Times New Roman" w:cs="Times New Roman" w:eastAsia="Times New Roman" w:hint="default"/>
        </w:rPr>
        <w:t>208,946.74</w:t>
      </w:r>
      <w:r>
        <w:rPr>
          <w:rFonts w:ascii="Times New Roman" w:hAnsi="Times New Roman" w:cs="Times New Roman" w:eastAsia="Times New Roman" w:hint="default"/>
          <w:spacing w:val="-1"/>
        </w:rPr>
        <w:t> </w:t>
      </w:r>
      <w:r>
        <w:rPr/>
        <w:t>万元增加</w:t>
      </w:r>
      <w:r>
        <w:rPr>
          <w:spacing w:val="-46"/>
        </w:rPr>
        <w:t> </w:t>
      </w:r>
      <w:r>
        <w:rPr>
          <w:rFonts w:ascii="Times New Roman" w:hAnsi="Times New Roman" w:cs="Times New Roman" w:eastAsia="Times New Roman" w:hint="default"/>
        </w:rPr>
        <w:t>7,894.22</w:t>
      </w:r>
      <w:r>
        <w:rPr>
          <w:rFonts w:ascii="Times New Roman" w:hAnsi="Times New Roman" w:cs="Times New Roman" w:eastAsia="Times New Roman" w:hint="default"/>
          <w:spacing w:val="-1"/>
        </w:rPr>
        <w:t> </w:t>
      </w:r>
      <w:r>
        <w:rPr/>
        <w:t>万元，增长</w:t>
      </w:r>
      <w:r>
        <w:rPr>
          <w:spacing w:val="-46"/>
        </w:rPr>
        <w:t> </w:t>
      </w:r>
      <w:r>
        <w:rPr>
          <w:rFonts w:ascii="Times New Roman" w:hAnsi="Times New Roman" w:cs="Times New Roman" w:eastAsia="Times New Roman" w:hint="default"/>
        </w:rPr>
        <w:t>3.78%</w:t>
      </w:r>
      <w:r>
        <w:rPr/>
        <w:t>，其中： 货币自动处理设备营业收入</w:t>
      </w:r>
      <w:r>
        <w:rPr>
          <w:spacing w:val="-47"/>
        </w:rPr>
        <w:t> </w:t>
      </w:r>
      <w:r>
        <w:rPr>
          <w:rFonts w:ascii="Times New Roman" w:hAnsi="Times New Roman" w:cs="Times New Roman" w:eastAsia="Times New Roman" w:hint="default"/>
        </w:rPr>
        <w:t>180,830.09</w:t>
      </w:r>
      <w:r>
        <w:rPr>
          <w:rFonts w:ascii="Times New Roman" w:hAnsi="Times New Roman" w:cs="Times New Roman" w:eastAsia="Times New Roman" w:hint="default"/>
          <w:spacing w:val="-2"/>
        </w:rPr>
        <w:t> </w:t>
      </w:r>
      <w:r>
        <w:rPr/>
        <w:t>万元，比去年同期增长</w:t>
      </w:r>
      <w:r>
        <w:rPr>
          <w:spacing w:val="-47"/>
        </w:rPr>
        <w:t> </w:t>
      </w:r>
      <w:r>
        <w:rPr>
          <w:rFonts w:ascii="Times New Roman" w:hAnsi="Times New Roman" w:cs="Times New Roman" w:eastAsia="Times New Roman" w:hint="default"/>
        </w:rPr>
        <w:t>1.46%</w:t>
      </w:r>
      <w:r>
        <w:rPr/>
        <w:t>。</w:t>
      </w:r>
    </w:p>
    <w:p>
      <w:pPr>
        <w:pStyle w:val="BodyText"/>
        <w:spacing w:line="302" w:lineRule="auto" w:before="49"/>
        <w:ind w:left="214" w:right="369" w:firstLine="360"/>
        <w:jc w:val="both"/>
      </w:pPr>
      <w:r>
        <w:rPr>
          <w:rFonts w:ascii="Times New Roman" w:hAnsi="Times New Roman" w:cs="Times New Roman" w:eastAsia="Times New Roman" w:hint="default"/>
          <w:spacing w:val="-7"/>
        </w:rPr>
        <w:t>ATM </w:t>
      </w:r>
      <w:r>
        <w:rPr/>
        <w:t>设备营业收入 </w:t>
      </w:r>
      <w:r>
        <w:rPr>
          <w:rFonts w:ascii="Times New Roman" w:hAnsi="Times New Roman" w:cs="Times New Roman" w:eastAsia="Times New Roman" w:hint="default"/>
        </w:rPr>
        <w:t>177,686.27 </w:t>
      </w:r>
      <w:r>
        <w:rPr/>
        <w:t>万元，比去年同期增长</w:t>
      </w:r>
      <w:r>
        <w:rPr>
          <w:spacing w:val="-62"/>
        </w:rPr>
        <w:t> </w:t>
      </w:r>
      <w:r>
        <w:rPr>
          <w:rFonts w:ascii="Times New Roman" w:hAnsi="Times New Roman" w:cs="Times New Roman" w:eastAsia="Times New Roman" w:hint="default"/>
        </w:rPr>
        <w:t>7.74%</w:t>
      </w:r>
      <w:r>
        <w:rPr/>
        <w:t>，主要是由于拥有公司自主循环机芯的存取款一体机在国 内市场的批量切换铺开，核心技术模块逐渐国产化。</w:t>
      </w:r>
    </w:p>
    <w:p>
      <w:pPr>
        <w:pStyle w:val="BodyText"/>
        <w:spacing w:line="240" w:lineRule="auto" w:before="70"/>
        <w:ind w:left="574" w:right="266"/>
        <w:jc w:val="left"/>
      </w:pP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设备营业收入</w:t>
      </w:r>
      <w:r>
        <w:rPr>
          <w:spacing w:val="-47"/>
        </w:rPr>
        <w:t> </w:t>
      </w:r>
      <w:r>
        <w:rPr>
          <w:rFonts w:ascii="Times New Roman" w:hAnsi="Times New Roman" w:cs="Times New Roman" w:eastAsia="Times New Roman" w:hint="default"/>
        </w:rPr>
        <w:t>3,143.82</w:t>
      </w:r>
      <w:r>
        <w:rPr>
          <w:rFonts w:ascii="Times New Roman" w:hAnsi="Times New Roman" w:cs="Times New Roman" w:eastAsia="Times New Roman" w:hint="default"/>
          <w:spacing w:val="-2"/>
        </w:rPr>
        <w:t> </w:t>
      </w:r>
      <w:r>
        <w:rPr/>
        <w:t>万元，比去年同期减少</w:t>
      </w:r>
      <w:r>
        <w:rPr>
          <w:spacing w:val="-47"/>
        </w:rPr>
        <w:t> </w:t>
      </w:r>
      <w:r>
        <w:rPr>
          <w:rFonts w:ascii="Times New Roman" w:hAnsi="Times New Roman" w:cs="Times New Roman" w:eastAsia="Times New Roman" w:hint="default"/>
        </w:rPr>
        <w:t>76.37%</w:t>
      </w:r>
      <w:r>
        <w:rPr/>
        <w:t>，主要是受行业建设低潮的大环境影响。</w:t>
      </w:r>
    </w:p>
    <w:p>
      <w:pPr>
        <w:pStyle w:val="BodyText"/>
        <w:spacing w:line="338" w:lineRule="auto" w:before="102"/>
        <w:ind w:left="574" w:right="266"/>
        <w:jc w:val="left"/>
      </w:pPr>
      <w:r>
        <w:rPr/>
        <w:t>设备配件营业收入</w:t>
      </w:r>
      <w:r>
        <w:rPr>
          <w:spacing w:val="-44"/>
        </w:rPr>
        <w:t> </w:t>
      </w:r>
      <w:r>
        <w:rPr>
          <w:rFonts w:ascii="Times New Roman" w:hAnsi="Times New Roman" w:cs="Times New Roman" w:eastAsia="Times New Roman" w:hint="default"/>
        </w:rPr>
        <w:t>10,684.66</w:t>
      </w:r>
      <w:r>
        <w:rPr>
          <w:rFonts w:ascii="Times New Roman" w:hAnsi="Times New Roman" w:cs="Times New Roman" w:eastAsia="Times New Roman" w:hint="default"/>
          <w:spacing w:val="1"/>
        </w:rPr>
        <w:t> </w:t>
      </w:r>
      <w:r>
        <w:rPr>
          <w:spacing w:val="-5"/>
        </w:rPr>
        <w:t>万元，比去年同期减少</w:t>
      </w:r>
      <w:r>
        <w:rPr>
          <w:spacing w:val="-44"/>
        </w:rPr>
        <w:t> </w:t>
      </w:r>
      <w:r>
        <w:rPr>
          <w:rFonts w:ascii="Times New Roman" w:hAnsi="Times New Roman" w:cs="Times New Roman" w:eastAsia="Times New Roman" w:hint="default"/>
          <w:spacing w:val="-3"/>
        </w:rPr>
        <w:t>13.73%</w:t>
      </w:r>
      <w:r>
        <w:rPr>
          <w:spacing w:val="-3"/>
        </w:rPr>
        <w:t>，主要是受国际经济环境影响，出口设备配件销售减少所致。</w:t>
      </w:r>
      <w:r>
        <w:rPr/>
        <w:t> </w:t>
      </w:r>
      <w:r>
        <w:rPr>
          <w:rFonts w:ascii="Times New Roman" w:hAnsi="Times New Roman" w:cs="Times New Roman" w:eastAsia="Times New Roman" w:hint="default"/>
          <w:spacing w:val="-7"/>
        </w:rPr>
        <w:t>ATM  </w:t>
      </w:r>
      <w:r>
        <w:rPr/>
        <w:t>营运营业收入 </w:t>
      </w:r>
      <w:r>
        <w:rPr>
          <w:rFonts w:ascii="Times New Roman" w:hAnsi="Times New Roman" w:cs="Times New Roman" w:eastAsia="Times New Roman" w:hint="default"/>
        </w:rPr>
        <w:t>2,155.06 </w:t>
      </w:r>
      <w:r>
        <w:rPr/>
        <w:t>万元，比去年同期减少</w:t>
      </w:r>
      <w:r>
        <w:rPr>
          <w:spacing w:val="-63"/>
        </w:rPr>
        <w:t> </w:t>
      </w:r>
      <w:r>
        <w:rPr>
          <w:rFonts w:ascii="Times New Roman" w:hAnsi="Times New Roman" w:cs="Times New Roman" w:eastAsia="Times New Roman" w:hint="default"/>
        </w:rPr>
        <w:t>9.30%</w:t>
      </w:r>
      <w:r>
        <w:rPr/>
        <w:t>，主要是由于部分营运项目应客户改变合作模式以及营运项</w:t>
      </w:r>
    </w:p>
    <w:p>
      <w:pPr>
        <w:pStyle w:val="BodyText"/>
        <w:spacing w:line="218" w:lineRule="exact"/>
        <w:ind w:left="214" w:right="266"/>
        <w:jc w:val="left"/>
      </w:pPr>
      <w:r>
        <w:rPr/>
        <w:t>目的到期终止所致。</w:t>
      </w:r>
    </w:p>
    <w:p>
      <w:pPr>
        <w:pStyle w:val="BodyText"/>
        <w:spacing w:line="300" w:lineRule="auto" w:before="116"/>
        <w:ind w:left="214" w:right="371" w:firstLine="360"/>
        <w:jc w:val="both"/>
      </w:pPr>
      <w:r>
        <w:rPr/>
        <w:t>设备维护及服务营业收入</w:t>
      </w:r>
      <w:r>
        <w:rPr>
          <w:spacing w:val="-54"/>
        </w:rPr>
        <w:t> </w:t>
      </w:r>
      <w:r>
        <w:rPr>
          <w:rFonts w:ascii="Times New Roman" w:hAnsi="Times New Roman" w:cs="Times New Roman" w:eastAsia="Times New Roman" w:hint="default"/>
        </w:rPr>
        <w:t>23,171.14</w:t>
      </w:r>
      <w:r>
        <w:rPr>
          <w:rFonts w:ascii="Times New Roman" w:hAnsi="Times New Roman" w:cs="Times New Roman" w:eastAsia="Times New Roman" w:hint="default"/>
          <w:spacing w:val="-9"/>
        </w:rPr>
        <w:t> </w:t>
      </w:r>
      <w:r>
        <w:rPr>
          <w:spacing w:val="-3"/>
        </w:rPr>
        <w:t>万元，比去年同期增长</w:t>
      </w:r>
      <w:r>
        <w:rPr>
          <w:spacing w:val="-54"/>
        </w:rPr>
        <w:t> </w:t>
      </w:r>
      <w:r>
        <w:rPr>
          <w:rFonts w:ascii="Times New Roman" w:hAnsi="Times New Roman" w:cs="Times New Roman" w:eastAsia="Times New Roman" w:hint="default"/>
        </w:rPr>
        <w:t>45.24%</w:t>
      </w:r>
      <w:r>
        <w:rPr/>
        <w:t>，主要是公司全资子公司深圳银通设备维护规模再上 </w:t>
      </w:r>
      <w:r>
        <w:rPr>
          <w:spacing w:val="-2"/>
        </w:rPr>
        <w:t>台阶，设备维护网络不断扩大，至报告期末，设备维护网点已达</w:t>
      </w:r>
      <w:r>
        <w:rPr>
          <w:spacing w:val="-38"/>
        </w:rPr>
        <w:t> </w:t>
      </w:r>
      <w:r>
        <w:rPr>
          <w:rFonts w:ascii="Times New Roman" w:hAnsi="Times New Roman" w:cs="Times New Roman" w:eastAsia="Times New Roman" w:hint="default"/>
        </w:rPr>
        <w:t>443</w:t>
      </w:r>
      <w:r>
        <w:rPr>
          <w:rFonts w:ascii="Times New Roman" w:hAnsi="Times New Roman" w:cs="Times New Roman" w:eastAsia="Times New Roman" w:hint="default"/>
          <w:spacing w:val="9"/>
        </w:rPr>
        <w:t> </w:t>
      </w:r>
      <w:r>
        <w:rPr>
          <w:spacing w:val="-2"/>
        </w:rPr>
        <w:t>个，与此同时，公司控股子公司广州穗通及全资子公司</w:t>
      </w:r>
      <w:r>
        <w:rPr>
          <w:spacing w:val="-88"/>
        </w:rPr>
        <w:t> </w:t>
      </w:r>
      <w:r>
        <w:rPr>
          <w:spacing w:val="-88"/>
        </w:rPr>
      </w:r>
      <w:r>
        <w:rPr/>
        <w:t>深圳银通开展的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t>全外包服务业务也得到迅速发展。</w:t>
      </w:r>
    </w:p>
    <w:p>
      <w:pPr>
        <w:spacing w:line="240" w:lineRule="auto" w:before="6"/>
        <w:rPr>
          <w:rFonts w:ascii="宋体" w:hAnsi="宋体" w:cs="宋体" w:eastAsia="宋体" w:hint="default"/>
          <w:sz w:val="27"/>
          <w:szCs w:val="27"/>
        </w:rPr>
      </w:pPr>
    </w:p>
    <w:p>
      <w:pPr>
        <w:pStyle w:val="BodyText"/>
        <w:spacing w:line="240" w:lineRule="auto" w:before="44"/>
        <w:ind w:left="214" w:right="266"/>
        <w:jc w:val="left"/>
      </w:pPr>
      <w:r>
        <w:rPr/>
        <w:t>地区分类</w:t>
      </w:r>
    </w:p>
    <w:p>
      <w:pPr>
        <w:pStyle w:val="BodyText"/>
        <w:spacing w:line="240" w:lineRule="auto" w:before="117"/>
        <w:ind w:left="0" w:right="639"/>
        <w:jc w:val="right"/>
      </w:pPr>
      <w:r>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2,065,190,354.60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95.24%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1,685,079,614.68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80.65%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22.56%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20" w:right="7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103,219,198.40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404,387,816.99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r>
    </w:tbl>
    <w:p>
      <w:pPr>
        <w:pStyle w:val="Heading3"/>
        <w:spacing w:line="240" w:lineRule="auto" w:before="65"/>
        <w:ind w:right="222"/>
        <w:jc w:val="left"/>
        <w:rPr>
          <w:b w:val="0"/>
          <w:bCs w:val="0"/>
        </w:rPr>
      </w:pPr>
      <w:r>
        <w:rPr/>
        <w:t>主营业务收入地区分类情况的说明：</w:t>
      </w:r>
      <w:r>
        <w:rPr>
          <w:b w:val="0"/>
          <w:bCs w:val="0"/>
        </w:rPr>
      </w:r>
    </w:p>
    <w:p>
      <w:pPr>
        <w:pStyle w:val="BodyText"/>
        <w:spacing w:line="240" w:lineRule="auto" w:before="142"/>
        <w:ind w:left="514" w:right="222"/>
        <w:jc w:val="left"/>
      </w:pPr>
      <w:r>
        <w:rPr/>
        <w:t>国内市场发展势头良好，主营业务收入保持稳定增长，比上年同期增长</w:t>
      </w:r>
      <w:r>
        <w:rPr>
          <w:spacing w:val="-46"/>
        </w:rPr>
        <w:t> </w:t>
      </w:r>
      <w:r>
        <w:rPr>
          <w:rFonts w:ascii="Times New Roman" w:hAnsi="Times New Roman" w:cs="Times New Roman" w:eastAsia="Times New Roman" w:hint="default"/>
        </w:rPr>
        <w:t>22.56%</w:t>
      </w:r>
      <w:r>
        <w:rPr/>
        <w:t>。</w:t>
      </w:r>
    </w:p>
    <w:p>
      <w:pPr>
        <w:pStyle w:val="BodyText"/>
        <w:spacing w:line="302" w:lineRule="auto" w:before="101"/>
        <w:ind w:right="222" w:firstLine="360"/>
        <w:jc w:val="left"/>
      </w:pPr>
      <w:r>
        <w:rPr/>
        <w:t>国外市场由于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年全球经济低迷，伊朗国际结算的限制，土耳其、伊朗等主要市场销售额同比下降，主营业务收入 同比减少</w:t>
      </w:r>
      <w:r>
        <w:rPr>
          <w:spacing w:val="-46"/>
        </w:rPr>
        <w:t> </w:t>
      </w:r>
      <w:r>
        <w:rPr>
          <w:rFonts w:ascii="Times New Roman" w:hAnsi="Times New Roman" w:cs="Times New Roman" w:eastAsia="Times New Roman" w:hint="default"/>
        </w:rPr>
        <w:t>74.48%</w:t>
      </w:r>
      <w:r>
        <w:rPr/>
        <w:t>。</w:t>
      </w:r>
    </w:p>
    <w:p>
      <w:pPr>
        <w:spacing w:line="240" w:lineRule="auto" w:before="2"/>
        <w:rPr>
          <w:rFonts w:ascii="宋体" w:hAnsi="宋体" w:cs="宋体" w:eastAsia="宋体" w:hint="default"/>
          <w:sz w:val="19"/>
          <w:szCs w:val="19"/>
        </w:rPr>
      </w:pPr>
    </w:p>
    <w:p>
      <w:pPr>
        <w:pStyle w:val="BodyText"/>
        <w:spacing w:line="240" w:lineRule="auto"/>
        <w:ind w:right="222"/>
        <w:jc w:val="left"/>
      </w:pPr>
      <w:r>
        <w:rPr/>
        <w:t>公司实物销售收入是否大于劳务收入</w:t>
      </w:r>
    </w:p>
    <w:p>
      <w:pPr>
        <w:pStyle w:val="BodyText"/>
        <w:tabs>
          <w:tab w:pos="8883" w:val="left" w:leader="none"/>
        </w:tabs>
        <w:spacing w:line="240" w:lineRule="auto" w:before="117"/>
        <w:ind w:right="222"/>
        <w:jc w:val="left"/>
      </w:pPr>
      <w:r>
        <w:rPr/>
        <w:t>√ 是 □ 否</w:t>
        <w:tab/>
        <w:t>单位：台</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货币自动处理设备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5.99%</w:t>
            </w:r>
          </w:p>
        </w:tc>
      </w:tr>
    </w:tbl>
    <w:p>
      <w:pPr>
        <w:pStyle w:val="BodyText"/>
        <w:spacing w:line="240" w:lineRule="auto" w:before="51"/>
        <w:ind w:right="22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222"/>
        <w:jc w:val="left"/>
      </w:pPr>
      <w:r>
        <w:rPr/>
        <w:t>□适用  √不适用</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00"/>
        </w:sectPr>
      </w:pPr>
    </w:p>
    <w:p>
      <w:pPr>
        <w:pStyle w:val="BodyText"/>
        <w:spacing w:line="240" w:lineRule="auto" w:before="44"/>
        <w:ind w:right="-19"/>
        <w:jc w:val="left"/>
      </w:pPr>
      <w:r>
        <w:rPr/>
        <w:t>公司重大的在手订单情况</w:t>
      </w:r>
    </w:p>
    <w:p>
      <w:pPr>
        <w:pStyle w:val="BodyText"/>
        <w:spacing w:line="357" w:lineRule="auto" w:before="117"/>
        <w:ind w:left="153" w:right="-19"/>
        <w:jc w:val="left"/>
      </w:pPr>
      <w:r>
        <w:rPr/>
        <w:t>√ 适用 □ 不适用 公司全年订单的签署和执行情况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153" w:right="0"/>
        <w:jc w:val="left"/>
      </w:pPr>
      <w:r>
        <w:rPr/>
        <w:t>单位：亿元</w:t>
      </w:r>
    </w:p>
    <w:p>
      <w:pPr>
        <w:spacing w:after="0" w:line="240" w:lineRule="auto"/>
        <w:jc w:val="left"/>
        <w:sectPr>
          <w:type w:val="continuous"/>
          <w:pgSz w:w="11910" w:h="16840"/>
          <w:pgMar w:top="1060" w:bottom="1180" w:left="980" w:right="900"/>
          <w:cols w:num="2" w:equalWidth="0">
            <w:col w:w="2674" w:space="5836"/>
            <w:col w:w="1520"/>
          </w:cols>
        </w:sectPr>
      </w:pP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356"/>
        <w:gridCol w:w="2453"/>
        <w:gridCol w:w="2467"/>
        <w:gridCol w:w="2468"/>
      </w:tblGrid>
      <w:tr>
        <w:trPr>
          <w:trHeight w:val="330" w:hRule="exact"/>
        </w:trPr>
        <w:tc>
          <w:tcPr>
            <w:tcW w:w="2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4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4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56" w:type="dxa"/>
            <w:tcBorders>
              <w:top w:val="single" w:sz="10" w:space="0" w:color="D9D9D9"/>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ATM</w:t>
            </w:r>
          </w:p>
        </w:tc>
        <w:tc>
          <w:tcPr>
            <w:tcW w:w="2453" w:type="dxa"/>
            <w:tcBorders>
              <w:top w:val="single" w:sz="10" w:space="0" w:color="D9D9D9"/>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24.67</w:t>
            </w:r>
          </w:p>
        </w:tc>
        <w:tc>
          <w:tcPr>
            <w:tcW w:w="2467" w:type="dxa"/>
            <w:tcBorders>
              <w:top w:val="single" w:sz="10" w:space="0" w:color="D9D9D9"/>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23.65</w:t>
            </w:r>
          </w:p>
        </w:tc>
        <w:tc>
          <w:tcPr>
            <w:tcW w:w="2468" w:type="dxa"/>
            <w:tcBorders>
              <w:top w:val="single" w:sz="10" w:space="0" w:color="D9D9D9"/>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4.31%</w:t>
            </w:r>
          </w:p>
        </w:tc>
      </w:tr>
      <w:tr>
        <w:trPr>
          <w:trHeight w:val="362" w:hRule="exact"/>
        </w:trPr>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AFC</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1.12</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0.91</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23.08%</w:t>
            </w:r>
          </w:p>
        </w:tc>
      </w:tr>
      <w:tr>
        <w:trPr>
          <w:trHeight w:val="361" w:hRule="exact"/>
        </w:trPr>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技术服务合同</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2.19</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17.11%</w:t>
            </w:r>
          </w:p>
        </w:tc>
      </w:tr>
      <w:tr>
        <w:trPr>
          <w:trHeight w:val="352" w:hRule="exact"/>
        </w:trPr>
        <w:tc>
          <w:tcPr>
            <w:tcW w:w="23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27.98</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26.43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5.86%</w:t>
            </w:r>
          </w:p>
        </w:tc>
      </w:tr>
    </w:tbl>
    <w:p>
      <w:pPr>
        <w:pStyle w:val="BodyText"/>
        <w:spacing w:line="300" w:lineRule="auto" w:before="51"/>
        <w:ind w:left="153" w:right="222" w:firstLine="336"/>
        <w:jc w:val="left"/>
      </w:pPr>
      <w:r>
        <w:rPr/>
        <w:t>报告期内，公司新增分行级客户</w:t>
      </w:r>
      <w:r>
        <w:rPr>
          <w:rFonts w:ascii="Times New Roman" w:hAnsi="Times New Roman" w:cs="Times New Roman" w:eastAsia="Times New Roman" w:hint="default"/>
        </w:rPr>
        <w:t>128</w:t>
      </w:r>
      <w:r>
        <w:rPr/>
        <w:t>家，在确保总行级客户市场占有率大幅提升的同时，扩大了在农村信用社及商业银</w:t>
      </w:r>
      <w:r>
        <w:rPr>
          <w:spacing w:val="1"/>
        </w:rPr>
        <w:t> </w:t>
      </w:r>
      <w:r>
        <w:rPr/>
        <w:t>行的市场份额，</w:t>
      </w:r>
      <w:r>
        <w:rPr>
          <w:rFonts w:ascii="Times New Roman" w:hAnsi="Times New Roman" w:cs="Times New Roman" w:eastAsia="Times New Roman" w:hint="default"/>
        </w:rPr>
        <w:t>ATM</w:t>
      </w:r>
      <w:r>
        <w:rPr/>
        <w:t>国内市场销量再创新高。</w:t>
      </w:r>
    </w:p>
    <w:p>
      <w:pPr>
        <w:pStyle w:val="BodyText"/>
        <w:spacing w:line="319" w:lineRule="auto" w:before="51"/>
        <w:ind w:left="153" w:right="222" w:firstLine="360"/>
        <w:jc w:val="left"/>
      </w:pPr>
      <w:r>
        <w:rPr>
          <w:spacing w:val="-2"/>
        </w:rPr>
        <w:t>随着公司投入市场的设备数量的增加和时间的推移，服务的设备也随之增多，因此技术服务合同金额同比有较大幅度的</w:t>
      </w:r>
      <w:r>
        <w:rPr/>
        <w:t> 增长。</w:t>
      </w:r>
    </w:p>
    <w:p>
      <w:pPr>
        <w:pStyle w:val="BodyText"/>
        <w:spacing w:line="319" w:lineRule="auto" w:before="56"/>
        <w:ind w:left="153" w:right="222" w:firstLine="360"/>
        <w:jc w:val="left"/>
      </w:pPr>
      <w:r>
        <w:rPr>
          <w:spacing w:val="-2"/>
        </w:rPr>
        <w:t>由于公司获取订单的时间主要集中在每年的第四季度，而会计确认销售收入的原则是以公司收到银行的签收单为准，因</w:t>
      </w:r>
      <w:r>
        <w:rPr/>
        <w:t> 此公司订单存在跨期确认收入的情况。截止</w:t>
      </w:r>
      <w:r>
        <w:rPr>
          <w:rFonts w:ascii="Times New Roman" w:hAnsi="Times New Roman" w:cs="Times New Roman" w:eastAsia="Times New Roman" w:hint="default"/>
        </w:rPr>
        <w:t>2012</w:t>
      </w:r>
      <w:r>
        <w:rPr/>
        <w:t>年底，结转到以后年度执行的合同金额约</w:t>
      </w:r>
      <w:r>
        <w:rPr>
          <w:rFonts w:ascii="Times New Roman" w:hAnsi="Times New Roman" w:cs="Times New Roman" w:eastAsia="Times New Roman" w:hint="default"/>
        </w:rPr>
        <w:t>9</w:t>
      </w:r>
      <w:r>
        <w:rPr/>
        <w:t>亿多元。</w:t>
      </w:r>
    </w:p>
    <w:p>
      <w:pPr>
        <w:spacing w:line="240" w:lineRule="auto" w:before="0"/>
        <w:rPr>
          <w:rFonts w:ascii="宋体" w:hAnsi="宋体" w:cs="宋体" w:eastAsia="宋体" w:hint="default"/>
          <w:sz w:val="18"/>
          <w:szCs w:val="18"/>
        </w:rPr>
      </w:pPr>
    </w:p>
    <w:p>
      <w:pPr>
        <w:pStyle w:val="BodyText"/>
        <w:spacing w:line="240" w:lineRule="auto"/>
        <w:ind w:left="153" w:right="222"/>
        <w:jc w:val="left"/>
      </w:pPr>
      <w:r>
        <w:rPr/>
        <w:t>公司报告期内产品或服务发生重大变化或调整有关情况</w:t>
      </w:r>
    </w:p>
    <w:p>
      <w:pPr>
        <w:pStyle w:val="BodyText"/>
        <w:spacing w:line="561" w:lineRule="auto" w:before="117"/>
        <w:ind w:left="153" w:right="8051"/>
        <w:jc w:val="left"/>
      </w:pPr>
      <w:r>
        <w:rPr/>
        <w:pict>
          <v:shape style="position:absolute;margin-left:56.459999pt;margin-top:50.442303pt;width:479.1pt;height:40.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1,170,981,445.55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w:t>
                        </w:r>
                      </w:p>
                    </w:tc>
                  </w:tr>
                </w:tbl>
                <w:p>
                  <w:pPr/>
                </w:p>
              </w:txbxContent>
            </v:textbox>
            <w10:wrap type="none"/>
          </v:shape>
        </w:pict>
      </w:r>
      <w:r>
        <w:rPr/>
        <w:t>□ 适用 √ 不适用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2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222"/>
        <w:jc w:val="left"/>
      </w:pPr>
      <w:r>
        <w:rPr/>
        <w:t>√ 适用 □ 不适用</w:t>
      </w:r>
    </w:p>
    <w:p>
      <w:pPr>
        <w:spacing w:after="0" w:line="240" w:lineRule="auto"/>
        <w:jc w:val="left"/>
        <w:sectPr>
          <w:type w:val="continuous"/>
          <w:pgSz w:w="11910" w:h="16840"/>
          <w:pgMar w:top="1060" w:bottom="1180" w:left="980" w:right="9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737"/>
        <w:gridCol w:w="2728"/>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613,586,189.25</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226,177,210.57</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129,176,629.10</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115,491,386.50</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86,550,030.13</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7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1,170,981,445.55</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3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864,661,017.90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913,276,842.32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60,261,205.05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67,093,490.04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）营运收入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19,549,443.72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22,238,604.73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90,354,351.88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48,209,260.99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tabs>
                <w:tab w:pos="813" w:val="left" w:leader="none"/>
              </w:tabs>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产品分类</w:t>
      </w:r>
    </w:p>
    <w:p>
      <w:pPr>
        <w:pStyle w:val="BodyText"/>
        <w:spacing w:line="240" w:lineRule="auto" w:before="116"/>
        <w:ind w:left="0" w:right="331"/>
        <w:jc w:val="right"/>
      </w:pPr>
      <w:r>
        <w:rPr/>
        <w:t>单位：元</w:t>
      </w:r>
    </w:p>
    <w:p>
      <w:pPr>
        <w:spacing w:line="240" w:lineRule="auto" w:before="1"/>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510"/>
        <w:gridCol w:w="1260"/>
        <w:gridCol w:w="1440"/>
        <w:gridCol w:w="1087"/>
        <w:gridCol w:w="1367"/>
        <w:gridCol w:w="1084"/>
        <w:gridCol w:w="887"/>
      </w:tblGrid>
      <w:tr>
        <w:trPr>
          <w:trHeight w:val="402" w:hRule="exact"/>
        </w:trPr>
        <w:tc>
          <w:tcPr>
            <w:tcW w:w="25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同比增减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51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 w:right="86"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2" w:right="84" w:hanging="15"/>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8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）货币自动处理设备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864,661,017.90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913,276,842.30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ATM</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841,692,583.39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826,032,201.53</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Times New Roman" w:hAnsi="Times New Roman" w:cs="Times New Roman" w:eastAsia="Times New Roman" w:hint="default"/>
                <w:sz w:val="18"/>
                <w:szCs w:val="18"/>
              </w:rPr>
            </w:pPr>
            <w:r>
              <w:rPr>
                <w:rFonts w:ascii="Times New Roman"/>
                <w:sz w:val="18"/>
              </w:rPr>
              <w:t>AFC</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22,968,434.51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87,244,640.79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-73.67%</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60,261,205.05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67,093,490.04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19,549,443.72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22,238,604.73</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90,354,351.88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48,209,260.99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w:t>
            </w:r>
          </w:p>
        </w:tc>
      </w:tr>
      <w:tr>
        <w:trPr>
          <w:trHeight w:val="402"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1,034,826,018.55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1,050,818,198.08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bl>
    <w:p>
      <w:pPr>
        <w:pStyle w:val="BodyText"/>
        <w:spacing w:line="240" w:lineRule="auto" w:before="51"/>
        <w:ind w:left="244" w:right="0"/>
        <w:jc w:val="left"/>
      </w:pPr>
      <w:r>
        <w:rPr/>
        <w:t>货币自动处理设备相关成本构成说明：</w:t>
      </w:r>
    </w:p>
    <w:p>
      <w:pPr>
        <w:spacing w:line="240" w:lineRule="auto" w:before="1"/>
        <w:rPr>
          <w:rFonts w:ascii="宋体" w:hAnsi="宋体" w:cs="宋体" w:eastAsia="宋体" w:hint="default"/>
          <w:sz w:val="8"/>
          <w:szCs w:val="8"/>
        </w:rPr>
      </w:pPr>
    </w:p>
    <w:tbl>
      <w:tblPr>
        <w:tblW w:w="0" w:type="auto"/>
        <w:jc w:val="left"/>
        <w:tblInd w:w="352" w:type="dxa"/>
        <w:tblLayout w:type="fixed"/>
        <w:tblCellMar>
          <w:top w:w="0" w:type="dxa"/>
          <w:left w:w="0" w:type="dxa"/>
          <w:bottom w:w="0" w:type="dxa"/>
          <w:right w:w="0" w:type="dxa"/>
        </w:tblCellMar>
        <w:tblLook w:val="01E0"/>
      </w:tblPr>
      <w:tblGrid>
        <w:gridCol w:w="4004"/>
        <w:gridCol w:w="2503"/>
        <w:gridCol w:w="2724"/>
      </w:tblGrid>
      <w:tr>
        <w:trPr>
          <w:trHeight w:val="403" w:hRule="exact"/>
        </w:trPr>
        <w:tc>
          <w:tcPr>
            <w:tcW w:w="4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7" w:right="0"/>
              <w:jc w:val="left"/>
              <w:rPr>
                <w:rFonts w:ascii="宋体" w:hAnsi="宋体" w:cs="宋体" w:eastAsia="宋体" w:hint="default"/>
                <w:sz w:val="18"/>
                <w:szCs w:val="18"/>
              </w:rPr>
            </w:pPr>
            <w:r>
              <w:rPr>
                <w:rFonts w:ascii="宋体" w:hAnsi="宋体" w:cs="宋体" w:eastAsia="宋体" w:hint="default"/>
                <w:sz w:val="18"/>
                <w:szCs w:val="18"/>
              </w:rPr>
              <w:t>成本要素</w:t>
            </w:r>
          </w:p>
        </w:tc>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22"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7"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95.50%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95.65%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352" w:type="dxa"/>
        <w:tblLayout w:type="fixed"/>
        <w:tblCellMar>
          <w:top w:w="0" w:type="dxa"/>
          <w:left w:w="0" w:type="dxa"/>
          <w:bottom w:w="0" w:type="dxa"/>
          <w:right w:w="0" w:type="dxa"/>
        </w:tblCellMar>
        <w:tblLook w:val="01E0"/>
      </w:tblPr>
      <w:tblGrid>
        <w:gridCol w:w="4004"/>
        <w:gridCol w:w="2503"/>
        <w:gridCol w:w="2724"/>
      </w:tblGrid>
      <w:tr>
        <w:trPr>
          <w:trHeight w:val="406" w:hRule="exact"/>
        </w:trPr>
        <w:tc>
          <w:tcPr>
            <w:tcW w:w="4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1.75%</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1.58%</w:t>
            </w:r>
          </w:p>
        </w:tc>
      </w:tr>
      <w:tr>
        <w:trPr>
          <w:trHeight w:val="404" w:hRule="exact"/>
        </w:trPr>
        <w:tc>
          <w:tcPr>
            <w:tcW w:w="4004"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2.75%</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2.77%</w:t>
            </w:r>
          </w:p>
        </w:tc>
      </w:tr>
      <w:tr>
        <w:trPr>
          <w:trHeight w:val="415" w:hRule="exact"/>
        </w:trPr>
        <w:tc>
          <w:tcPr>
            <w:tcW w:w="4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100.00%</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56"/>
        <w:ind w:left="513" w:right="0"/>
        <w:jc w:val="left"/>
      </w:pPr>
      <w:r>
        <w:rPr/>
        <w:t>报告期内，公司主营业务市场、主营业务成本构成未发生显著变化。 </w:t>
      </w:r>
      <w:r>
        <w:rPr>
          <w:spacing w:val="-1"/>
        </w:rPr>
        <w:t>报告期内，公司营业成本为</w:t>
      </w:r>
      <w:r>
        <w:rPr>
          <w:rFonts w:ascii="Times New Roman" w:hAnsi="Times New Roman" w:cs="Times New Roman" w:eastAsia="Times New Roman" w:hint="default"/>
          <w:spacing w:val="-1"/>
        </w:rPr>
        <w:t>103,482.60</w:t>
      </w:r>
      <w:r>
        <w:rPr>
          <w:spacing w:val="-1"/>
        </w:rPr>
        <w:t>万元，比去年同期</w:t>
      </w:r>
      <w:r>
        <w:rPr>
          <w:rFonts w:ascii="Times New Roman" w:hAnsi="Times New Roman" w:cs="Times New Roman" w:eastAsia="Times New Roman" w:hint="default"/>
          <w:spacing w:val="-1"/>
        </w:rPr>
        <w:t>105,081.82</w:t>
      </w:r>
      <w:r>
        <w:rPr>
          <w:spacing w:val="-1"/>
        </w:rPr>
        <w:t>万元减少</w:t>
      </w:r>
      <w:r>
        <w:rPr>
          <w:rFonts w:ascii="Times New Roman" w:hAnsi="Times New Roman" w:cs="Times New Roman" w:eastAsia="Times New Roman" w:hint="default"/>
          <w:spacing w:val="-1"/>
        </w:rPr>
        <w:t>1.52%</w:t>
      </w:r>
      <w:r>
        <w:rPr>
          <w:spacing w:val="-1"/>
        </w:rPr>
        <w:t>，其中：货币自动处理设备营业成本</w:t>
      </w:r>
    </w:p>
    <w:p>
      <w:pPr>
        <w:pStyle w:val="BodyText"/>
        <w:spacing w:line="216" w:lineRule="exact"/>
        <w:ind w:right="0"/>
        <w:jc w:val="left"/>
      </w:pPr>
      <w:r>
        <w:rPr>
          <w:rFonts w:ascii="Times New Roman" w:hAnsi="Times New Roman" w:cs="Times New Roman" w:eastAsia="Times New Roman" w:hint="default"/>
        </w:rPr>
        <w:t>86,466.10</w:t>
      </w:r>
      <w:r>
        <w:rPr/>
        <w:t>万元，比去年同期减少</w:t>
      </w:r>
      <w:r>
        <w:rPr>
          <w:rFonts w:ascii="Times New Roman" w:hAnsi="Times New Roman" w:cs="Times New Roman" w:eastAsia="Times New Roman" w:hint="default"/>
        </w:rPr>
        <w:t>5.32%</w:t>
      </w:r>
      <w:r>
        <w:rPr/>
        <w:t>。</w:t>
      </w:r>
    </w:p>
    <w:p>
      <w:pPr>
        <w:pStyle w:val="BodyText"/>
        <w:spacing w:line="302" w:lineRule="auto" w:before="101"/>
        <w:ind w:left="153" w:right="131" w:firstLine="360"/>
        <w:jc w:val="left"/>
      </w:pPr>
      <w:r>
        <w:rPr>
          <w:rFonts w:ascii="Times New Roman" w:hAnsi="Times New Roman" w:cs="Times New Roman" w:eastAsia="Times New Roman" w:hint="default"/>
        </w:rPr>
        <w:t>ATM</w:t>
      </w:r>
      <w:r>
        <w:rPr/>
        <w:t>设备营业成本</w:t>
      </w:r>
      <w:r>
        <w:rPr>
          <w:rFonts w:ascii="Times New Roman" w:hAnsi="Times New Roman" w:cs="Times New Roman" w:eastAsia="Times New Roman" w:hint="default"/>
        </w:rPr>
        <w:t>84,169.26</w:t>
      </w:r>
      <w:r>
        <w:rPr/>
        <w:t>万元，比去年同期增长</w:t>
      </w:r>
      <w:r>
        <w:rPr>
          <w:rFonts w:ascii="Times New Roman" w:hAnsi="Times New Roman" w:cs="Times New Roman" w:eastAsia="Times New Roman" w:hint="default"/>
        </w:rPr>
        <w:t>1.90%</w:t>
      </w:r>
      <w:r>
        <w:rPr/>
        <w:t>，销售毛利率同比上升</w:t>
      </w:r>
      <w:r>
        <w:rPr>
          <w:rFonts w:ascii="Times New Roman" w:hAnsi="Times New Roman" w:cs="Times New Roman" w:eastAsia="Times New Roman" w:hint="default"/>
        </w:rPr>
        <w:t>2.71</w:t>
      </w:r>
      <w:r>
        <w:rPr/>
        <w:t>个百分点，主要原因是公司自主机 芯的</w:t>
      </w:r>
      <w:r>
        <w:rPr>
          <w:rFonts w:ascii="Times New Roman" w:hAnsi="Times New Roman" w:cs="Times New Roman" w:eastAsia="Times New Roman" w:hint="default"/>
        </w:rPr>
        <w:t>ATM</w:t>
      </w:r>
      <w:r>
        <w:rPr/>
        <w:t>设备批量投入生产，以及研发、采购等多个环节采取多种措施降低材料成本，生产成本得到有效控制。</w:t>
      </w:r>
    </w:p>
    <w:p>
      <w:pPr>
        <w:pStyle w:val="BodyText"/>
        <w:spacing w:line="302" w:lineRule="auto" w:before="50"/>
        <w:ind w:left="153" w:right="181" w:firstLine="360"/>
        <w:jc w:val="left"/>
      </w:pPr>
      <w:r>
        <w:rPr>
          <w:rFonts w:ascii="Times New Roman" w:hAnsi="Times New Roman" w:cs="Times New Roman" w:eastAsia="Times New Roman" w:hint="default"/>
        </w:rPr>
        <w:t>AFC</w:t>
      </w:r>
      <w:r>
        <w:rPr/>
        <w:t>设备营业成本</w:t>
      </w:r>
      <w:r>
        <w:rPr>
          <w:rFonts w:ascii="Times New Roman" w:hAnsi="Times New Roman" w:cs="Times New Roman" w:eastAsia="Times New Roman" w:hint="default"/>
        </w:rPr>
        <w:t>2,296.84</w:t>
      </w:r>
      <w:r>
        <w:rPr/>
        <w:t>万元，比去年同期减少</w:t>
      </w:r>
      <w:r>
        <w:rPr>
          <w:rFonts w:ascii="Times New Roman" w:hAnsi="Times New Roman" w:cs="Times New Roman" w:eastAsia="Times New Roman" w:hint="default"/>
        </w:rPr>
        <w:t>73.67%</w:t>
      </w:r>
      <w:r>
        <w:rPr/>
        <w:t>，销售毛利率同比下降</w:t>
      </w:r>
      <w:r>
        <w:rPr>
          <w:rFonts w:ascii="Times New Roman" w:hAnsi="Times New Roman" w:cs="Times New Roman" w:eastAsia="Times New Roman" w:hint="default"/>
        </w:rPr>
        <w:t>7.49</w:t>
      </w:r>
      <w:r>
        <w:rPr/>
        <w:t>个百分点，主要是因设备个性化订 制及销售量下降的影响。</w:t>
      </w:r>
    </w:p>
    <w:p>
      <w:pPr>
        <w:pStyle w:val="BodyText"/>
        <w:spacing w:line="302" w:lineRule="auto" w:before="68"/>
        <w:ind w:left="153" w:right="171" w:firstLine="360"/>
        <w:jc w:val="left"/>
      </w:pPr>
      <w:r>
        <w:rPr/>
        <w:t>设备配件营业成本</w:t>
      </w:r>
      <w:r>
        <w:rPr>
          <w:rFonts w:ascii="Times New Roman" w:hAnsi="Times New Roman" w:cs="Times New Roman" w:eastAsia="Times New Roman" w:hint="default"/>
        </w:rPr>
        <w:t>6,026.12</w:t>
      </w:r>
      <w:r>
        <w:rPr/>
        <w:t>万元，比去年同期减少</w:t>
      </w:r>
      <w:r>
        <w:rPr>
          <w:rFonts w:ascii="Times New Roman" w:hAnsi="Times New Roman" w:cs="Times New Roman" w:eastAsia="Times New Roman" w:hint="default"/>
        </w:rPr>
        <w:t>10.18%</w:t>
      </w:r>
      <w:r>
        <w:rPr/>
        <w:t>，销售毛利率同比下降</w:t>
      </w:r>
      <w:r>
        <w:rPr>
          <w:rFonts w:ascii="Times New Roman" w:hAnsi="Times New Roman" w:cs="Times New Roman" w:eastAsia="Times New Roman" w:hint="default"/>
        </w:rPr>
        <w:t>2.23</w:t>
      </w:r>
      <w:r>
        <w:rPr/>
        <w:t>个百分点，主要是设备配件销售价 格下降所致。</w:t>
      </w:r>
    </w:p>
    <w:p>
      <w:pPr>
        <w:pStyle w:val="BodyText"/>
        <w:spacing w:line="302" w:lineRule="auto" w:before="68"/>
        <w:ind w:left="153" w:right="131" w:firstLine="360"/>
        <w:jc w:val="left"/>
      </w:pPr>
      <w:r>
        <w:rPr>
          <w:rFonts w:ascii="Times New Roman" w:hAnsi="Times New Roman" w:cs="Times New Roman" w:eastAsia="Times New Roman" w:hint="default"/>
        </w:rPr>
        <w:t>ATM</w:t>
      </w:r>
      <w:r>
        <w:rPr/>
        <w:t>营运营业成本</w:t>
      </w:r>
      <w:r>
        <w:rPr>
          <w:rFonts w:ascii="Times New Roman" w:hAnsi="Times New Roman" w:cs="Times New Roman" w:eastAsia="Times New Roman" w:hint="default"/>
        </w:rPr>
        <w:t>1,954.94</w:t>
      </w:r>
      <w:r>
        <w:rPr/>
        <w:t>万元，比去年同期减少</w:t>
      </w:r>
      <w:r>
        <w:rPr>
          <w:rFonts w:ascii="Times New Roman" w:hAnsi="Times New Roman" w:cs="Times New Roman" w:eastAsia="Times New Roman" w:hint="default"/>
        </w:rPr>
        <w:t>12.09%</w:t>
      </w:r>
      <w:r>
        <w:rPr/>
        <w:t>，销售毛利率同比上升</w:t>
      </w:r>
      <w:r>
        <w:rPr>
          <w:rFonts w:ascii="Times New Roman" w:hAnsi="Times New Roman" w:cs="Times New Roman" w:eastAsia="Times New Roman" w:hint="default"/>
        </w:rPr>
        <w:t>2.89</w:t>
      </w:r>
      <w:r>
        <w:rPr/>
        <w:t>个百分点，主要是营运设备的固定 资产折旧减少所致。</w:t>
      </w:r>
    </w:p>
    <w:p>
      <w:pPr>
        <w:pStyle w:val="BodyText"/>
        <w:spacing w:line="302" w:lineRule="auto" w:before="69"/>
        <w:ind w:left="153" w:right="132" w:firstLine="360"/>
        <w:jc w:val="left"/>
      </w:pPr>
      <w:r>
        <w:rPr/>
        <w:t>设备维护及服务营业成本</w:t>
      </w:r>
      <w:r>
        <w:rPr>
          <w:rFonts w:ascii="Times New Roman" w:hAnsi="Times New Roman" w:cs="Times New Roman" w:eastAsia="Times New Roman" w:hint="default"/>
        </w:rPr>
        <w:t>9,035.44</w:t>
      </w:r>
      <w:r>
        <w:rPr/>
        <w:t>万元，比去年同期增长</w:t>
      </w:r>
      <w:r>
        <w:rPr>
          <w:rFonts w:ascii="Times New Roman" w:hAnsi="Times New Roman" w:cs="Times New Roman" w:eastAsia="Times New Roman" w:hint="default"/>
        </w:rPr>
        <w:t>87.42%</w:t>
      </w:r>
      <w:r>
        <w:rPr/>
        <w:t>，销售毛利率同比下降</w:t>
      </w:r>
      <w:r>
        <w:rPr>
          <w:spacing w:val="-51"/>
        </w:rPr>
        <w:t> </w:t>
      </w:r>
      <w:r>
        <w:rPr>
          <w:rFonts w:ascii="Times New Roman" w:hAnsi="Times New Roman" w:cs="Times New Roman" w:eastAsia="Times New Roman" w:hint="default"/>
        </w:rPr>
        <w:t>8.77</w:t>
      </w:r>
      <w:r>
        <w:rPr/>
        <w:t>个百分点，主要是设备维护 网点及人工成本的增加影响。</w:t>
      </w:r>
    </w:p>
    <w:p>
      <w:pPr>
        <w:spacing w:line="240" w:lineRule="auto" w:before="7"/>
        <w:rPr>
          <w:rFonts w:ascii="宋体" w:hAnsi="宋体" w:cs="宋体" w:eastAsia="宋体" w:hint="default"/>
          <w:sz w:val="20"/>
          <w:szCs w:val="20"/>
        </w:rPr>
      </w:pPr>
    </w:p>
    <w:p>
      <w:pPr>
        <w:pStyle w:val="BodyText"/>
        <w:spacing w:line="240" w:lineRule="auto"/>
        <w:ind w:left="153"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353,261,623.58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34.72%</w:t>
            </w:r>
          </w:p>
        </w:tc>
      </w:tr>
    </w:tbl>
    <w:p>
      <w:pPr>
        <w:spacing w:line="240" w:lineRule="auto" w:before="11"/>
        <w:rPr>
          <w:rFonts w:ascii="宋体" w:hAnsi="宋体" w:cs="宋体" w:eastAsia="宋体" w:hint="default"/>
          <w:sz w:val="15"/>
          <w:szCs w:val="15"/>
        </w:rPr>
      </w:pPr>
    </w:p>
    <w:p>
      <w:pPr>
        <w:pStyle w:val="BodyText"/>
        <w:spacing w:line="240" w:lineRule="auto" w:before="44"/>
        <w:ind w:right="0"/>
        <w:jc w:val="left"/>
      </w:pPr>
      <w:r>
        <w:rPr/>
        <w:pict>
          <v:group style="position:absolute;margin-left:269.820007pt;margin-top:-31.057968pt;width:263.9pt;height:20.8pt;mso-position-horizontal-relative:page;mso-position-vertical-relative:paragraph;z-index:-1105912" coordorigin="5396,-621" coordsize="5278,416">
            <v:group style="position:absolute;left:5408;top:-610;width:2;height:393" coordorigin="5408,-610" coordsize="2,393">
              <v:shape style="position:absolute;left:5408;top:-610;width:2;height:393" coordorigin="5408,-610" coordsize="0,393" path="m5408,-610l5408,-217e" filled="false" stroked="true" strokeweight="1.140pt" strokecolor="#ffffff">
                <v:path arrowok="t"/>
              </v:shape>
            </v:group>
            <v:group style="position:absolute;left:5419;top:-610;width:5255;height:393" coordorigin="5419,-610" coordsize="5255,393">
              <v:shape style="position:absolute;left:5419;top:-610;width:5255;height:393" coordorigin="5419,-610" coordsize="5255,393" path="m5419,-217l10674,-217,10674,-610,5419,-610,5419,-217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757"/>
        <w:gridCol w:w="2340"/>
        <w:gridCol w:w="2548"/>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Hitachi East Asia</w:t>
            </w:r>
            <w:r>
              <w:rPr>
                <w:rFonts w:ascii="Times New Roman"/>
                <w:spacing w:val="-14"/>
                <w:sz w:val="18"/>
              </w:rPr>
              <w:t> </w:t>
            </w:r>
            <w:r>
              <w:rPr>
                <w:rFonts w:ascii="Times New Roman"/>
                <w:sz w:val="18"/>
              </w:rPr>
              <w:t>Limited</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183,768,567.70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金锋科技发展有限公司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57,575,598.44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深圳市巨潮科技有限公司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38,707,669.48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W.I.M.(HONG </w:t>
            </w:r>
            <w:r>
              <w:rPr>
                <w:rFonts w:ascii="Times New Roman"/>
                <w:sz w:val="18"/>
              </w:rPr>
              <w:t>KONG) </w:t>
            </w:r>
            <w:r>
              <w:rPr>
                <w:rFonts w:ascii="Times New Roman"/>
                <w:spacing w:val="-3"/>
                <w:sz w:val="18"/>
              </w:rPr>
              <w:t>COMPANY</w:t>
            </w:r>
            <w:r>
              <w:rPr>
                <w:rFonts w:ascii="Times New Roman"/>
                <w:spacing w:val="-7"/>
                <w:sz w:val="18"/>
              </w:rPr>
              <w:t> </w:t>
            </w:r>
            <w:r>
              <w:rPr>
                <w:rFonts w:ascii="Times New Roman"/>
                <w:sz w:val="18"/>
              </w:rPr>
              <w:t>LIMITED</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37,082,769.10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上海研华慧胜智能科技有限公司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36,127,018.86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4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353,261,623.58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18"/>
        <w:jc w:val="right"/>
      </w:pPr>
      <w:r>
        <w:rPr/>
        <w:t>单位：元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54"/>
        <w:gridCol w:w="1811"/>
        <w:gridCol w:w="1316"/>
        <w:gridCol w:w="1691"/>
        <w:gridCol w:w="1330"/>
        <w:gridCol w:w="1382"/>
      </w:tblGrid>
      <w:tr>
        <w:trPr>
          <w:trHeight w:val="347" w:hRule="exact"/>
        </w:trPr>
        <w:tc>
          <w:tcPr>
            <w:tcW w:w="195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12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30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38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59" w:hRule="exact"/>
        </w:trPr>
        <w:tc>
          <w:tcPr>
            <w:tcW w:w="1954" w:type="dxa"/>
            <w:vMerge/>
            <w:tcBorders>
              <w:left w:val="single" w:sz="6" w:space="0" w:color="000000"/>
              <w:bottom w:val="single" w:sz="6" w:space="0" w:color="000000"/>
              <w:right w:val="single" w:sz="6" w:space="0" w:color="000000"/>
            </w:tcBorders>
            <w:shd w:val="clear" w:color="auto" w:fill="D9D9D9"/>
          </w:tcPr>
          <w:p>
            <w:pPr/>
          </w:p>
        </w:tc>
        <w:tc>
          <w:tcPr>
            <w:tcW w:w="18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82" w:type="dxa"/>
            <w:vMerge/>
            <w:tcBorders>
              <w:left w:val="single" w:sz="6" w:space="0" w:color="000000"/>
              <w:bottom w:val="single" w:sz="6" w:space="0" w:color="000000"/>
              <w:right w:val="single" w:sz="6" w:space="0" w:color="000000"/>
            </w:tcBorders>
            <w:shd w:val="clear" w:color="auto" w:fill="D9D9D9"/>
          </w:tcPr>
          <w:p>
            <w:pP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1,034,826,018.55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47.72%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1,050,818,198.08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-1.52%</w:t>
            </w:r>
          </w:p>
        </w:tc>
      </w:tr>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40,122,243.94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34,911,232.38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1954"/>
        <w:gridCol w:w="1811"/>
        <w:gridCol w:w="1316"/>
        <w:gridCol w:w="1691"/>
        <w:gridCol w:w="1330"/>
        <w:gridCol w:w="1382"/>
      </w:tblGrid>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332,901,259.58</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15.35%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292,649,912.90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14.01%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13.75%</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257,860,466.04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203,129,434.55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26.94%</w:t>
            </w:r>
          </w:p>
        </w:tc>
      </w:tr>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-11,576,546.45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-0.53%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-1,549,121.64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-647.30%</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-1,252,368.99</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5,970,518.47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-120.98%</w:t>
            </w:r>
          </w:p>
        </w:tc>
      </w:tr>
      <w:tr>
        <w:trPr>
          <w:trHeight w:val="3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141,735,190.75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93,195,691.12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4.46%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52.08%</w:t>
            </w:r>
          </w:p>
        </w:tc>
      </w:tr>
      <w:tr>
        <w:trPr>
          <w:trHeight w:val="34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66,233,824.12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87,171,152.07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-24.02%</w:t>
            </w:r>
          </w:p>
        </w:tc>
      </w:tr>
    </w:tbl>
    <w:p>
      <w:pPr>
        <w:pStyle w:val="BodyText"/>
        <w:spacing w:line="240" w:lineRule="auto" w:before="51"/>
        <w:ind w:left="311" w:right="90"/>
        <w:jc w:val="left"/>
      </w:pPr>
      <w:r>
        <w:rPr/>
        <w:t>变动原因分析：</w:t>
      </w:r>
    </w:p>
    <w:p>
      <w:pPr>
        <w:pStyle w:val="BodyText"/>
        <w:spacing w:line="302" w:lineRule="auto" w:before="115"/>
        <w:ind w:right="255" w:firstLine="360"/>
        <w:jc w:val="left"/>
      </w:pPr>
      <w:r>
        <w:rPr/>
        <w:t>（</w:t>
      </w:r>
      <w:r>
        <w:rPr>
          <w:rFonts w:ascii="Times New Roman" w:hAnsi="Times New Roman" w:cs="Times New Roman" w:eastAsia="Times New Roman" w:hint="default"/>
        </w:rPr>
        <w:t>1</w:t>
      </w:r>
      <w:r>
        <w:rPr/>
        <w:t>）报告期内，公司营业成本为</w:t>
      </w:r>
      <w:r>
        <w:rPr>
          <w:rFonts w:ascii="Times New Roman" w:hAnsi="Times New Roman" w:cs="Times New Roman" w:eastAsia="Times New Roman" w:hint="default"/>
        </w:rPr>
        <w:t>103,482.60</w:t>
      </w:r>
      <w:r>
        <w:rPr/>
        <w:t>万元，比去年同期</w:t>
      </w:r>
      <w:r>
        <w:rPr>
          <w:rFonts w:ascii="Times New Roman" w:hAnsi="Times New Roman" w:cs="Times New Roman" w:eastAsia="Times New Roman" w:hint="default"/>
        </w:rPr>
        <w:t>105,081.82</w:t>
      </w:r>
      <w:r>
        <w:rPr/>
        <w:t>万元减少</w:t>
      </w:r>
      <w:r>
        <w:rPr>
          <w:rFonts w:ascii="Times New Roman" w:hAnsi="Times New Roman" w:cs="Times New Roman" w:eastAsia="Times New Roman" w:hint="default"/>
        </w:rPr>
        <w:t>1.52%</w:t>
      </w:r>
      <w:r>
        <w:rPr/>
        <w:t>，营业成本增长幅度低于营业 收入增长幅度；</w:t>
      </w:r>
    </w:p>
    <w:p>
      <w:pPr>
        <w:pStyle w:val="BodyText"/>
        <w:spacing w:line="302" w:lineRule="auto" w:before="69"/>
        <w:ind w:right="90" w:firstLine="450"/>
        <w:jc w:val="left"/>
      </w:pPr>
      <w:r>
        <w:rPr>
          <w:rFonts w:ascii="Times New Roman" w:hAnsi="Times New Roman" w:cs="Times New Roman" w:eastAsia="Times New Roman" w:hint="default"/>
          <w:spacing w:val="-1"/>
        </w:rPr>
        <w:t>2012</w:t>
      </w:r>
      <w:r>
        <w:rPr>
          <w:spacing w:val="-1"/>
        </w:rPr>
        <w:t>年，公司营业成本占营业收入的</w:t>
      </w:r>
      <w:r>
        <w:rPr>
          <w:rFonts w:ascii="Times New Roman" w:hAnsi="Times New Roman" w:cs="Times New Roman" w:eastAsia="Times New Roman" w:hint="default"/>
          <w:spacing w:val="-1"/>
        </w:rPr>
        <w:t>47.72%</w:t>
      </w:r>
      <w:r>
        <w:rPr>
          <w:spacing w:val="-1"/>
        </w:rPr>
        <w:t>，比去年同期</w:t>
      </w:r>
      <w:r>
        <w:rPr>
          <w:rFonts w:ascii="Times New Roman" w:hAnsi="Times New Roman" w:cs="Times New Roman" w:eastAsia="Times New Roman" w:hint="default"/>
          <w:spacing w:val="-1"/>
        </w:rPr>
        <w:t>50.29%</w:t>
      </w:r>
      <w:r>
        <w:rPr>
          <w:spacing w:val="-1"/>
        </w:rPr>
        <w:t>下降</w:t>
      </w:r>
      <w:r>
        <w:rPr>
          <w:rFonts w:ascii="Times New Roman" w:hAnsi="Times New Roman" w:cs="Times New Roman" w:eastAsia="Times New Roman" w:hint="default"/>
          <w:spacing w:val="-1"/>
        </w:rPr>
        <w:t>2.57</w:t>
      </w:r>
      <w:r>
        <w:rPr>
          <w:spacing w:val="-1"/>
        </w:rPr>
        <w:t>个百分点，即综合毛利率上升</w:t>
      </w:r>
      <w:r>
        <w:rPr>
          <w:rFonts w:ascii="Times New Roman" w:hAnsi="Times New Roman" w:cs="Times New Roman" w:eastAsia="Times New Roman" w:hint="default"/>
          <w:spacing w:val="-1"/>
        </w:rPr>
        <w:t>2.57</w:t>
      </w:r>
      <w:r>
        <w:rPr>
          <w:spacing w:val="-1"/>
        </w:rPr>
        <w:t>个百分点；</w:t>
      </w:r>
      <w:r>
        <w:rPr/>
        <w:t> 主要是由于自主核心技术模块的批量销售使得毛利率提升；</w:t>
      </w:r>
    </w:p>
    <w:p>
      <w:pPr>
        <w:pStyle w:val="BodyText"/>
        <w:spacing w:line="240" w:lineRule="auto" w:before="69"/>
        <w:ind w:left="514" w:right="90"/>
        <w:jc w:val="left"/>
      </w:pPr>
      <w:r>
        <w:rPr/>
        <w:t>（</w:t>
      </w:r>
      <w:r>
        <w:rPr>
          <w:rFonts w:ascii="Times New Roman" w:hAnsi="Times New Roman" w:cs="Times New Roman" w:eastAsia="Times New Roman" w:hint="default"/>
        </w:rPr>
        <w:t>2</w:t>
      </w:r>
      <w:r>
        <w:rPr/>
        <w:t>）报告期内，营业税金及附加比去年同期增长</w:t>
      </w:r>
      <w:r>
        <w:rPr>
          <w:rFonts w:ascii="Times New Roman" w:hAnsi="Times New Roman" w:cs="Times New Roman" w:eastAsia="Times New Roman" w:hint="default"/>
        </w:rPr>
        <w:t>14.93%</w:t>
      </w:r>
      <w:r>
        <w:rPr/>
        <w:t>，主要是由于业务量增加引起的流转税增加所致；</w:t>
      </w:r>
    </w:p>
    <w:p>
      <w:pPr>
        <w:pStyle w:val="BodyText"/>
        <w:spacing w:line="307" w:lineRule="auto" w:before="101"/>
        <w:ind w:right="90" w:firstLine="360"/>
        <w:jc w:val="left"/>
      </w:pPr>
      <w:r>
        <w:rPr>
          <w:spacing w:val="-1"/>
        </w:rPr>
        <w:t>（</w:t>
      </w:r>
      <w:r>
        <w:rPr>
          <w:rFonts w:ascii="Times New Roman" w:hAnsi="Times New Roman" w:cs="Times New Roman" w:eastAsia="Times New Roman" w:hint="default"/>
          <w:spacing w:val="-1"/>
        </w:rPr>
        <w:t>3</w:t>
      </w:r>
      <w:r>
        <w:rPr>
          <w:spacing w:val="-1"/>
        </w:rPr>
        <w:t>）报告期内，销售费用和管理费用同比增长分别为</w:t>
      </w:r>
      <w:r>
        <w:rPr>
          <w:rFonts w:ascii="Times New Roman" w:hAnsi="Times New Roman" w:cs="Times New Roman" w:eastAsia="Times New Roman" w:hint="default"/>
          <w:spacing w:val="-1"/>
        </w:rPr>
        <w:t>13.75%</w:t>
      </w:r>
      <w:r>
        <w:rPr>
          <w:spacing w:val="-1"/>
        </w:rPr>
        <w:t>、</w:t>
      </w:r>
      <w:r>
        <w:rPr>
          <w:rFonts w:ascii="Times New Roman" w:hAnsi="Times New Roman" w:cs="Times New Roman" w:eastAsia="Times New Roman" w:hint="default"/>
          <w:spacing w:val="-1"/>
        </w:rPr>
        <w:t>26.94%</w:t>
      </w:r>
      <w:r>
        <w:rPr>
          <w:spacing w:val="-1"/>
        </w:rPr>
        <w:t>，上述两项费用合计增长</w:t>
      </w:r>
      <w:r>
        <w:rPr>
          <w:rFonts w:ascii="Times New Roman" w:hAnsi="Times New Roman" w:cs="Times New Roman" w:eastAsia="Times New Roman" w:hint="default"/>
          <w:spacing w:val="-1"/>
        </w:rPr>
        <w:t>19.16%</w:t>
      </w:r>
      <w:r>
        <w:rPr>
          <w:spacing w:val="-1"/>
        </w:rPr>
        <w:t>，主要是由于销</w:t>
      </w:r>
      <w:r>
        <w:rPr/>
        <w:t> </w:t>
      </w:r>
      <w:r>
        <w:rPr>
          <w:spacing w:val="-2"/>
        </w:rPr>
        <w:t>售额增加，使得直接与销售量和销售额相关的工资、运输费等销售费用随之增加；管理费用中，随着公司规模增大、员工增</w:t>
      </w:r>
      <w:r>
        <w:rPr>
          <w:spacing w:val="-66"/>
        </w:rPr>
        <w:t> </w:t>
      </w:r>
      <w:r>
        <w:rPr>
          <w:spacing w:val="-66"/>
        </w:rPr>
      </w:r>
      <w:r>
        <w:rPr/>
        <w:t>加及核心技术研发投入加大，工资性费用、研究开发费均有较大的增长。上述两项费用占营业收入比重为</w:t>
      </w:r>
      <w:r>
        <w:rPr>
          <w:rFonts w:ascii="Times New Roman" w:hAnsi="Times New Roman" w:cs="Times New Roman" w:eastAsia="Times New Roman" w:hint="default"/>
        </w:rPr>
        <w:t>27.24%</w:t>
      </w:r>
      <w:r>
        <w:rPr/>
        <w:t>，比去年 同期上升</w:t>
      </w:r>
      <w:r>
        <w:rPr>
          <w:rFonts w:ascii="Times New Roman" w:hAnsi="Times New Roman" w:cs="Times New Roman" w:eastAsia="Times New Roman" w:hint="default"/>
        </w:rPr>
        <w:t>3.51</w:t>
      </w:r>
      <w:r>
        <w:rPr/>
        <w:t>个百分点；</w:t>
      </w:r>
    </w:p>
    <w:p>
      <w:pPr>
        <w:pStyle w:val="BodyText"/>
        <w:spacing w:line="302" w:lineRule="auto" w:before="45"/>
        <w:ind w:left="153" w:right="90" w:firstLine="360"/>
        <w:jc w:val="left"/>
      </w:pPr>
      <w:r>
        <w:rPr>
          <w:spacing w:val="-2"/>
        </w:rPr>
        <w:t>（</w:t>
      </w:r>
      <w:r>
        <w:rPr>
          <w:rFonts w:ascii="Times New Roman" w:hAnsi="Times New Roman" w:cs="Times New Roman" w:eastAsia="Times New Roman" w:hint="default"/>
          <w:spacing w:val="-2"/>
        </w:rPr>
        <w:t>4</w:t>
      </w:r>
      <w:r>
        <w:rPr>
          <w:spacing w:val="-2"/>
        </w:rPr>
        <w:t>）报告期内，公司财务费用为</w:t>
      </w:r>
      <w:r>
        <w:rPr>
          <w:rFonts w:ascii="Times New Roman" w:hAnsi="Times New Roman" w:cs="Times New Roman" w:eastAsia="Times New Roman" w:hint="default"/>
          <w:spacing w:val="-2"/>
        </w:rPr>
        <w:t>-1,157.65</w:t>
      </w:r>
      <w:r>
        <w:rPr>
          <w:spacing w:val="-2"/>
        </w:rPr>
        <w:t>万元，比去年同期</w:t>
      </w:r>
      <w:r>
        <w:rPr>
          <w:rFonts w:ascii="Times New Roman" w:hAnsi="Times New Roman" w:cs="Times New Roman" w:eastAsia="Times New Roman" w:hint="default"/>
          <w:spacing w:val="-2"/>
        </w:rPr>
        <w:t>-154.91</w:t>
      </w:r>
      <w:r>
        <w:rPr>
          <w:spacing w:val="-2"/>
        </w:rPr>
        <w:t>万元减少</w:t>
      </w:r>
      <w:r>
        <w:rPr>
          <w:rFonts w:ascii="Times New Roman" w:hAnsi="Times New Roman" w:cs="Times New Roman" w:eastAsia="Times New Roman" w:hint="default"/>
          <w:spacing w:val="-2"/>
        </w:rPr>
        <w:t>647.30%</w:t>
      </w:r>
      <w:r>
        <w:rPr>
          <w:spacing w:val="-2"/>
        </w:rPr>
        <w:t>，主要是存款利息收入增加及受人</w:t>
      </w:r>
      <w:r>
        <w:rPr/>
        <w:t> 民币汇率波动的影响汇兑收益比去年同期增加所致；</w:t>
      </w:r>
    </w:p>
    <w:p>
      <w:pPr>
        <w:pStyle w:val="BodyText"/>
        <w:spacing w:line="240" w:lineRule="auto" w:before="70"/>
        <w:ind w:left="513" w:right="90"/>
        <w:jc w:val="left"/>
      </w:pPr>
      <w:r>
        <w:rPr/>
        <w:t>（</w:t>
      </w:r>
      <w:r>
        <w:rPr>
          <w:rFonts w:ascii="Times New Roman" w:hAnsi="Times New Roman" w:cs="Times New Roman" w:eastAsia="Times New Roman" w:hint="default"/>
        </w:rPr>
        <w:t>5</w:t>
      </w:r>
      <w:r>
        <w:rPr/>
        <w:t>）报告期内，资产减值损失比去年同期减少</w:t>
      </w:r>
      <w:r>
        <w:rPr>
          <w:rFonts w:ascii="Times New Roman" w:hAnsi="Times New Roman" w:cs="Times New Roman" w:eastAsia="Times New Roman" w:hint="default"/>
        </w:rPr>
        <w:t>120.98%</w:t>
      </w:r>
      <w:r>
        <w:rPr/>
        <w:t>，主要是应收账款及时回笼，坏帐准备计提减少所致；</w:t>
      </w:r>
    </w:p>
    <w:p>
      <w:pPr>
        <w:pStyle w:val="BodyText"/>
        <w:spacing w:line="302" w:lineRule="auto" w:before="101"/>
        <w:ind w:left="153" w:right="256" w:firstLine="360"/>
        <w:jc w:val="left"/>
      </w:pPr>
      <w:r>
        <w:rPr/>
        <w:t>（</w:t>
      </w:r>
      <w:r>
        <w:rPr>
          <w:rFonts w:ascii="Times New Roman" w:hAnsi="Times New Roman" w:cs="Times New Roman" w:eastAsia="Times New Roman" w:hint="default"/>
        </w:rPr>
        <w:t>6</w:t>
      </w:r>
      <w:r>
        <w:rPr/>
        <w:t>）报告期内，公司营业外收入</w:t>
      </w:r>
      <w:r>
        <w:rPr>
          <w:rFonts w:ascii="Times New Roman" w:hAnsi="Times New Roman" w:cs="Times New Roman" w:eastAsia="Times New Roman" w:hint="default"/>
        </w:rPr>
        <w:t>14,173.52</w:t>
      </w:r>
      <w:r>
        <w:rPr/>
        <w:t>万元，比去年同期增加</w:t>
      </w:r>
      <w:r>
        <w:rPr>
          <w:rFonts w:ascii="Times New Roman" w:hAnsi="Times New Roman" w:cs="Times New Roman" w:eastAsia="Times New Roman" w:hint="default"/>
        </w:rPr>
        <w:t>4,853.95</w:t>
      </w:r>
      <w:r>
        <w:rPr/>
        <w:t>万元，增长</w:t>
      </w:r>
      <w:r>
        <w:rPr>
          <w:rFonts w:ascii="Times New Roman" w:hAnsi="Times New Roman" w:cs="Times New Roman" w:eastAsia="Times New Roman" w:hint="default"/>
        </w:rPr>
        <w:t>52.08%</w:t>
      </w:r>
      <w:r>
        <w:rPr/>
        <w:t>，主要是实际收到的软件 产品退税款增加</w:t>
      </w:r>
      <w:r>
        <w:rPr>
          <w:rFonts w:ascii="Times New Roman" w:hAnsi="Times New Roman" w:cs="Times New Roman" w:eastAsia="Times New Roman" w:hint="default"/>
        </w:rPr>
        <w:t>4,663.66</w:t>
      </w:r>
      <w:r>
        <w:rPr/>
        <w:t>万元，以及其他政府补贴增加</w:t>
      </w:r>
      <w:r>
        <w:rPr>
          <w:rFonts w:ascii="Times New Roman" w:hAnsi="Times New Roman" w:cs="Times New Roman" w:eastAsia="Times New Roman" w:hint="default"/>
        </w:rPr>
        <w:t>542.85</w:t>
      </w:r>
      <w:r>
        <w:rPr/>
        <w:t>万元所致；</w:t>
      </w:r>
    </w:p>
    <w:p>
      <w:pPr>
        <w:pStyle w:val="BodyText"/>
        <w:spacing w:line="300" w:lineRule="auto" w:before="49"/>
        <w:ind w:left="153" w:right="214" w:firstLine="360"/>
        <w:jc w:val="left"/>
      </w:pPr>
      <w:r>
        <w:rPr/>
        <w:t>（</w:t>
      </w:r>
      <w:r>
        <w:rPr>
          <w:rFonts w:ascii="Times New Roman" w:hAnsi="Times New Roman" w:cs="Times New Roman" w:eastAsia="Times New Roman" w:hint="default"/>
        </w:rPr>
        <w:t>7</w:t>
      </w:r>
      <w:r>
        <w:rPr/>
        <w:t>）报告期内，公司所得税费用比上年同期减少</w:t>
      </w:r>
      <w:r>
        <w:rPr>
          <w:rFonts w:ascii="Times New Roman" w:hAnsi="Times New Roman" w:cs="Times New Roman" w:eastAsia="Times New Roman" w:hint="default"/>
        </w:rPr>
        <w:t>24.02%</w:t>
      </w:r>
      <w:r>
        <w:rPr/>
        <w:t>，主要是</w:t>
      </w:r>
      <w:r>
        <w:rPr>
          <w:rFonts w:ascii="Times New Roman" w:hAnsi="Times New Roman" w:cs="Times New Roman" w:eastAsia="Times New Roman" w:hint="default"/>
        </w:rPr>
        <w:t>2011</w:t>
      </w:r>
      <w:r>
        <w:rPr/>
        <w:t>年企业所得税是按</w:t>
      </w:r>
      <w:r>
        <w:rPr>
          <w:rFonts w:ascii="Times New Roman" w:hAnsi="Times New Roman" w:cs="Times New Roman" w:eastAsia="Times New Roman" w:hint="default"/>
        </w:rPr>
        <w:t>15%</w:t>
      </w:r>
      <w:r>
        <w:rPr/>
        <w:t>税率缴纳，</w:t>
      </w:r>
      <w:r>
        <w:rPr>
          <w:rFonts w:ascii="Times New Roman" w:hAnsi="Times New Roman" w:cs="Times New Roman" w:eastAsia="Times New Roman" w:hint="default"/>
        </w:rPr>
        <w:t>2012</w:t>
      </w:r>
      <w:r>
        <w:rPr/>
        <w:t>年公司被 认定为</w:t>
      </w:r>
      <w:r>
        <w:rPr>
          <w:rFonts w:ascii="Times New Roman" w:hAnsi="Times New Roman" w:cs="Times New Roman" w:eastAsia="Times New Roman" w:hint="default"/>
        </w:rPr>
        <w:t>“2011-2012</w:t>
      </w:r>
      <w:r>
        <w:rPr/>
        <w:t>年度国家规划布局内重点软件企业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年享受减按</w:t>
      </w:r>
      <w:r>
        <w:rPr>
          <w:rFonts w:ascii="Times New Roman" w:hAnsi="Times New Roman" w:cs="Times New Roman" w:eastAsia="Times New Roman" w:hint="default"/>
        </w:rPr>
        <w:t>10%</w:t>
      </w:r>
      <w:r>
        <w:rPr/>
        <w:t>的税率缴纳企业所得税，而</w:t>
      </w:r>
      <w:r>
        <w:rPr>
          <w:rFonts w:ascii="Times New Roman" w:hAnsi="Times New Roman" w:cs="Times New Roman" w:eastAsia="Times New Roman" w:hint="default"/>
        </w:rPr>
        <w:t>2011</w:t>
      </w:r>
      <w:r>
        <w:rPr/>
        <w:t>年度已缴纳的 企业所得税税款将根据相关法规在</w:t>
      </w:r>
      <w:r>
        <w:rPr>
          <w:rFonts w:ascii="Times New Roman" w:hAnsi="Times New Roman" w:cs="Times New Roman" w:eastAsia="Times New Roman" w:hint="default"/>
        </w:rPr>
        <w:t>2013</w:t>
      </w:r>
      <w:r>
        <w:rPr/>
        <w:t>年申请退还，会对公司</w:t>
      </w:r>
      <w:r>
        <w:rPr>
          <w:rFonts w:ascii="Times New Roman" w:hAnsi="Times New Roman" w:cs="Times New Roman" w:eastAsia="Times New Roman" w:hint="default"/>
        </w:rPr>
        <w:t>2013</w:t>
      </w:r>
      <w:r>
        <w:rPr/>
        <w:t>年度盈利水平产生积极影响。</w:t>
      </w:r>
    </w:p>
    <w:p>
      <w:pPr>
        <w:spacing w:line="240" w:lineRule="auto" w:before="13"/>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90"/>
        <w:jc w:val="left"/>
      </w:pPr>
      <w:r>
        <w:rPr/>
        <w:t>公司近三年研发投入情况如下：</w:t>
      </w:r>
    </w:p>
    <w:p>
      <w:pPr>
        <w:spacing w:line="240" w:lineRule="auto" w:before="0"/>
        <w:rPr>
          <w:rFonts w:ascii="宋体" w:hAnsi="宋体" w:cs="宋体" w:eastAsia="宋体" w:hint="default"/>
          <w:sz w:val="15"/>
          <w:szCs w:val="15"/>
        </w:rPr>
      </w:pPr>
    </w:p>
    <w:p>
      <w:pPr>
        <w:pStyle w:val="BodyText"/>
        <w:spacing w:line="240" w:lineRule="auto"/>
        <w:ind w:left="0" w:right="55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20"/>
        <w:gridCol w:w="2160"/>
        <w:gridCol w:w="2160"/>
        <w:gridCol w:w="2520"/>
      </w:tblGrid>
      <w:tr>
        <w:trPr>
          <w:trHeight w:val="350"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限</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占营业收入的比（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占净资产的比（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1"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155,218,810.73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7.16%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Times New Roman" w:hAnsi="Times New Roman" w:cs="Times New Roman" w:eastAsia="Times New Roman" w:hint="default"/>
                <w:sz w:val="20"/>
                <w:szCs w:val="20"/>
              </w:rPr>
            </w:pPr>
            <w:r>
              <w:rPr>
                <w:rFonts w:ascii="Times New Roman"/>
                <w:sz w:val="20"/>
              </w:rPr>
              <w:t>5.18%</w:t>
            </w:r>
          </w:p>
        </w:tc>
      </w:tr>
      <w:tr>
        <w:trPr>
          <w:trHeight w:val="331"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124,520,199.40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5.96%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Times New Roman" w:hAnsi="Times New Roman" w:cs="Times New Roman" w:eastAsia="Times New Roman" w:hint="default"/>
                <w:sz w:val="20"/>
                <w:szCs w:val="20"/>
              </w:rPr>
            </w:pPr>
            <w:r>
              <w:rPr>
                <w:rFonts w:ascii="Times New Roman"/>
                <w:sz w:val="20"/>
              </w:rPr>
              <w:t>5.06%</w:t>
            </w:r>
          </w:p>
        </w:tc>
      </w:tr>
      <w:tr>
        <w:trPr>
          <w:trHeight w:val="330"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105,377,868.03</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6.11%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Times New Roman" w:hAnsi="Times New Roman" w:cs="Times New Roman" w:eastAsia="Times New Roman" w:hint="default"/>
                <w:sz w:val="20"/>
                <w:szCs w:val="20"/>
              </w:rPr>
            </w:pPr>
            <w:r>
              <w:rPr>
                <w:rFonts w:ascii="Times New Roman"/>
                <w:sz w:val="20"/>
              </w:rPr>
              <w:t>5.20%</w:t>
            </w:r>
          </w:p>
        </w:tc>
      </w:tr>
    </w:tbl>
    <w:p>
      <w:pPr>
        <w:pStyle w:val="BodyText"/>
        <w:spacing w:line="316" w:lineRule="auto" w:before="52"/>
        <w:ind w:right="186" w:firstLine="420"/>
        <w:jc w:val="both"/>
      </w:pPr>
      <w:r>
        <w:rPr/>
        <w:t>一直以来，公司高度重视技术研发，把研发放在战略高度，坚持研发高投入，以市场为导向，不断开发新产品，完善</w:t>
      </w:r>
      <w:r>
        <w:rPr>
          <w:spacing w:val="1"/>
        </w:rPr>
        <w:t> </w:t>
      </w:r>
      <w:r>
        <w:rPr/>
        <w:t>核心技术，升级产品结构，全面提升公司综合竞争力。</w:t>
      </w:r>
    </w:p>
    <w:p>
      <w:pPr>
        <w:pStyle w:val="BodyText"/>
        <w:spacing w:line="300" w:lineRule="auto" w:before="58"/>
        <w:ind w:left="153" w:right="187" w:firstLine="420"/>
        <w:jc w:val="both"/>
      </w:pPr>
      <w:r>
        <w:rPr/>
        <w:t>报告期内，公司共确认申请专利</w:t>
      </w:r>
      <w:r>
        <w:rPr>
          <w:rFonts w:ascii="Times New Roman" w:hAnsi="Times New Roman" w:cs="Times New Roman" w:eastAsia="Times New Roman" w:hint="default"/>
        </w:rPr>
        <w:t>183</w:t>
      </w:r>
      <w:r>
        <w:rPr>
          <w:rFonts w:ascii="Times New Roman" w:hAnsi="Times New Roman" w:cs="Times New Roman" w:eastAsia="Times New Roman" w:hint="default"/>
          <w:spacing w:val="42"/>
        </w:rPr>
        <w:t> </w:t>
      </w:r>
      <w:r>
        <w:rPr/>
        <w:t>项，其中发明专利</w:t>
      </w:r>
      <w:r>
        <w:rPr>
          <w:rFonts w:ascii="Times New Roman" w:hAnsi="Times New Roman" w:cs="Times New Roman" w:eastAsia="Times New Roman" w:hint="default"/>
        </w:rPr>
        <w:t>62</w:t>
      </w:r>
      <w:r>
        <w:rPr/>
        <w:t>项目，实用新型专利</w:t>
      </w:r>
      <w:r>
        <w:rPr>
          <w:rFonts w:ascii="Times New Roman" w:hAnsi="Times New Roman" w:cs="Times New Roman" w:eastAsia="Times New Roman" w:hint="default"/>
        </w:rPr>
        <w:t>17</w:t>
      </w:r>
      <w:r>
        <w:rPr/>
        <w:t>项，外观设计专利</w:t>
      </w:r>
      <w:r>
        <w:rPr>
          <w:rFonts w:ascii="Times New Roman" w:hAnsi="Times New Roman" w:cs="Times New Roman" w:eastAsia="Times New Roman" w:hint="default"/>
        </w:rPr>
        <w:t>17</w:t>
      </w:r>
      <w:r>
        <w:rPr/>
        <w:t>项，</w:t>
      </w:r>
      <w:r>
        <w:rPr>
          <w:rFonts w:ascii="Times New Roman" w:hAnsi="Times New Roman" w:cs="Times New Roman" w:eastAsia="Times New Roman" w:hint="default"/>
        </w:rPr>
        <w:t>PCT</w:t>
      </w:r>
      <w:r>
        <w:rPr/>
        <w:t>国际专 </w:t>
      </w:r>
      <w:r>
        <w:rPr>
          <w:spacing w:val="-2"/>
        </w:rPr>
        <w:t>利申请</w:t>
      </w:r>
      <w:r>
        <w:rPr>
          <w:rFonts w:ascii="Times New Roman" w:hAnsi="Times New Roman" w:cs="Times New Roman" w:eastAsia="Times New Roman" w:hint="default"/>
          <w:spacing w:val="-2"/>
        </w:rPr>
        <w:t>31</w:t>
      </w:r>
      <w:r>
        <w:rPr>
          <w:spacing w:val="-2"/>
        </w:rPr>
        <w:t>项，国外发明专利申请</w:t>
      </w:r>
      <w:r>
        <w:rPr>
          <w:rFonts w:ascii="Times New Roman" w:hAnsi="Times New Roman" w:cs="Times New Roman" w:eastAsia="Times New Roman" w:hint="default"/>
          <w:spacing w:val="-2"/>
        </w:rPr>
        <w:t>56</w:t>
      </w:r>
      <w:r>
        <w:rPr>
          <w:spacing w:val="-2"/>
        </w:rPr>
        <w:t>项（伊朗</w:t>
      </w:r>
      <w:r>
        <w:rPr>
          <w:rFonts w:ascii="Times New Roman" w:hAnsi="Times New Roman" w:cs="Times New Roman" w:eastAsia="Times New Roman" w:hint="default"/>
          <w:spacing w:val="-2"/>
        </w:rPr>
        <w:t>24</w:t>
      </w:r>
      <w:r>
        <w:rPr>
          <w:spacing w:val="-2"/>
        </w:rPr>
        <w:t>项、澳大利亚</w:t>
      </w:r>
      <w:r>
        <w:rPr>
          <w:rFonts w:ascii="Times New Roman" w:hAnsi="Times New Roman" w:cs="Times New Roman" w:eastAsia="Times New Roman" w:hint="default"/>
          <w:spacing w:val="-2"/>
        </w:rPr>
        <w:t>8</w:t>
      </w:r>
      <w:r>
        <w:rPr>
          <w:spacing w:val="-2"/>
        </w:rPr>
        <w:t>项、美国</w:t>
      </w:r>
      <w:r>
        <w:rPr>
          <w:rFonts w:ascii="Times New Roman" w:hAnsi="Times New Roman" w:cs="Times New Roman" w:eastAsia="Times New Roman" w:hint="default"/>
          <w:spacing w:val="-2"/>
        </w:rPr>
        <w:t>8</w:t>
      </w:r>
      <w:r>
        <w:rPr>
          <w:spacing w:val="-2"/>
        </w:rPr>
        <w:t>项、欧盟</w:t>
      </w:r>
      <w:r>
        <w:rPr>
          <w:rFonts w:ascii="Times New Roman" w:hAnsi="Times New Roman" w:cs="Times New Roman" w:eastAsia="Times New Roman" w:hint="default"/>
          <w:spacing w:val="-2"/>
        </w:rPr>
        <w:t>8</w:t>
      </w:r>
      <w:r>
        <w:rPr>
          <w:spacing w:val="-2"/>
        </w:rPr>
        <w:t>项、越南</w:t>
      </w:r>
      <w:r>
        <w:rPr>
          <w:rFonts w:ascii="Times New Roman" w:hAnsi="Times New Roman" w:cs="Times New Roman" w:eastAsia="Times New Roman" w:hint="default"/>
          <w:spacing w:val="-2"/>
        </w:rPr>
        <w:t>8</w:t>
      </w:r>
      <w:r>
        <w:rPr>
          <w:spacing w:val="-2"/>
        </w:rPr>
        <w:t>项）；获得专利授权</w:t>
      </w:r>
      <w:r>
        <w:rPr>
          <w:rFonts w:ascii="Times New Roman" w:hAnsi="Times New Roman" w:cs="Times New Roman" w:eastAsia="Times New Roman" w:hint="default"/>
          <w:spacing w:val="-2"/>
        </w:rPr>
        <w:t>46</w:t>
      </w:r>
      <w:r>
        <w:rPr>
          <w:spacing w:val="-2"/>
        </w:rPr>
        <w:t>项，其中</w:t>
      </w:r>
      <w:r>
        <w:rPr>
          <w:spacing w:val="-57"/>
        </w:rPr>
        <w:t> </w:t>
      </w:r>
      <w:r>
        <w:rPr>
          <w:spacing w:val="-57"/>
        </w:rPr>
      </w:r>
      <w:r>
        <w:rPr/>
        <w:t>国内发明专利授权</w:t>
      </w:r>
      <w:r>
        <w:rPr>
          <w:rFonts w:ascii="Times New Roman" w:hAnsi="Times New Roman" w:cs="Times New Roman" w:eastAsia="Times New Roman" w:hint="default"/>
        </w:rPr>
        <w:t>32</w:t>
      </w:r>
      <w:r>
        <w:rPr/>
        <w:t>项，国内实用新型专利授权</w:t>
      </w:r>
      <w:r>
        <w:rPr>
          <w:rFonts w:ascii="Times New Roman" w:hAnsi="Times New Roman" w:cs="Times New Roman" w:eastAsia="Times New Roman" w:hint="default"/>
        </w:rPr>
        <w:t>7</w:t>
      </w:r>
      <w:r>
        <w:rPr/>
        <w:t>项，国内外观设计专利授权</w:t>
      </w:r>
      <w:r>
        <w:rPr>
          <w:rFonts w:ascii="Times New Roman" w:hAnsi="Times New Roman" w:cs="Times New Roman" w:eastAsia="Times New Roman" w:hint="default"/>
        </w:rPr>
        <w:t>4</w:t>
      </w:r>
      <w:r>
        <w:rPr/>
        <w:t>项目，国外发明专利授权</w:t>
      </w:r>
      <w:r>
        <w:rPr>
          <w:rFonts w:ascii="Times New Roman" w:hAnsi="Times New Roman" w:cs="Times New Roman" w:eastAsia="Times New Roman" w:hint="default"/>
        </w:rPr>
        <w:t>3</w:t>
      </w:r>
      <w:r>
        <w:rPr/>
        <w:t>项（伊朗）。办理</w:t>
      </w:r>
      <w:r>
        <w:rPr>
          <w:spacing w:val="-83"/>
        </w:rPr>
        <w:t> </w:t>
      </w:r>
      <w:r>
        <w:rPr>
          <w:spacing w:val="-83"/>
        </w:rPr>
      </w:r>
      <w:r>
        <w:rPr/>
        <w:t>软件著作权登记</w:t>
      </w:r>
      <w:r>
        <w:rPr>
          <w:rFonts w:ascii="Times New Roman" w:hAnsi="Times New Roman" w:cs="Times New Roman" w:eastAsia="Times New Roman" w:hint="default"/>
        </w:rPr>
        <w:t>6</w:t>
      </w:r>
      <w:r>
        <w:rPr/>
        <w:t>项，软件产品登记</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2012</w:t>
      </w:r>
      <w:r>
        <w:rPr/>
        <w:t>年，公司连续第五年蝉联</w:t>
      </w:r>
      <w:r>
        <w:rPr>
          <w:rFonts w:ascii="Times New Roman" w:hAnsi="Times New Roman" w:cs="Times New Roman" w:eastAsia="Times New Roman" w:hint="default"/>
        </w:rPr>
        <w:t>“</w:t>
      </w:r>
      <w:r>
        <w:rPr/>
        <w:t>中国软件业务收入前百家企业</w:t>
      </w:r>
      <w:r>
        <w:rPr>
          <w:rFonts w:ascii="Times New Roman" w:hAnsi="Times New Roman" w:cs="Times New Roman" w:eastAsia="Times New Roman" w:hint="default"/>
        </w:rPr>
        <w:t>”</w:t>
      </w:r>
      <w:r>
        <w:rPr/>
        <w:t>，被列入</w:t>
      </w:r>
      <w:r>
        <w:rPr>
          <w:rFonts w:ascii="Times New Roman" w:hAnsi="Times New Roman" w:cs="Times New Roman" w:eastAsia="Times New Roman" w:hint="default"/>
        </w:rPr>
        <w:t>“</w:t>
      </w:r>
      <w:r>
        <w:rPr/>
        <w:t>广东省知</w:t>
      </w:r>
      <w:r>
        <w:rPr>
          <w:spacing w:val="-59"/>
        </w:rPr>
        <w:t> </w:t>
      </w:r>
      <w:r>
        <w:rPr>
          <w:spacing w:val="-59"/>
        </w:rPr>
      </w:r>
      <w:r>
        <w:rPr/>
        <w:t>识产权示范企业</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第十四届中国专利奖（发明）优秀奖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年度广东省科学技术奖三等奖</w:t>
      </w:r>
      <w:r>
        <w:rPr>
          <w:rFonts w:ascii="Times New Roman" w:hAnsi="Times New Roman" w:cs="Times New Roman" w:eastAsia="Times New Roman" w:hint="default"/>
        </w:rPr>
        <w:t>”</w:t>
      </w:r>
      <w:r>
        <w:rPr/>
        <w:t>。</w:t>
      </w:r>
    </w:p>
    <w:p>
      <w:pPr>
        <w:pStyle w:val="BodyText"/>
        <w:spacing w:line="240" w:lineRule="auto" w:before="52"/>
        <w:ind w:left="574" w:right="90"/>
        <w:jc w:val="left"/>
      </w:pPr>
      <w:r>
        <w:rPr/>
        <w:t>报告期内，公司获取专利授权情况如下：</w:t>
      </w:r>
    </w:p>
    <w:p>
      <w:pPr>
        <w:spacing w:after="0" w:line="240" w:lineRule="auto"/>
        <w:jc w:val="left"/>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620"/>
        <w:gridCol w:w="2080"/>
        <w:gridCol w:w="5760"/>
        <w:gridCol w:w="1080"/>
      </w:tblGrid>
      <w:tr>
        <w:trPr>
          <w:trHeight w:val="432" w:hRule="exact"/>
        </w:trPr>
        <w:tc>
          <w:tcPr>
            <w:tcW w:w="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0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专利号</w:t>
            </w:r>
          </w:p>
        </w:tc>
        <w:tc>
          <w:tcPr>
            <w:tcW w:w="57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ZL200910193709.7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自锁式闸门装置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ZL200910193046.9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金融自助服务设备及其钞票暂存放出装置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ZL200910192288.6</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一种纸币传输通道装置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ZL200910041871.7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安全闸门装置及装配该安全闸门装置的自动柜员机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ZL200910193185.1</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可换向的纸币传输通道装置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ZL200910193708.2</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防塞异物、防粘胶破坏的金融自助服务设备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ZL200910214311.7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金融自助服务终端及其安全区域的控制方法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ZL200910214253.8</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金融交易安全控制方法及终端</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9</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ZL200910214251.9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一种纸币高速识别装置及其方法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ZL201010121052.6</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加油站加油、收款自动监控管理系统及方法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ZL201010251473.0</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有价文件识别方法及其识别系统</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ZL200910040772.7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偏心调节装置及具有偏心调节装置的薄片材料分离机构</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ZL200810219797.9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钞票识别系统及具有该系统的钞票识别方法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ZL200910193629.1</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自助终端的进程控制方法及系统</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ZL200610032851.X</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介质传输通道速度匹配装置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ZL200910214023.1</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金融自助设备配钞方法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ZL200910151084.8</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一种收银现金管理系统及方法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ZL201010169732.5</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安全保护方法及系统</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ZL201010295225.6</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有价文件识别方法及系统</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ZL201010233330.7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自助服务终端及其币式散状介质输送机构和配发装置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21</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ZL201110027417.3</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一种安全保险柜</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ZL201010590699.3</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可双向受力打开的闸门装置及使用该闸门装置的箱体容器</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ZL201110078913.1</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带状介质捆扎机构及捆扎方法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ZL201010295247.2</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薄片类介质厚度鉴别装置及其鉴别方法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ZL201010261960.5</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防刺探加密键盘</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ZL200910213666.4</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纸币收集装置及自助服务终端</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ZL201010504610.7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一种箱体锁机构</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ZL201010593971.3</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钞票处理系统及方法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29</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ZL201010269450.2</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防刺探取款机键盘</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ZL201110288382.9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一种钞票偏斜校正装置及自动柜员机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3"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ZL201110275430.0</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出钞设备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620"/>
        <w:gridCol w:w="2080"/>
        <w:gridCol w:w="5760"/>
        <w:gridCol w:w="1080"/>
      </w:tblGrid>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ZL201110045867.5</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电子流水日志智能分析系统及方法</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33</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IR388121099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一种磁性检测装置及设备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20"/>
              <w:jc w:val="center"/>
              <w:rPr>
                <w:rFonts w:ascii="宋体" w:hAnsi="宋体" w:cs="宋体" w:eastAsia="宋体" w:hint="default"/>
                <w:sz w:val="18"/>
                <w:szCs w:val="18"/>
              </w:rPr>
            </w:pPr>
            <w:r>
              <w:rPr>
                <w:rFonts w:ascii="宋体" w:hAnsi="宋体" w:cs="宋体" w:eastAsia="宋体" w:hint="default"/>
                <w:sz w:val="18"/>
                <w:szCs w:val="18"/>
              </w:rPr>
              <w:t>发明（伊朗）</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34</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IR389020792</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厚度检测装置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20"/>
              <w:jc w:val="center"/>
              <w:rPr>
                <w:rFonts w:ascii="宋体" w:hAnsi="宋体" w:cs="宋体" w:eastAsia="宋体" w:hint="default"/>
                <w:sz w:val="18"/>
                <w:szCs w:val="18"/>
              </w:rPr>
            </w:pPr>
            <w:r>
              <w:rPr>
                <w:rFonts w:ascii="宋体" w:hAnsi="宋体" w:cs="宋体" w:eastAsia="宋体" w:hint="default"/>
                <w:sz w:val="18"/>
                <w:szCs w:val="18"/>
              </w:rPr>
              <w:t>发明（伊朗）</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35</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IR389040590</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一种具有自锁机构的钱箱</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20"/>
              <w:jc w:val="center"/>
              <w:rPr>
                <w:rFonts w:ascii="宋体" w:hAnsi="宋体" w:cs="宋体" w:eastAsia="宋体" w:hint="default"/>
                <w:sz w:val="18"/>
                <w:szCs w:val="18"/>
              </w:rPr>
            </w:pPr>
            <w:r>
              <w:rPr>
                <w:rFonts w:ascii="宋体" w:hAnsi="宋体" w:cs="宋体" w:eastAsia="宋体" w:hint="default"/>
                <w:sz w:val="18"/>
                <w:szCs w:val="18"/>
              </w:rPr>
              <w:t>发明（伊朗）</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36</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ZL201120281391.0</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卡箱</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37</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ZL201120206253.6</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自动柜员机的防盗底座</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38</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ZL201120298838.5</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手机支付安全保护装置</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39</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ZL201120437339.X</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一种介质兜及自助设备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40</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ZL201120437319.2</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扇形齿轮</w:t>
            </w:r>
            <w:r>
              <w:rPr>
                <w:rFonts w:ascii="Times New Roman" w:hAnsi="Times New Roman" w:cs="Times New Roman" w:eastAsia="Times New Roman" w:hint="default"/>
                <w:sz w:val="18"/>
                <w:szCs w:val="18"/>
              </w:rPr>
              <w:t>-</w:t>
            </w:r>
            <w:r>
              <w:rPr>
                <w:rFonts w:ascii="宋体" w:hAnsi="宋体" w:cs="宋体" w:eastAsia="宋体" w:hint="default"/>
                <w:sz w:val="18"/>
                <w:szCs w:val="18"/>
              </w:rPr>
              <w:t>全齿轮啮合结构、出钞送钞装置及钞票处理系统</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41</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ZL201120552265.4</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自动闸机及其扇门防水机构</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42</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ZL201220068877.0</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纸张类介质处理装置及其具有保护作用的存储板</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43</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ZL201130418801.7</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清分机（一口半）</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44</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ZL201230062206.9</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自动柜员机</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32"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45</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ZL201230194181.8</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远程视频虚拟柜台金融设备</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433" w:hRule="exact"/>
        </w:trPr>
        <w:tc>
          <w:tcPr>
            <w:tcW w:w="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46</w:t>
            </w:r>
          </w:p>
        </w:tc>
        <w:tc>
          <w:tcPr>
            <w:tcW w:w="2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ZL201230382214.1</w:t>
            </w:r>
          </w:p>
        </w:tc>
        <w:tc>
          <w:tcPr>
            <w:tcW w:w="5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点钞机（</w:t>
            </w:r>
            <w:r>
              <w:rPr>
                <w:rFonts w:ascii="Times New Roman" w:hAnsi="Times New Roman" w:cs="Times New Roman" w:eastAsia="Times New Roman" w:hint="default"/>
                <w:sz w:val="18"/>
                <w:szCs w:val="18"/>
              </w:rPr>
              <w:t>CM50</w:t>
            </w:r>
            <w:r>
              <w:rPr>
                <w:rFonts w:ascii="宋体" w:hAnsi="宋体" w:cs="宋体" w:eastAsia="宋体" w:hint="default"/>
                <w:sz w:val="18"/>
                <w:szCs w:val="18"/>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2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97"/>
        <w:gridCol w:w="2352"/>
        <w:gridCol w:w="2160"/>
        <w:gridCol w:w="1648"/>
      </w:tblGrid>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3,108,474,747.09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2,681,498,818.74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2,251,575,499.35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2,183,310,359.31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856,899,247.74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498,188,459.43</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330,806.00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816,122.20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-59.47%</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22,060,702.97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221,212,906.34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-90.03%</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-21,729,896.97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-220,396,784.14</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14,900,000.00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-88.51%</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50,209,773.40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67,498,644.80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-25.61%</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-48,498,490.97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-52,598,644.80</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787,316,595.57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217,225,634.76</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262.44%</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right="8240"/>
        <w:jc w:val="left"/>
      </w:pPr>
      <w:r>
        <w:rPr/>
        <w:t>√ 适用 □ 不适用 变动原因分析：</w:t>
      </w:r>
    </w:p>
    <w:p>
      <w:pPr>
        <w:pStyle w:val="BodyText"/>
        <w:spacing w:line="240" w:lineRule="auto" w:before="29"/>
        <w:ind w:left="424" w:right="0"/>
        <w:jc w:val="left"/>
      </w:pPr>
      <w:r>
        <w:rPr/>
        <w:t>（</w:t>
      </w:r>
      <w:r>
        <w:rPr>
          <w:rFonts w:ascii="Times New Roman" w:hAnsi="Times New Roman" w:cs="Times New Roman" w:eastAsia="Times New Roman" w:hint="default"/>
        </w:rPr>
        <w:t>1</w:t>
      </w:r>
      <w:r>
        <w:rPr/>
        <w:t>）经营活动现金流量</w:t>
      </w:r>
    </w:p>
    <w:p>
      <w:pPr>
        <w:pStyle w:val="BodyText"/>
        <w:spacing w:line="240" w:lineRule="auto" w:before="101"/>
        <w:ind w:left="516" w:right="0"/>
        <w:jc w:val="left"/>
      </w:pPr>
      <w:r>
        <w:rPr>
          <w:rFonts w:ascii="Times New Roman" w:hAnsi="Times New Roman" w:cs="Times New Roman" w:eastAsia="Times New Roman" w:hint="default"/>
        </w:rPr>
        <w:t>2012</w:t>
      </w:r>
      <w:r>
        <w:rPr/>
        <w:t>年，公司经营活动产生的现金流入为</w:t>
      </w:r>
      <w:r>
        <w:rPr>
          <w:rFonts w:ascii="Times New Roman" w:hAnsi="Times New Roman" w:cs="Times New Roman" w:eastAsia="Times New Roman" w:hint="default"/>
        </w:rPr>
        <w:t>310,847.47</w:t>
      </w:r>
      <w:r>
        <w:rPr/>
        <w:t>万元，比去年同期</w:t>
      </w:r>
      <w:r>
        <w:rPr>
          <w:rFonts w:ascii="Times New Roman" w:hAnsi="Times New Roman" w:cs="Times New Roman" w:eastAsia="Times New Roman" w:hint="default"/>
        </w:rPr>
        <w:t>268,149.88</w:t>
      </w:r>
      <w:r>
        <w:rPr/>
        <w:t>万元增长</w:t>
      </w:r>
      <w:r>
        <w:rPr>
          <w:rFonts w:ascii="Times New Roman" w:hAnsi="Times New Roman" w:cs="Times New Roman" w:eastAsia="Times New Roman" w:hint="default"/>
        </w:rPr>
        <w:t>15.92%</w:t>
      </w:r>
      <w:r>
        <w:rPr/>
        <w:t>，其中销售产品、提</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464" w:right="95" w:hanging="291"/>
        <w:jc w:val="left"/>
      </w:pPr>
      <w:r>
        <w:rPr>
          <w:spacing w:val="-1"/>
        </w:rPr>
        <w:t>供劳务收到的现金</w:t>
      </w:r>
      <w:r>
        <w:rPr>
          <w:rFonts w:ascii="Times New Roman" w:hAnsi="Times New Roman" w:cs="Times New Roman" w:eastAsia="Times New Roman" w:hint="default"/>
          <w:spacing w:val="-1"/>
        </w:rPr>
        <w:t>287,979.61</w:t>
      </w:r>
      <w:r>
        <w:rPr>
          <w:spacing w:val="-1"/>
        </w:rPr>
        <w:t>万元，比去年同期</w:t>
      </w:r>
      <w:r>
        <w:rPr>
          <w:rFonts w:ascii="Times New Roman" w:hAnsi="Times New Roman" w:cs="Times New Roman" w:eastAsia="Times New Roman" w:hint="default"/>
          <w:spacing w:val="-1"/>
        </w:rPr>
        <w:t>250,287.24</w:t>
      </w:r>
      <w:r>
        <w:rPr>
          <w:spacing w:val="-1"/>
        </w:rPr>
        <w:t>万元增长</w:t>
      </w:r>
      <w:r>
        <w:rPr>
          <w:rFonts w:ascii="Times New Roman" w:hAnsi="Times New Roman" w:cs="Times New Roman" w:eastAsia="Times New Roman" w:hint="default"/>
          <w:spacing w:val="-1"/>
        </w:rPr>
        <w:t>15.06%</w:t>
      </w:r>
      <w:r>
        <w:rPr>
          <w:spacing w:val="-1"/>
        </w:rPr>
        <w:t>，主要是因为销售收入的增加，货款的及时回笼。</w:t>
      </w:r>
      <w:r>
        <w:rPr>
          <w:spacing w:val="-37"/>
        </w:rPr>
        <w:t> </w:t>
      </w:r>
      <w:r>
        <w:rPr>
          <w:spacing w:val="-37"/>
        </w:rPr>
      </w:r>
      <w:r>
        <w:rPr/>
        <w:t>经营活动产生的现金流出为</w:t>
      </w:r>
      <w:r>
        <w:rPr>
          <w:rFonts w:ascii="Times New Roman" w:hAnsi="Times New Roman" w:cs="Times New Roman" w:eastAsia="Times New Roman" w:hint="default"/>
        </w:rPr>
        <w:t>225,157.55</w:t>
      </w:r>
      <w:r>
        <w:rPr/>
        <w:t>万元，比去年同期</w:t>
      </w:r>
      <w:r>
        <w:rPr>
          <w:rFonts w:ascii="Times New Roman" w:hAnsi="Times New Roman" w:cs="Times New Roman" w:eastAsia="Times New Roman" w:hint="default"/>
        </w:rPr>
        <w:t>218,331.04</w:t>
      </w:r>
      <w:r>
        <w:rPr/>
        <w:t>万元增长</w:t>
      </w:r>
      <w:r>
        <w:rPr>
          <w:rFonts w:ascii="Times New Roman" w:hAnsi="Times New Roman" w:cs="Times New Roman" w:eastAsia="Times New Roman" w:hint="default"/>
        </w:rPr>
        <w:t>3.13%</w:t>
      </w:r>
      <w:r>
        <w:rPr/>
        <w:t>，主要是支付的各项税费和支付给职</w:t>
      </w:r>
    </w:p>
    <w:p>
      <w:pPr>
        <w:pStyle w:val="BodyText"/>
        <w:spacing w:line="218" w:lineRule="exact"/>
        <w:ind w:left="173" w:right="95"/>
        <w:jc w:val="left"/>
      </w:pPr>
      <w:r>
        <w:rPr/>
        <w:t>工以及为职工支付的现金增加。</w:t>
      </w:r>
    </w:p>
    <w:p>
      <w:pPr>
        <w:pStyle w:val="BodyText"/>
        <w:spacing w:line="240" w:lineRule="auto" w:before="117"/>
        <w:ind w:left="464" w:right="95"/>
        <w:jc w:val="left"/>
      </w:pPr>
      <w:r>
        <w:rPr/>
        <w:t>经营活动产生的现金流量净额为</w:t>
      </w:r>
      <w:r>
        <w:rPr>
          <w:rFonts w:ascii="Times New Roman" w:hAnsi="Times New Roman" w:cs="Times New Roman" w:eastAsia="Times New Roman" w:hint="default"/>
        </w:rPr>
        <w:t>85,689.92</w:t>
      </w:r>
      <w:r>
        <w:rPr/>
        <w:t>万元，比去年同期</w:t>
      </w:r>
      <w:r>
        <w:rPr>
          <w:rFonts w:ascii="Times New Roman" w:hAnsi="Times New Roman" w:cs="Times New Roman" w:eastAsia="Times New Roman" w:hint="default"/>
        </w:rPr>
        <w:t>49,818.85</w:t>
      </w:r>
      <w:r>
        <w:rPr/>
        <w:t>万元增加</w:t>
      </w:r>
      <w:r>
        <w:rPr>
          <w:rFonts w:ascii="Times New Roman" w:hAnsi="Times New Roman" w:cs="Times New Roman" w:eastAsia="Times New Roman" w:hint="default"/>
        </w:rPr>
        <w:t>35,871.07</w:t>
      </w:r>
      <w:r>
        <w:rPr/>
        <w:t>万元，同比增长</w:t>
      </w:r>
      <w:r>
        <w:rPr>
          <w:rFonts w:ascii="Times New Roman" w:hAnsi="Times New Roman" w:cs="Times New Roman" w:eastAsia="Times New Roman" w:hint="default"/>
        </w:rPr>
        <w:t>72.00%</w:t>
      </w:r>
      <w:r>
        <w:rPr/>
        <w:t>。</w:t>
      </w:r>
    </w:p>
    <w:p>
      <w:pPr>
        <w:pStyle w:val="BodyText"/>
        <w:spacing w:line="240" w:lineRule="auto" w:before="102"/>
        <w:ind w:left="391" w:right="95"/>
        <w:jc w:val="left"/>
      </w:pPr>
      <w:r>
        <w:rPr/>
        <w:t>（</w:t>
      </w:r>
      <w:r>
        <w:rPr>
          <w:rFonts w:ascii="Times New Roman" w:hAnsi="Times New Roman" w:cs="Times New Roman" w:eastAsia="Times New Roman" w:hint="default"/>
        </w:rPr>
        <w:t>2</w:t>
      </w:r>
      <w:r>
        <w:rPr/>
        <w:t>）投资活动现金流量</w:t>
      </w:r>
    </w:p>
    <w:p>
      <w:pPr>
        <w:pStyle w:val="BodyText"/>
        <w:spacing w:line="302" w:lineRule="auto" w:before="101"/>
        <w:ind w:left="173" w:right="176" w:firstLine="290"/>
        <w:jc w:val="left"/>
      </w:pPr>
      <w:r>
        <w:rPr>
          <w:rFonts w:ascii="Times New Roman" w:hAnsi="Times New Roman" w:cs="Times New Roman" w:eastAsia="Times New Roman" w:hint="default"/>
        </w:rPr>
        <w:t>2012</w:t>
      </w:r>
      <w:r>
        <w:rPr/>
        <w:t>年，公司投资活动产生的现金净流量</w:t>
      </w:r>
      <w:r>
        <w:rPr>
          <w:rFonts w:ascii="Times New Roman" w:hAnsi="Times New Roman" w:cs="Times New Roman" w:eastAsia="Times New Roman" w:hint="default"/>
        </w:rPr>
        <w:t>-2,172.99</w:t>
      </w:r>
      <w:r>
        <w:rPr/>
        <w:t>万元，比去年同期增长</w:t>
      </w:r>
      <w:r>
        <w:rPr>
          <w:rFonts w:ascii="Times New Roman" w:hAnsi="Times New Roman" w:cs="Times New Roman" w:eastAsia="Times New Roman" w:hint="default"/>
        </w:rPr>
        <w:t>90.14%</w:t>
      </w:r>
      <w:r>
        <w:rPr/>
        <w:t>，主要是去年同期投资广州市龙源环保 科技有限公司支付现金</w:t>
      </w:r>
      <w:r>
        <w:rPr>
          <w:rFonts w:ascii="Times New Roman" w:hAnsi="Times New Roman" w:cs="Times New Roman" w:eastAsia="Times New Roman" w:hint="default"/>
        </w:rPr>
        <w:t>1.68</w:t>
      </w:r>
      <w:r>
        <w:rPr/>
        <w:t>亿元。</w:t>
      </w:r>
    </w:p>
    <w:p>
      <w:pPr>
        <w:pStyle w:val="BodyText"/>
        <w:spacing w:line="240" w:lineRule="auto" w:before="52"/>
        <w:ind w:left="391" w:right="95"/>
        <w:jc w:val="left"/>
      </w:pPr>
      <w:r>
        <w:rPr/>
        <w:t>（</w:t>
      </w:r>
      <w:r>
        <w:rPr>
          <w:rFonts w:ascii="Times New Roman" w:hAnsi="Times New Roman" w:cs="Times New Roman" w:eastAsia="Times New Roman" w:hint="default"/>
        </w:rPr>
        <w:t>3</w:t>
      </w:r>
      <w:r>
        <w:rPr/>
        <w:t>）筹资活动现金流量</w:t>
      </w:r>
    </w:p>
    <w:p>
      <w:pPr>
        <w:pStyle w:val="BodyText"/>
        <w:spacing w:line="302" w:lineRule="auto" w:before="101"/>
        <w:ind w:left="173" w:right="95" w:firstLine="290"/>
        <w:jc w:val="left"/>
      </w:pPr>
      <w:r>
        <w:rPr>
          <w:rFonts w:ascii="Times New Roman" w:hAnsi="Times New Roman" w:cs="Times New Roman" w:eastAsia="Times New Roman" w:hint="default"/>
          <w:spacing w:val="-2"/>
        </w:rPr>
        <w:t>2012</w:t>
      </w:r>
      <w:r>
        <w:rPr>
          <w:spacing w:val="-2"/>
        </w:rPr>
        <w:t>年，公司筹资活动产生的现金净流量为</w:t>
      </w:r>
      <w:r>
        <w:rPr>
          <w:rFonts w:ascii="Times New Roman" w:hAnsi="Times New Roman" w:cs="Times New Roman" w:eastAsia="Times New Roman" w:hint="default"/>
          <w:spacing w:val="-2"/>
        </w:rPr>
        <w:t>-4,849.85</w:t>
      </w:r>
      <w:r>
        <w:rPr>
          <w:spacing w:val="-2"/>
        </w:rPr>
        <w:t>万元，比去年同期增长</w:t>
      </w:r>
      <w:r>
        <w:rPr>
          <w:rFonts w:ascii="Times New Roman" w:hAnsi="Times New Roman" w:cs="Times New Roman" w:eastAsia="Times New Roman" w:hint="default"/>
          <w:spacing w:val="-2"/>
        </w:rPr>
        <w:t>7.80%</w:t>
      </w:r>
      <w:r>
        <w:rPr>
          <w:spacing w:val="-2"/>
        </w:rPr>
        <w:t>，主要是偿还债务支付的现金及分配股</w:t>
      </w:r>
      <w:r>
        <w:rPr/>
        <w:t> 利、利润支付的现金减少。</w:t>
      </w:r>
    </w:p>
    <w:p>
      <w:pPr>
        <w:pStyle w:val="BodyText"/>
        <w:spacing w:line="302" w:lineRule="auto" w:before="68"/>
        <w:ind w:left="173" w:right="95" w:firstLine="434"/>
        <w:jc w:val="left"/>
      </w:pPr>
      <w:r>
        <w:rPr>
          <w:rFonts w:ascii="Times New Roman" w:hAnsi="Times New Roman" w:cs="Times New Roman" w:eastAsia="Times New Roman" w:hint="default"/>
          <w:spacing w:val="-2"/>
        </w:rPr>
        <w:t>2012</w:t>
      </w:r>
      <w:r>
        <w:rPr>
          <w:spacing w:val="-2"/>
        </w:rPr>
        <w:t>年，现金及现金等价物净增加额为</w:t>
      </w:r>
      <w:r>
        <w:rPr>
          <w:rFonts w:ascii="Times New Roman" w:hAnsi="Times New Roman" w:cs="Times New Roman" w:eastAsia="Times New Roman" w:hint="default"/>
          <w:spacing w:val="-2"/>
        </w:rPr>
        <w:t>78,731.66</w:t>
      </w:r>
      <w:r>
        <w:rPr>
          <w:spacing w:val="-2"/>
        </w:rPr>
        <w:t>万元，与去年同期21,722.56万元相比增长262.44%,主要是经营活动产</w:t>
      </w:r>
      <w:r>
        <w:rPr/>
        <w:t> 生的现金流量净额增加。</w:t>
      </w:r>
    </w:p>
    <w:p>
      <w:pPr>
        <w:pStyle w:val="BodyText"/>
        <w:spacing w:line="240" w:lineRule="auto" w:before="70"/>
        <w:ind w:left="173" w:right="95"/>
        <w:jc w:val="left"/>
      </w:pPr>
      <w:r>
        <w:rPr/>
        <w:t>报告期内公司经营活动的现金流量与本年度净利润存在重大差异的原因说明</w:t>
      </w:r>
    </w:p>
    <w:p>
      <w:pPr>
        <w:pStyle w:val="BodyText"/>
        <w:spacing w:line="240" w:lineRule="auto" w:before="116"/>
        <w:ind w:left="173"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74" w:right="95"/>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461"/>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981"/>
        <w:gridCol w:w="1440"/>
        <w:gridCol w:w="1440"/>
        <w:gridCol w:w="786"/>
        <w:gridCol w:w="1367"/>
        <w:gridCol w:w="1367"/>
        <w:gridCol w:w="1370"/>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4"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75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）制造业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1,808,300,948.96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864,661,017.90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106,846,605.63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60,261,205.05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）营运收入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21,550,579.96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19,549,443.72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）服务费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231,711,418.45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90,354,351.88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7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2,168,409,553.00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1,034,826,018.55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975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）货币自动处理设备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1,808,300,948.96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864,661,017.90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ATM</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1,776,862,734.63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841,692,583.39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AFC</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31,438,214.33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22,968,434.51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106,846,605.63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60,261,205.05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21,550,579.96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19,549,443.72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231,711,418.45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90,354,351.88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7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2,168,409,553.00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1,034,826,018.55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975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2,065,190,354.60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975,343,001.92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103,219,198.40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59,483,016.63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r>
      <w:tr>
        <w:trPr>
          <w:trHeight w:val="403"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2,168,409,553.00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1,034,826,018.55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60" w:right="940"/>
        </w:sectPr>
      </w:pPr>
    </w:p>
    <w:p>
      <w:pPr>
        <w:spacing w:line="240" w:lineRule="auto" w:before="13"/>
        <w:rPr>
          <w:rFonts w:ascii="宋体" w:hAnsi="宋体" w:cs="宋体" w:eastAsia="宋体" w:hint="default"/>
          <w:sz w:val="25"/>
          <w:szCs w:val="25"/>
        </w:rPr>
      </w:pPr>
    </w:p>
    <w:p>
      <w:pPr>
        <w:pStyle w:val="BodyText"/>
        <w:spacing w:line="240" w:lineRule="auto" w:before="44"/>
        <w:ind w:left="233"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34"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40"/>
        <w:jc w:val="right"/>
      </w:pPr>
      <w:r>
        <w:rPr/>
        <w:t>单位：元</w:t>
      </w:r>
    </w:p>
    <w:p>
      <w:pPr>
        <w:spacing w:line="240" w:lineRule="auto" w:before="1"/>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357"/>
        <w:gridCol w:w="1336"/>
        <w:gridCol w:w="896"/>
        <w:gridCol w:w="1440"/>
        <w:gridCol w:w="900"/>
        <w:gridCol w:w="884"/>
        <w:gridCol w:w="2917"/>
      </w:tblGrid>
      <w:tr>
        <w:trPr>
          <w:trHeight w:val="200"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32" w:type="dxa"/>
            <w:gridSpan w:val="2"/>
            <w:vMerge/>
            <w:tcBorders>
              <w:left w:val="single" w:sz="4" w:space="0" w:color="000000"/>
              <w:bottom w:val="single" w:sz="4" w:space="0" w:color="000000"/>
              <w:right w:val="single" w:sz="4" w:space="0" w:color="000000"/>
            </w:tcBorders>
            <w:shd w:val="clear" w:color="auto" w:fill="D3D3D3"/>
          </w:tcPr>
          <w:p>
            <w:pPr/>
          </w:p>
        </w:tc>
        <w:tc>
          <w:tcPr>
            <w:tcW w:w="2340" w:type="dxa"/>
            <w:gridSpan w:val="2"/>
            <w:vMerge/>
            <w:tcBorders>
              <w:left w:val="single" w:sz="4" w:space="0" w:color="000000"/>
              <w:bottom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36"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23" w:right="-8" w:firstLine="60"/>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22" w:right="-3" w:firstLine="61"/>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84"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5"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3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36"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336"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6"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2,003,540,034.34</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49.83%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1,319,600,830.71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39.07%</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10.76%</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主要是销售收入增加，应收账款的及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时回笼</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6" w:type="dxa"/>
            <w:vMerge/>
            <w:tcBorders>
              <w:left w:val="single" w:sz="10" w:space="0" w:color="D3D3D3"/>
              <w:right w:val="single" w:sz="4" w:space="0" w:color="000000"/>
            </w:tcBorders>
          </w:tcPr>
          <w:p>
            <w:pPr/>
          </w:p>
        </w:tc>
        <w:tc>
          <w:tcPr>
            <w:tcW w:w="896"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6" w:type="dxa"/>
            <w:vMerge/>
            <w:tcBorders>
              <w:left w:val="single" w:sz="10" w:space="0" w:color="D3D3D3"/>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644,263,001.21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832,957,390.58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主要是应收账款的及时回笼</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6"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769,594,720.41</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19.14%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648,598,335.04</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19.2%</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-0.06%</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主要是根据市场订单及行业特点所 做的正常储备</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6" w:type="dxa"/>
            <w:vMerge/>
            <w:tcBorders>
              <w:left w:val="single" w:sz="10" w:space="0" w:color="D3D3D3"/>
              <w:right w:val="single" w:sz="4" w:space="0" w:color="000000"/>
            </w:tcBorders>
          </w:tcPr>
          <w:p>
            <w:pPr/>
          </w:p>
        </w:tc>
        <w:tc>
          <w:tcPr>
            <w:tcW w:w="896"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6" w:type="dxa"/>
            <w:vMerge/>
            <w:tcBorders>
              <w:left w:val="single" w:sz="10" w:space="0" w:color="D3D3D3"/>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6"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164,079,876.42</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4.08%</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167,462,119.40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4.96%</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-0.88%</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主要是合营企业广州市龙源环保科 技有限公司亏损所致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6" w:type="dxa"/>
            <w:vMerge/>
            <w:tcBorders>
              <w:left w:val="single" w:sz="10" w:space="0" w:color="D3D3D3"/>
              <w:right w:val="single" w:sz="4" w:space="0" w:color="000000"/>
            </w:tcBorders>
          </w:tcPr>
          <w:p>
            <w:pPr/>
          </w:p>
        </w:tc>
        <w:tc>
          <w:tcPr>
            <w:tcW w:w="896"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6" w:type="dxa"/>
            <w:vMerge/>
            <w:tcBorders>
              <w:left w:val="single" w:sz="10" w:space="0" w:color="D3D3D3"/>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290,435,982.97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298,227,860.77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主要是计提固定资产折旧所致</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2,616,656.28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1,834,436.31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主要是科学城三期项目的投入</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6"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1,987,100.00</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0.05%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4,697,525.00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0.14%</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-0.09%</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主要是收到的银行承兑票据及时背 书转让所致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36" w:type="dxa"/>
            <w:vMerge/>
            <w:tcBorders>
              <w:left w:val="single" w:sz="10" w:space="0" w:color="D3D3D3"/>
              <w:right w:val="single" w:sz="4" w:space="0" w:color="000000"/>
            </w:tcBorders>
          </w:tcPr>
          <w:p>
            <w:pPr/>
          </w:p>
        </w:tc>
        <w:tc>
          <w:tcPr>
            <w:tcW w:w="896"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6" w:type="dxa"/>
            <w:vMerge/>
            <w:tcBorders>
              <w:left w:val="single" w:sz="10" w:space="0" w:color="D3D3D3"/>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49,453,209.32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21,913,046.96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主要是预付孙公司办公场地费用</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6"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34,688,770.64</w:t>
            </w: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0.86%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25,264,530.02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0.75%</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0.11%</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主要是预提费用及职工薪酬增加引 起的可抵扣暂时性差异增加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36" w:type="dxa"/>
            <w:vMerge/>
            <w:tcBorders>
              <w:left w:val="single" w:sz="10" w:space="0" w:color="D3D3D3"/>
              <w:right w:val="single" w:sz="4" w:space="0" w:color="000000"/>
            </w:tcBorders>
          </w:tcPr>
          <w:p>
            <w:pPr/>
          </w:p>
        </w:tc>
        <w:tc>
          <w:tcPr>
            <w:tcW w:w="896"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6" w:type="dxa"/>
            <w:vMerge/>
            <w:tcBorders>
              <w:left w:val="single" w:sz="10" w:space="0" w:color="D3D3D3"/>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34"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37"/>
        <w:gridCol w:w="1332"/>
        <w:gridCol w:w="894"/>
        <w:gridCol w:w="1446"/>
        <w:gridCol w:w="908"/>
        <w:gridCol w:w="799"/>
        <w:gridCol w:w="2972"/>
      </w:tblGrid>
      <w:tr>
        <w:trPr>
          <w:trHeight w:val="201" w:hRule="exact"/>
        </w:trPr>
        <w:tc>
          <w:tcPr>
            <w:tcW w:w="1537"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72"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537" w:type="dxa"/>
            <w:vMerge/>
            <w:tcBorders>
              <w:left w:val="single" w:sz="4" w:space="0" w:color="000000"/>
              <w:bottom w:val="nil" w:sz="6" w:space="0" w:color="auto"/>
              <w:right w:val="single" w:sz="4" w:space="0" w:color="000000"/>
            </w:tcBorders>
            <w:shd w:val="clear" w:color="auto" w:fill="D3D3D3"/>
          </w:tcPr>
          <w:p>
            <w:pPr/>
          </w:p>
        </w:tc>
        <w:tc>
          <w:tcPr>
            <w:tcW w:w="2226" w:type="dxa"/>
            <w:gridSpan w:val="2"/>
            <w:vMerge/>
            <w:tcBorders>
              <w:left w:val="single" w:sz="4" w:space="0" w:color="000000"/>
              <w:bottom w:val="single" w:sz="4" w:space="0" w:color="000000"/>
              <w:right w:val="single" w:sz="4" w:space="0" w:color="000000"/>
            </w:tcBorders>
            <w:shd w:val="clear" w:color="auto" w:fill="D3D3D3"/>
          </w:tcPr>
          <w:p>
            <w:pPr/>
          </w:p>
        </w:tc>
        <w:tc>
          <w:tcPr>
            <w:tcW w:w="2354"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2"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537" w:type="dxa"/>
            <w:vMerge w:val="restart"/>
            <w:tcBorders>
              <w:top w:val="nil" w:sz="6" w:space="0" w:color="auto"/>
              <w:left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22" w:right="-9" w:firstLine="58"/>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6" w:type="dxa"/>
            <w:tcBorders>
              <w:top w:val="single" w:sz="4" w:space="0" w:color="000000"/>
              <w:left w:val="single" w:sz="4" w:space="0" w:color="000000"/>
              <w:bottom w:val="nil" w:sz="6" w:space="0" w:color="auto"/>
              <w:right w:val="single" w:sz="4" w:space="0" w:color="000000"/>
            </w:tcBorders>
            <w:shd w:val="clear" w:color="auto" w:fill="D3D3D3"/>
          </w:tcPr>
          <w:p>
            <w:pPr/>
          </w:p>
        </w:tc>
        <w:tc>
          <w:tcPr>
            <w:tcW w:w="9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22" w:right="4" w:firstLine="66"/>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4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537" w:type="dxa"/>
            <w:vMerge/>
            <w:tcBorders>
              <w:left w:val="single" w:sz="4" w:space="0" w:color="000000"/>
              <w:bottom w:val="nil" w:sz="6" w:space="0" w:color="auto"/>
              <w:right w:val="single" w:sz="4" w:space="0" w:color="000000"/>
            </w:tcBorders>
            <w:shd w:val="clear" w:color="auto" w:fill="D3D3D3"/>
          </w:tcPr>
          <w:p>
            <w:pPr/>
          </w:p>
        </w:tc>
        <w:tc>
          <w:tcPr>
            <w:tcW w:w="13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4" w:type="dxa"/>
            <w:vMerge/>
            <w:tcBorders>
              <w:left w:val="single" w:sz="4" w:space="0" w:color="000000"/>
              <w:right w:val="single" w:sz="4" w:space="0" w:color="000000"/>
            </w:tcBorders>
            <w:shd w:val="clear" w:color="auto" w:fill="D3D3D3"/>
          </w:tcPr>
          <w:p>
            <w:pPr/>
          </w:p>
        </w:tc>
        <w:tc>
          <w:tcPr>
            <w:tcW w:w="14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8"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72"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537" w:type="dxa"/>
            <w:vMerge w:val="restart"/>
            <w:tcBorders>
              <w:top w:val="nil" w:sz="6" w:space="0" w:color="auto"/>
              <w:left w:val="single" w:sz="4" w:space="0" w:color="000000"/>
              <w:right w:val="single" w:sz="4" w:space="0" w:color="000000"/>
            </w:tcBorders>
            <w:shd w:val="clear" w:color="auto" w:fill="D3D3D3"/>
          </w:tcPr>
          <w:p>
            <w:pPr/>
          </w:p>
        </w:tc>
        <w:tc>
          <w:tcPr>
            <w:tcW w:w="1332"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c>
          <w:tcPr>
            <w:tcW w:w="1446" w:type="dxa"/>
            <w:vMerge/>
            <w:tcBorders>
              <w:left w:val="single" w:sz="4" w:space="0" w:color="000000"/>
              <w:bottom w:val="nil" w:sz="6" w:space="0" w:color="auto"/>
              <w:right w:val="single" w:sz="4" w:space="0" w:color="000000"/>
            </w:tcBorders>
            <w:shd w:val="clear" w:color="auto" w:fill="D3D3D3"/>
          </w:tcPr>
          <w:p>
            <w:pPr/>
          </w:p>
        </w:tc>
        <w:tc>
          <w:tcPr>
            <w:tcW w:w="908"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72"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537"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c>
          <w:tcPr>
            <w:tcW w:w="1446" w:type="dxa"/>
            <w:tcBorders>
              <w:top w:val="nil" w:sz="6" w:space="0" w:color="auto"/>
              <w:left w:val="single" w:sz="4" w:space="0" w:color="000000"/>
              <w:bottom w:val="single" w:sz="4" w:space="0" w:color="000000"/>
              <w:right w:val="single" w:sz="4" w:space="0" w:color="000000"/>
            </w:tcBorders>
            <w:shd w:val="clear" w:color="auto" w:fill="D3D3D3"/>
          </w:tcPr>
          <w:p>
            <w:pPr/>
          </w:p>
        </w:tc>
        <w:tc>
          <w:tcPr>
            <w:tcW w:w="908"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7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5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0.00%</w:t>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107,660,636.84</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3.19%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-3.19%</w:t>
            </w:r>
          </w:p>
        </w:tc>
        <w:tc>
          <w:tcPr>
            <w:tcW w:w="2972"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6"/>
              <w:jc w:val="left"/>
              <w:rPr>
                <w:rFonts w:ascii="宋体" w:hAnsi="宋体" w:cs="宋体" w:eastAsia="宋体" w:hint="default"/>
                <w:sz w:val="18"/>
                <w:szCs w:val="18"/>
              </w:rPr>
            </w:pPr>
            <w:r>
              <w:rPr>
                <w:rFonts w:ascii="宋体" w:hAnsi="宋体" w:cs="宋体" w:eastAsia="宋体" w:hint="default"/>
                <w:sz w:val="18"/>
                <w:szCs w:val="18"/>
              </w:rPr>
              <w:t>主要是贸易融资借款项目减少及子公 司归还银行短期借款</w:t>
            </w:r>
          </w:p>
        </w:tc>
      </w:tr>
      <w:tr>
        <w:trPr>
          <w:trHeight w:val="392" w:hRule="exact"/>
        </w:trPr>
        <w:tc>
          <w:tcPr>
            <w:tcW w:w="15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2" w:type="dxa"/>
            <w:vMerge/>
            <w:tcBorders>
              <w:left w:val="single" w:sz="10" w:space="0" w:color="D3D3D3"/>
              <w:right w:val="single" w:sz="4" w:space="0" w:color="000000"/>
            </w:tcBorders>
          </w:tcPr>
          <w:p>
            <w:pPr/>
          </w:p>
        </w:tc>
        <w:tc>
          <w:tcPr>
            <w:tcW w:w="894" w:type="dxa"/>
            <w:vMerge/>
            <w:tcBorders>
              <w:left w:val="single" w:sz="4" w:space="0" w:color="000000"/>
              <w:right w:val="single" w:sz="4" w:space="0" w:color="000000"/>
            </w:tcBorders>
          </w:tcPr>
          <w:p>
            <w:pPr/>
          </w:p>
        </w:tc>
        <w:tc>
          <w:tcPr>
            <w:tcW w:w="144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72" w:type="dxa"/>
            <w:vMerge/>
            <w:tcBorders>
              <w:left w:val="single" w:sz="4" w:space="0" w:color="000000"/>
              <w:right w:val="single" w:sz="4" w:space="0" w:color="000000"/>
            </w:tcBorders>
          </w:tcPr>
          <w:p>
            <w:pPr/>
          </w:p>
        </w:tc>
      </w:tr>
      <w:tr>
        <w:trPr>
          <w:trHeight w:val="162" w:hRule="exact"/>
        </w:trPr>
        <w:tc>
          <w:tcPr>
            <w:tcW w:w="15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2" w:type="dxa"/>
            <w:vMerge/>
            <w:tcBorders>
              <w:left w:val="single" w:sz="10" w:space="0" w:color="D3D3D3"/>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1446"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72" w:type="dxa"/>
            <w:vMerge/>
            <w:tcBorders>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主要是子公司质押借款增加</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81,861,323.25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143,409,767.45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主要是期末开具承兑汇票减少</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269,248,409.78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75,514,431.56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主要是合同预收款增加</w:t>
            </w:r>
          </w:p>
        </w:tc>
      </w:tr>
      <w:tr>
        <w:trPr>
          <w:trHeight w:val="161" w:hRule="exact"/>
        </w:trPr>
        <w:tc>
          <w:tcPr>
            <w:tcW w:w="15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122,073,093.91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3.04%</w:t>
            </w:r>
          </w:p>
        </w:tc>
        <w:tc>
          <w:tcPr>
            <w:tcW w:w="14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85,065,251.04</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2.52%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0.52%</w:t>
            </w:r>
          </w:p>
        </w:tc>
        <w:tc>
          <w:tcPr>
            <w:tcW w:w="2972"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6"/>
              <w:jc w:val="left"/>
              <w:rPr>
                <w:rFonts w:ascii="宋体" w:hAnsi="宋体" w:cs="宋体" w:eastAsia="宋体" w:hint="default"/>
                <w:sz w:val="18"/>
                <w:szCs w:val="18"/>
              </w:rPr>
            </w:pPr>
            <w:r>
              <w:rPr>
                <w:rFonts w:ascii="宋体" w:hAnsi="宋体" w:cs="宋体" w:eastAsia="宋体" w:hint="default"/>
                <w:sz w:val="18"/>
                <w:szCs w:val="18"/>
              </w:rPr>
              <w:t>主要是公司规模扩大年末按销售收入 预提数增加所致</w:t>
            </w:r>
          </w:p>
        </w:tc>
      </w:tr>
      <w:tr>
        <w:trPr>
          <w:trHeight w:val="392" w:hRule="exact"/>
        </w:trPr>
        <w:tc>
          <w:tcPr>
            <w:tcW w:w="15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2" w:type="dxa"/>
            <w:vMerge/>
            <w:tcBorders>
              <w:left w:val="single" w:sz="10" w:space="0" w:color="D3D3D3"/>
              <w:right w:val="single" w:sz="4" w:space="0" w:color="000000"/>
            </w:tcBorders>
          </w:tcPr>
          <w:p>
            <w:pPr/>
          </w:p>
        </w:tc>
        <w:tc>
          <w:tcPr>
            <w:tcW w:w="894" w:type="dxa"/>
            <w:vMerge/>
            <w:tcBorders>
              <w:left w:val="single" w:sz="4" w:space="0" w:color="000000"/>
              <w:right w:val="single" w:sz="4" w:space="0" w:color="000000"/>
            </w:tcBorders>
          </w:tcPr>
          <w:p>
            <w:pPr/>
          </w:p>
        </w:tc>
        <w:tc>
          <w:tcPr>
            <w:tcW w:w="144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72" w:type="dxa"/>
            <w:vMerge/>
            <w:tcBorders>
              <w:left w:val="single" w:sz="4" w:space="0" w:color="000000"/>
              <w:right w:val="single" w:sz="4" w:space="0" w:color="000000"/>
            </w:tcBorders>
          </w:tcPr>
          <w:p>
            <w:pPr/>
          </w:p>
        </w:tc>
      </w:tr>
      <w:tr>
        <w:trPr>
          <w:trHeight w:val="162" w:hRule="exact"/>
        </w:trPr>
        <w:tc>
          <w:tcPr>
            <w:tcW w:w="15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2" w:type="dxa"/>
            <w:vMerge/>
            <w:tcBorders>
              <w:left w:val="single" w:sz="10" w:space="0" w:color="D3D3D3"/>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c>
          <w:tcPr>
            <w:tcW w:w="1446"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7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00" w:right="88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548"/>
        <w:gridCol w:w="1332"/>
        <w:gridCol w:w="894"/>
        <w:gridCol w:w="1446"/>
        <w:gridCol w:w="908"/>
        <w:gridCol w:w="799"/>
        <w:gridCol w:w="2972"/>
      </w:tblGrid>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76,800,149.37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46,056,357.85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主要是应付技术服务费增加</w:t>
            </w: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39,553,301.46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0.98%</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29,278,708.33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主要是收到研发项目的政府补助增加</w:t>
            </w:r>
          </w:p>
        </w:tc>
      </w:tr>
      <w:tr>
        <w:trPr>
          <w:trHeight w:val="714"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622,697,755.00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444,784,111.00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5"/>
              <w:jc w:val="left"/>
              <w:rPr>
                <w:rFonts w:ascii="宋体" w:hAnsi="宋体" w:cs="宋体" w:eastAsia="宋体" w:hint="default"/>
                <w:sz w:val="18"/>
                <w:szCs w:val="18"/>
              </w:rPr>
            </w:pPr>
            <w:r>
              <w:rPr>
                <w:rFonts w:ascii="宋体" w:hAnsi="宋体" w:cs="宋体" w:eastAsia="宋体" w:hint="default"/>
                <w:sz w:val="18"/>
                <w:szCs w:val="18"/>
              </w:rPr>
              <w:t>主要是实施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年度利润分配方案， 资本公积转增股本</w:t>
            </w:r>
          </w:p>
        </w:tc>
      </w:tr>
      <w:tr>
        <w:trPr>
          <w:trHeight w:val="714"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178,647,184.24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359,057,056.10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6"/>
              <w:jc w:val="left"/>
              <w:rPr>
                <w:rFonts w:ascii="宋体" w:hAnsi="宋体" w:cs="宋体" w:eastAsia="宋体" w:hint="default"/>
                <w:sz w:val="18"/>
                <w:szCs w:val="18"/>
              </w:rPr>
            </w:pPr>
            <w:r>
              <w:rPr>
                <w:rFonts w:ascii="宋体" w:hAnsi="宋体" w:cs="宋体" w:eastAsia="宋体" w:hint="default"/>
                <w:sz w:val="18"/>
                <w:szCs w:val="18"/>
              </w:rPr>
              <w:t>主要是资本公积转增股本，可供出售 金融资产公允价值下降</w:t>
            </w: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1,911,456,422.49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47.54%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1,430,881,774.72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主要是本期经营利润增加</w:t>
            </w: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-1,237,162.55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-939,775.32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主要是人民币汇率升值</w:t>
            </w:r>
          </w:p>
        </w:tc>
      </w:tr>
    </w:tbl>
    <w:p>
      <w:pPr>
        <w:spacing w:line="240" w:lineRule="auto" w:before="2"/>
        <w:rPr>
          <w:rFonts w:ascii="宋体" w:hAnsi="宋体" w:cs="宋体" w:eastAsia="宋体" w:hint="default"/>
          <w:sz w:val="19"/>
          <w:szCs w:val="19"/>
        </w:rPr>
      </w:pPr>
    </w:p>
    <w:p>
      <w:pPr>
        <w:pStyle w:val="Heading3"/>
        <w:spacing w:line="240" w:lineRule="auto" w:before="35"/>
        <w:ind w:left="254" w:right="23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50"/>
        <w:jc w:val="right"/>
      </w:pPr>
      <w:r>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05"/>
        <w:gridCol w:w="1136"/>
        <w:gridCol w:w="1254"/>
        <w:gridCol w:w="1440"/>
        <w:gridCol w:w="1080"/>
        <w:gridCol w:w="900"/>
        <w:gridCol w:w="808"/>
        <w:gridCol w:w="1200"/>
      </w:tblGrid>
      <w:tr>
        <w:trPr>
          <w:trHeight w:val="161" w:hRule="exact"/>
        </w:trPr>
        <w:tc>
          <w:tcPr>
            <w:tcW w:w="21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8" w:right="8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4" w:right="84"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2" w:right="34"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21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4"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2" w:hRule="exact"/>
        </w:trPr>
        <w:tc>
          <w:tcPr>
            <w:tcW w:w="21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54"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1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11"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 产（不含衍生金融资产）</w:t>
            </w:r>
          </w:p>
        </w:tc>
        <w:tc>
          <w:tcPr>
            <w:tcW w:w="1136" w:type="dxa"/>
            <w:tcBorders>
              <w:top w:val="single" w:sz="4" w:space="0" w:color="000000"/>
              <w:left w:val="single" w:sz="10" w:space="0" w:color="D3D3D3"/>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36" w:type="dxa"/>
            <w:tcBorders>
              <w:top w:val="single" w:sz="4" w:space="0" w:color="000000"/>
              <w:left w:val="single" w:sz="10" w:space="0" w:color="D3D3D3"/>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9,060,311.32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-2,051,015.32</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9,060,311.32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-2,051,015.32</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6" w:type="dxa"/>
            <w:tcBorders>
              <w:top w:val="single" w:sz="4" w:space="0" w:color="000000"/>
              <w:left w:val="single" w:sz="10" w:space="0" w:color="D3D3D3"/>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6" w:type="dxa"/>
            <w:tcBorders>
              <w:top w:val="single" w:sz="4" w:space="0" w:color="000000"/>
              <w:left w:val="single" w:sz="10" w:space="0" w:color="D3D3D3"/>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10" w:space="0" w:color="D3D3D3"/>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9,060,311.32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-2,051,015.32</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54" w:right="0"/>
        <w:jc w:val="both"/>
      </w:pPr>
      <w:r>
        <w:rPr/>
        <w:t>报告期内公司主要资产计量属性是否发生重大变化</w:t>
      </w:r>
    </w:p>
    <w:p>
      <w:pPr>
        <w:pStyle w:val="BodyText"/>
        <w:spacing w:line="240" w:lineRule="auto" w:before="117"/>
        <w:ind w:left="2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254" w:right="0"/>
        <w:jc w:val="both"/>
        <w:rPr>
          <w:b w:val="0"/>
          <w:bCs w:val="0"/>
        </w:rPr>
      </w:pP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614" w:right="230"/>
        <w:jc w:val="left"/>
      </w:pPr>
      <w:r>
        <w:rPr>
          <w:rFonts w:ascii="Times New Roman" w:hAnsi="Times New Roman" w:cs="Times New Roman" w:eastAsia="Times New Roman" w:hint="default"/>
        </w:rPr>
        <w:t>1</w:t>
      </w:r>
      <w:r>
        <w:rPr/>
        <w:t>、在位优势 </w:t>
      </w:r>
      <w:r>
        <w:rPr>
          <w:rFonts w:ascii="Times New Roman" w:hAnsi="Times New Roman" w:cs="Times New Roman" w:eastAsia="Times New Roman" w:hint="default"/>
        </w:rPr>
        <w:t>ATM</w:t>
      </w:r>
      <w:r>
        <w:rPr/>
        <w:t>行业是一个在位优势明显的行业。一方面，由于</w:t>
      </w:r>
      <w:r>
        <w:rPr>
          <w:rFonts w:ascii="Times New Roman" w:hAnsi="Times New Roman" w:cs="Times New Roman" w:eastAsia="Times New Roman" w:hint="default"/>
        </w:rPr>
        <w:t>ATM</w:t>
      </w:r>
      <w:r>
        <w:rPr/>
        <w:t>是现金交易的自助服务设备，银行对</w:t>
      </w:r>
      <w:r>
        <w:rPr>
          <w:rFonts w:ascii="Times New Roman" w:hAnsi="Times New Roman" w:cs="Times New Roman" w:eastAsia="Times New Roman" w:hint="default"/>
        </w:rPr>
        <w:t>ATM</w:t>
      </w:r>
      <w:r>
        <w:rPr/>
        <w:t>的品质要求很高，</w:t>
      </w:r>
    </w:p>
    <w:p>
      <w:pPr>
        <w:pStyle w:val="BodyText"/>
        <w:spacing w:line="230" w:lineRule="exact"/>
        <w:ind w:left="254" w:right="0"/>
        <w:jc w:val="both"/>
      </w:pPr>
      <w:r>
        <w:rPr/>
        <w:t>出钞的准确性、钞票识别的安全性、售后服务的便捷性是银行非常敏感的采购考虑因素，</w:t>
      </w:r>
      <w:r>
        <w:rPr>
          <w:rFonts w:ascii="Times New Roman" w:hAnsi="Times New Roman" w:cs="Times New Roman" w:eastAsia="Times New Roman" w:hint="default"/>
        </w:rPr>
        <w:t>ATM</w:t>
      </w:r>
      <w:r>
        <w:rPr/>
        <w:t>供应商要进入某一银行需经</w:t>
      </w:r>
    </w:p>
    <w:p>
      <w:pPr>
        <w:pStyle w:val="BodyText"/>
        <w:spacing w:line="300" w:lineRule="auto" w:before="63"/>
        <w:ind w:left="254" w:right="268"/>
        <w:jc w:val="both"/>
      </w:pPr>
      <w:r>
        <w:rPr/>
        <w:t>过严格的检测并通过其总行的入围评审；另一方面，银行对于</w:t>
      </w:r>
      <w:r>
        <w:rPr>
          <w:rFonts w:ascii="Times New Roman" w:hAnsi="Times New Roman" w:cs="Times New Roman" w:eastAsia="Times New Roman" w:hint="default"/>
        </w:rPr>
        <w:t>ATM</w:t>
      </w:r>
      <w:r>
        <w:rPr/>
        <w:t>品质的评估又必须通过长期的使用才可以得出，各省、</w:t>
      </w:r>
      <w:r>
        <w:rPr>
          <w:spacing w:val="-42"/>
        </w:rPr>
        <w:t> </w:t>
      </w:r>
      <w:r>
        <w:rPr>
          <w:spacing w:val="-42"/>
        </w:rPr>
      </w:r>
      <w:r>
        <w:rPr/>
        <w:t>地级分行在向总行推荐产品时，很少推荐没有使用过的新品牌。因此，新的</w:t>
      </w:r>
      <w:r>
        <w:rPr>
          <w:rFonts w:ascii="Times New Roman" w:hAnsi="Times New Roman" w:cs="Times New Roman" w:eastAsia="Times New Roman" w:hint="default"/>
        </w:rPr>
        <w:t>ATM</w:t>
      </w:r>
      <w:r>
        <w:rPr/>
        <w:t>供应商想要进入各大银行的供应商清单较</w:t>
      </w:r>
      <w:r>
        <w:rPr>
          <w:spacing w:val="-42"/>
        </w:rPr>
        <w:t> </w:t>
      </w:r>
      <w:r>
        <w:rPr>
          <w:spacing w:val="-42"/>
        </w:rPr>
      </w:r>
      <w:r>
        <w:rPr/>
        <w:t>困难。经过多年的市场培育和拓展，本公司</w:t>
      </w:r>
      <w:r>
        <w:rPr>
          <w:rFonts w:ascii="Times New Roman" w:hAnsi="Times New Roman" w:cs="Times New Roman" w:eastAsia="Times New Roman" w:hint="default"/>
        </w:rPr>
        <w:t>ATM</w:t>
      </w:r>
      <w:r>
        <w:rPr/>
        <w:t>凭借着高品质的产品、周到的服务和较强的技术研发能力走上了行业的前</w:t>
      </w:r>
      <w:r>
        <w:rPr>
          <w:spacing w:val="-42"/>
        </w:rPr>
        <w:t> </w:t>
      </w:r>
      <w:r>
        <w:rPr>
          <w:spacing w:val="-42"/>
        </w:rPr>
      </w:r>
      <w:r>
        <w:rPr>
          <w:spacing w:val="-3"/>
        </w:rPr>
        <w:t>列，自</w:t>
      </w:r>
      <w:r>
        <w:rPr>
          <w:rFonts w:ascii="Times New Roman" w:hAnsi="Times New Roman" w:cs="Times New Roman" w:eastAsia="Times New Roman" w:hint="default"/>
          <w:spacing w:val="-3"/>
        </w:rPr>
        <w:t>2008</w:t>
      </w:r>
      <w:r>
        <w:rPr>
          <w:spacing w:val="-3"/>
        </w:rPr>
        <w:t>年以来，广电运通连续五年在国内市场销售量占有率第一，是我国同行业中经营规模最大、技术实力最强的</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6"/>
        </w:rPr>
        <w:t> </w:t>
      </w:r>
      <w:r>
        <w:rPr/>
        <w:t>民族品牌供应商。本公司在</w:t>
      </w:r>
      <w:r>
        <w:rPr>
          <w:rFonts w:ascii="Times New Roman" w:hAnsi="Times New Roman" w:cs="Times New Roman" w:eastAsia="Times New Roman" w:hint="default"/>
        </w:rPr>
        <w:t>ATM</w:t>
      </w:r>
      <w:r>
        <w:rPr/>
        <w:t>行业所具有的上述在位优势，保障了公司未来国内</w:t>
      </w:r>
      <w:r>
        <w:rPr>
          <w:rFonts w:ascii="Times New Roman" w:hAnsi="Times New Roman" w:cs="Times New Roman" w:eastAsia="Times New Roman" w:hint="default"/>
        </w:rPr>
        <w:t>ATM</w:t>
      </w:r>
      <w:r>
        <w:rPr/>
        <w:t>市场份额的稳定性和盈利能力的连</w:t>
      </w:r>
    </w:p>
    <w:p>
      <w:pPr>
        <w:spacing w:after="0" w:line="300" w:lineRule="auto"/>
        <w:jc w:val="both"/>
        <w:sectPr>
          <w:pgSz w:w="11910" w:h="16840"/>
          <w:pgMar w:header="747" w:footer="982" w:top="1060" w:bottom="1180" w:left="880" w:right="86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续性。</w:t>
      </w:r>
    </w:p>
    <w:p>
      <w:pPr>
        <w:pStyle w:val="BodyText"/>
        <w:spacing w:line="338" w:lineRule="auto" w:before="116"/>
        <w:ind w:left="513" w:right="0"/>
        <w:jc w:val="left"/>
      </w:pPr>
      <w:r>
        <w:rPr>
          <w:rFonts w:ascii="Times New Roman" w:hAnsi="Times New Roman" w:cs="Times New Roman" w:eastAsia="Times New Roman" w:hint="default"/>
        </w:rPr>
        <w:t>2</w:t>
      </w:r>
      <w:r>
        <w:rPr/>
        <w:t>、技术研发优势 </w:t>
      </w:r>
      <w:r>
        <w:rPr>
          <w:rFonts w:ascii="Times New Roman" w:hAnsi="Times New Roman" w:cs="Times New Roman" w:eastAsia="Times New Roman" w:hint="default"/>
        </w:rPr>
        <w:t>ATM</w:t>
      </w:r>
      <w:r>
        <w:rPr/>
        <w:t>作为软硬件一体化产品，其生产和研发涉及光学、电磁学、精密机械、电子电路和计算机软件设计等多种学科和</w:t>
      </w:r>
    </w:p>
    <w:p>
      <w:pPr>
        <w:pStyle w:val="BodyText"/>
        <w:spacing w:line="217" w:lineRule="exact"/>
        <w:ind w:left="153" w:right="0"/>
        <w:jc w:val="both"/>
      </w:pPr>
      <w:r>
        <w:rPr/>
        <w:t>多项技术。本公司自成立以来一直重视科技创新，坚持“高投入、高产出”的研发战略思维，以市场为导向，走自主研发、</w:t>
      </w:r>
    </w:p>
    <w:p>
      <w:pPr>
        <w:pStyle w:val="BodyText"/>
        <w:spacing w:line="302" w:lineRule="auto" w:before="76"/>
        <w:ind w:left="153" w:right="551"/>
        <w:jc w:val="both"/>
      </w:pPr>
      <w:r>
        <w:rPr/>
        <w:t>自主品牌的技术驱动之路，专注于核心竞争优势的建设，平均每年研发支出占年收入的</w:t>
      </w:r>
      <w:r>
        <w:rPr>
          <w:rFonts w:ascii="Times New Roman" w:hAnsi="Times New Roman" w:cs="Times New Roman" w:eastAsia="Times New Roman" w:hint="default"/>
        </w:rPr>
        <w:t>6%</w:t>
      </w:r>
      <w:r>
        <w:rPr/>
        <w:t>左右，不断加强</w:t>
      </w:r>
      <w:r>
        <w:rPr>
          <w:rFonts w:ascii="Times New Roman" w:hAnsi="Times New Roman" w:cs="Times New Roman" w:eastAsia="Times New Roman" w:hint="default"/>
        </w:rPr>
        <w:t>ATM</w:t>
      </w:r>
      <w:r>
        <w:rPr/>
        <w:t>系统核心技 术的研发与提升，推进核心技术产业化进程，逐渐成为全球真正掌握核心现金循环技术的少数几家企业之一。</w:t>
      </w:r>
    </w:p>
    <w:p>
      <w:pPr>
        <w:pStyle w:val="BodyText"/>
        <w:spacing w:line="338" w:lineRule="auto" w:before="69"/>
        <w:ind w:left="513" w:right="0"/>
        <w:jc w:val="left"/>
      </w:pPr>
      <w:r>
        <w:rPr>
          <w:rFonts w:ascii="Times New Roman" w:hAnsi="Times New Roman" w:cs="Times New Roman" w:eastAsia="Times New Roman" w:hint="default"/>
        </w:rPr>
        <w:t>3</w:t>
      </w:r>
      <w:r>
        <w:rPr/>
        <w:t>、售后服务优势 </w:t>
      </w:r>
      <w:r>
        <w:rPr>
          <w:rFonts w:ascii="Times New Roman" w:hAnsi="Times New Roman" w:cs="Times New Roman" w:eastAsia="Times New Roman" w:hint="default"/>
        </w:rPr>
        <w:t>ATM</w:t>
      </w:r>
      <w:r>
        <w:rPr/>
        <w:t>作为机电一体化产品，其正常使用有赖于经常、及时和专业的维护维修等售后服务。本公司一直坚持自有品牌产</w:t>
      </w:r>
    </w:p>
    <w:p>
      <w:pPr>
        <w:pStyle w:val="BodyText"/>
        <w:spacing w:line="230" w:lineRule="exact"/>
        <w:ind w:left="153" w:right="0"/>
        <w:jc w:val="both"/>
      </w:pPr>
      <w:r>
        <w:rPr/>
        <w:t>品统一维护、不外包的原则。截止</w:t>
      </w:r>
      <w:r>
        <w:rPr>
          <w:rFonts w:ascii="Times New Roman" w:hAnsi="Times New Roman" w:cs="Times New Roman" w:eastAsia="Times New Roman" w:hint="default"/>
        </w:rPr>
        <w:t>2012</w:t>
      </w:r>
      <w:r>
        <w:rPr/>
        <w:t>年年底，本公司下属全资子公司深圳银通在全国的服务网点有</w:t>
      </w:r>
      <w:r>
        <w:rPr>
          <w:rFonts w:ascii="Times New Roman" w:hAnsi="Times New Roman" w:cs="Times New Roman" w:eastAsia="Times New Roman" w:hint="default"/>
        </w:rPr>
        <w:t>443</w:t>
      </w:r>
      <w:r>
        <w:rPr/>
        <w:t>个，一线服务工程</w:t>
      </w:r>
    </w:p>
    <w:p>
      <w:pPr>
        <w:pStyle w:val="BodyText"/>
        <w:spacing w:line="307" w:lineRule="auto" w:before="63"/>
        <w:ind w:left="153" w:right="548"/>
        <w:jc w:val="both"/>
      </w:pPr>
      <w:r>
        <w:rPr>
          <w:spacing w:val="-2"/>
        </w:rPr>
        <w:t>师两千多人，</w:t>
      </w:r>
      <w:r>
        <w:rPr>
          <w:rFonts w:ascii="Times New Roman" w:hAnsi="Times New Roman" w:cs="Times New Roman" w:eastAsia="Times New Roman" w:hint="default"/>
          <w:spacing w:val="-2"/>
        </w:rPr>
        <w:t>24</w:t>
      </w:r>
      <w:r>
        <w:rPr>
          <w:spacing w:val="-2"/>
        </w:rPr>
        <w:t>小时为维修站和用户提供产品联网技术支持和维修件支持，定期对产品做巡回检查，保证产品处于最佳工作</w:t>
      </w:r>
      <w:r>
        <w:rPr>
          <w:spacing w:val="-64"/>
        </w:rPr>
        <w:t> </w:t>
      </w:r>
      <w:r>
        <w:rPr>
          <w:spacing w:val="-64"/>
        </w:rPr>
      </w:r>
      <w:r>
        <w:rPr/>
        <w:t>状态；建立</w:t>
      </w:r>
      <w:r>
        <w:rPr>
          <w:rFonts w:ascii="Times New Roman" w:hAnsi="Times New Roman" w:cs="Times New Roman" w:eastAsia="Times New Roman" w:hint="default"/>
        </w:rPr>
        <w:t>ATM</w:t>
      </w:r>
      <w:r>
        <w:rPr/>
        <w:t>使用、维修档案，保证能及时了解每台设备的使用状况。公司完善的售后服务体系具有服务网络覆盖面广</w:t>
      </w:r>
      <w:r>
        <w:rPr>
          <w:spacing w:val="-42"/>
        </w:rPr>
        <w:t> </w:t>
      </w:r>
      <w:r>
        <w:rPr>
          <w:spacing w:val="-42"/>
        </w:rPr>
      </w:r>
      <w:r>
        <w:rPr>
          <w:spacing w:val="-2"/>
        </w:rPr>
        <w:t>和服务响应及时的优势，不仅赢得了客户的口碑和认可，成为提高和巩固公司市场竞争力的重要因素，还为公司承接其他品</w:t>
      </w:r>
      <w:r>
        <w:rPr>
          <w:spacing w:val="-66"/>
        </w:rPr>
        <w:t> </w:t>
      </w:r>
      <w:r>
        <w:rPr>
          <w:spacing w:val="-66"/>
        </w:rPr>
      </w:r>
      <w:r>
        <w:rPr/>
        <w:t>牌</w:t>
      </w:r>
      <w:r>
        <w:rPr>
          <w:rFonts w:ascii="Times New Roman" w:hAnsi="Times New Roman" w:cs="Times New Roman" w:eastAsia="Times New Roman" w:hint="default"/>
        </w:rPr>
        <w:t>ATM</w:t>
      </w:r>
      <w:r>
        <w:rPr/>
        <w:t>的维护业务奠定了坚实的基础。</w:t>
      </w:r>
    </w:p>
    <w:p>
      <w:pPr>
        <w:pStyle w:val="BodyText"/>
        <w:spacing w:line="338" w:lineRule="auto" w:before="48"/>
        <w:ind w:left="513" w:right="0"/>
        <w:jc w:val="left"/>
      </w:pPr>
      <w:r>
        <w:rPr>
          <w:rFonts w:ascii="Times New Roman" w:hAnsi="Times New Roman" w:cs="Times New Roman" w:eastAsia="Times New Roman" w:hint="default"/>
        </w:rPr>
        <w:t>4</w:t>
      </w:r>
      <w:r>
        <w:rPr/>
        <w:t>、本土化优势 </w:t>
      </w:r>
      <w:r>
        <w:rPr>
          <w:rFonts w:ascii="Times New Roman" w:hAnsi="Times New Roman" w:cs="Times New Roman" w:eastAsia="Times New Roman" w:hint="default"/>
        </w:rPr>
        <w:t>ATM</w:t>
      </w:r>
      <w:r>
        <w:rPr/>
        <w:t>作为货币自助终端设备，已逐渐成为与本国居民日常生活密切相关的常用设施。由于更了解我国居民的使用习惯</w:t>
      </w:r>
    </w:p>
    <w:p>
      <w:pPr>
        <w:pStyle w:val="BodyText"/>
        <w:spacing w:line="230" w:lineRule="exact"/>
        <w:ind w:left="153" w:right="0"/>
        <w:jc w:val="both"/>
      </w:pPr>
      <w:r>
        <w:rPr/>
        <w:t>和消费需求，能更及时地掌握</w:t>
      </w:r>
      <w:r>
        <w:rPr>
          <w:rFonts w:ascii="Times New Roman" w:hAnsi="Times New Roman" w:cs="Times New Roman" w:eastAsia="Times New Roman" w:hint="default"/>
        </w:rPr>
        <w:t>ATM</w:t>
      </w:r>
      <w:r>
        <w:rPr/>
        <w:t>在使用过程中出现的新情况和遇到的新问题，国内</w:t>
      </w:r>
      <w:r>
        <w:rPr>
          <w:rFonts w:ascii="Times New Roman" w:hAnsi="Times New Roman" w:cs="Times New Roman" w:eastAsia="Times New Roman" w:hint="default"/>
        </w:rPr>
        <w:t>ATM</w:t>
      </w:r>
      <w:r>
        <w:rPr/>
        <w:t>本土制造商往往拥有国外</w:t>
      </w:r>
      <w:r>
        <w:rPr>
          <w:rFonts w:ascii="Times New Roman" w:hAnsi="Times New Roman" w:cs="Times New Roman" w:eastAsia="Times New Roman" w:hint="default"/>
        </w:rPr>
        <w:t>ATM</w:t>
      </w:r>
      <w:r>
        <w:rPr/>
        <w:t>供</w:t>
      </w:r>
    </w:p>
    <w:p>
      <w:pPr>
        <w:pStyle w:val="BodyText"/>
        <w:spacing w:line="304" w:lineRule="auto" w:before="63"/>
        <w:ind w:left="153" w:right="548"/>
        <w:jc w:val="both"/>
      </w:pPr>
      <w:r>
        <w:rPr>
          <w:spacing w:val="-2"/>
        </w:rPr>
        <w:t>应商难以比拟的本土化优势。本公司在货币识别技术方面的长期研发投入和数据积累，使得公司在应对新出现的人民币伪钞</w:t>
      </w:r>
      <w:r>
        <w:rPr>
          <w:spacing w:val="-64"/>
        </w:rPr>
        <w:t> </w:t>
      </w:r>
      <w:r>
        <w:rPr>
          <w:spacing w:val="-64"/>
        </w:rPr>
      </w:r>
      <w:r>
        <w:rPr/>
        <w:t>和新版人民币时，其反应速度较国外</w:t>
      </w:r>
      <w:r>
        <w:rPr>
          <w:rFonts w:ascii="Times New Roman" w:hAnsi="Times New Roman" w:cs="Times New Roman" w:eastAsia="Times New Roman" w:hint="default"/>
        </w:rPr>
        <w:t>ATM</w:t>
      </w:r>
      <w:r>
        <w:rPr/>
        <w:t>供应商更为快捷；本公司在为用户提供全方位的技术解决方案方面的长期经验积</w:t>
      </w:r>
      <w:r>
        <w:rPr>
          <w:spacing w:val="-42"/>
        </w:rPr>
        <w:t> </w:t>
      </w:r>
      <w:r>
        <w:rPr>
          <w:spacing w:val="-42"/>
        </w:rPr>
      </w:r>
      <w:r>
        <w:rPr/>
        <w:t>累，使得公司在</w:t>
      </w:r>
      <w:r>
        <w:rPr>
          <w:rFonts w:ascii="Times New Roman" w:hAnsi="Times New Roman" w:cs="Times New Roman" w:eastAsia="Times New Roman" w:hint="default"/>
        </w:rPr>
        <w:t>ATM</w:t>
      </w:r>
      <w:r>
        <w:rPr/>
        <w:t>功能设计方面（如为代缴费的客户提供发票、注重</w:t>
      </w:r>
      <w:r>
        <w:rPr>
          <w:rFonts w:ascii="Times New Roman" w:hAnsi="Times New Roman" w:cs="Times New Roman" w:eastAsia="Times New Roman" w:hint="default"/>
        </w:rPr>
        <w:t>ATM</w:t>
      </w:r>
      <w:r>
        <w:rPr/>
        <w:t>犯罪的防范、中国气候及环境的特殊性等）较</w:t>
      </w:r>
      <w:r>
        <w:rPr>
          <w:spacing w:val="-78"/>
        </w:rPr>
        <w:t> </w:t>
      </w:r>
      <w:r>
        <w:rPr>
          <w:spacing w:val="-78"/>
        </w:rPr>
      </w:r>
      <w:r>
        <w:rPr/>
        <w:t>国外</w:t>
      </w:r>
      <w:r>
        <w:rPr>
          <w:rFonts w:ascii="Times New Roman" w:hAnsi="Times New Roman" w:cs="Times New Roman" w:eastAsia="Times New Roman" w:hint="default"/>
        </w:rPr>
        <w:t>ATM</w:t>
      </w:r>
      <w:r>
        <w:rPr/>
        <w:t>供应商更加贴近用户；此外，根据市场环境变化而进行快速响应及决策，本公司也比国外</w:t>
      </w:r>
      <w:r>
        <w:rPr>
          <w:rFonts w:ascii="Times New Roman" w:hAnsi="Times New Roman" w:cs="Times New Roman" w:eastAsia="Times New Roman" w:hint="default"/>
        </w:rPr>
        <w:t>ATM</w:t>
      </w:r>
      <w:r>
        <w:rPr/>
        <w:t>供应商的反映速度</w:t>
      </w:r>
      <w:r>
        <w:rPr>
          <w:spacing w:val="-78"/>
        </w:rPr>
        <w:t> </w:t>
      </w:r>
      <w:r>
        <w:rPr>
          <w:spacing w:val="-78"/>
        </w:rPr>
      </w:r>
      <w:r>
        <w:rPr/>
        <w:t>更为迅速。</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9" w:right="0"/>
              <w:jc w:val="left"/>
              <w:rPr>
                <w:rFonts w:ascii="Times New Roman" w:hAnsi="Times New Roman" w:cs="Times New Roman" w:eastAsia="Times New Roman" w:hint="default"/>
                <w:sz w:val="18"/>
                <w:szCs w:val="18"/>
              </w:rPr>
            </w:pPr>
            <w:r>
              <w:rPr>
                <w:rFonts w:ascii="Times New Roman"/>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-77.06%</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开展清分机业务，接受合法委托对</w:t>
            </w:r>
          </w:p>
        </w:tc>
        <w:tc>
          <w:tcPr>
            <w:tcW w:w="319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纸币清分机提供日常维护与管理服务、</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对现金及有价证券提供清分处理服务。</w:t>
            </w:r>
          </w:p>
        </w:tc>
        <w:tc>
          <w:tcPr>
            <w:tcW w:w="3191"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）持有其他上市企业股权情况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80"/>
        <w:gridCol w:w="740"/>
        <w:gridCol w:w="1012"/>
        <w:gridCol w:w="870"/>
        <w:gridCol w:w="868"/>
        <w:gridCol w:w="868"/>
        <w:gridCol w:w="869"/>
        <w:gridCol w:w="1094"/>
        <w:gridCol w:w="1080"/>
        <w:gridCol w:w="900"/>
        <w:gridCol w:w="900"/>
      </w:tblGrid>
      <w:tr>
        <w:trPr>
          <w:trHeight w:val="713"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5" w:right="92" w:hanging="180"/>
              <w:jc w:val="left"/>
              <w:rPr>
                <w:rFonts w:ascii="宋体" w:hAnsi="宋体" w:cs="宋体" w:eastAsia="宋体" w:hint="default"/>
                <w:sz w:val="18"/>
                <w:szCs w:val="18"/>
              </w:rPr>
            </w:pPr>
            <w:r>
              <w:rPr>
                <w:rFonts w:ascii="宋体" w:hAnsi="宋体" w:cs="宋体" w:eastAsia="宋体" w:hint="default"/>
                <w:sz w:val="18"/>
                <w:szCs w:val="18"/>
              </w:rPr>
              <w:t>公司类 别</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0" w:right="49"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35"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股份来源</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580"/>
        </w:sectPr>
      </w:pPr>
    </w:p>
    <w:p>
      <w:pPr>
        <w:spacing w:line="240" w:lineRule="auto" w:before="6"/>
        <w:rPr>
          <w:rFonts w:ascii="宋体" w:hAnsi="宋体" w:cs="宋体" w:eastAsia="宋体" w:hint="default"/>
          <w:b/>
          <w:bCs/>
          <w:sz w:val="28"/>
          <w:szCs w:val="28"/>
        </w:rPr>
      </w:pPr>
    </w:p>
    <w:tbl>
      <w:tblPr>
        <w:tblW w:w="0" w:type="auto"/>
        <w:jc w:val="left"/>
        <w:tblInd w:w="309" w:type="dxa"/>
        <w:tblLayout w:type="fixed"/>
        <w:tblCellMar>
          <w:top w:w="0" w:type="dxa"/>
          <w:left w:w="0" w:type="dxa"/>
          <w:bottom w:w="0" w:type="dxa"/>
          <w:right w:w="0" w:type="dxa"/>
        </w:tblCellMar>
        <w:tblLook w:val="01E0"/>
      </w:tblPr>
      <w:tblGrid>
        <w:gridCol w:w="880"/>
        <w:gridCol w:w="740"/>
        <w:gridCol w:w="1012"/>
        <w:gridCol w:w="870"/>
        <w:gridCol w:w="868"/>
        <w:gridCol w:w="868"/>
        <w:gridCol w:w="869"/>
        <w:gridCol w:w="1094"/>
        <w:gridCol w:w="1080"/>
        <w:gridCol w:w="900"/>
        <w:gridCol w:w="900"/>
      </w:tblGrid>
      <w:tr>
        <w:trPr>
          <w:trHeight w:val="754"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GRGI</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8,615,098.78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10,097,282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10,097,282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7.17%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6,564,083.46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-2,496,227.86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46" w:right="2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25"/>
              <w:jc w:val="left"/>
              <w:rPr>
                <w:rFonts w:ascii="宋体" w:hAnsi="宋体" w:cs="宋体" w:eastAsia="宋体" w:hint="default"/>
                <w:sz w:val="18"/>
                <w:szCs w:val="18"/>
              </w:rPr>
            </w:pPr>
            <w:r>
              <w:rPr>
                <w:rFonts w:ascii="宋体" w:hAnsi="宋体" w:cs="宋体" w:eastAsia="宋体" w:hint="default"/>
                <w:sz w:val="18"/>
                <w:szCs w:val="18"/>
              </w:rPr>
              <w:t>投资及 认购</w:t>
            </w:r>
          </w:p>
        </w:tc>
      </w:tr>
      <w:tr>
        <w:trPr>
          <w:trHeight w:val="403" w:hRule="exact"/>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8,615,098.78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10,097,282</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10,097,282</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-2,496,227.86</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3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314" w:right="0"/>
        <w:jc w:val="left"/>
      </w:pPr>
      <w:r>
        <w:rPr/>
        <w:t>□ 适用 √不适用</w:t>
      </w:r>
    </w:p>
    <w:p>
      <w:pPr>
        <w:spacing w:line="240" w:lineRule="auto" w:before="12"/>
        <w:rPr>
          <w:rFonts w:ascii="宋体" w:hAnsi="宋体" w:cs="宋体" w:eastAsia="宋体" w:hint="default"/>
          <w:sz w:val="26"/>
          <w:szCs w:val="26"/>
        </w:rPr>
      </w:pPr>
    </w:p>
    <w:p>
      <w:pPr>
        <w:pStyle w:val="Heading3"/>
        <w:spacing w:line="240" w:lineRule="auto"/>
        <w:ind w:left="314"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14" w:right="0"/>
        <w:jc w:val="left"/>
      </w:pPr>
      <w:r>
        <w:rPr/>
        <w:t>报告期内，公司不存在委托理财、衍生品投资和委托贷款情况。</w:t>
      </w:r>
    </w:p>
    <w:p>
      <w:pPr>
        <w:spacing w:line="240" w:lineRule="auto" w:before="10"/>
        <w:rPr>
          <w:rFonts w:ascii="宋体" w:hAnsi="宋体" w:cs="宋体" w:eastAsia="宋体" w:hint="default"/>
          <w:sz w:val="26"/>
          <w:szCs w:val="26"/>
        </w:rPr>
      </w:pPr>
    </w:p>
    <w:p>
      <w:pPr>
        <w:pStyle w:val="Heading3"/>
        <w:spacing w:line="240" w:lineRule="auto"/>
        <w:ind w:left="314"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14" w:right="0"/>
        <w:jc w:val="left"/>
      </w:pPr>
      <w:r>
        <w:rPr/>
        <w:t>报告期，公司不存在募集资金项目。截止</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w:t>
      </w:r>
      <w:r>
        <w:rPr>
          <w:spacing w:val="-47"/>
        </w:rPr>
        <w:t> </w:t>
      </w:r>
      <w:r>
        <w:rPr>
          <w:rFonts w:ascii="Times New Roman" w:hAnsi="Times New Roman" w:cs="Times New Roman" w:eastAsia="Times New Roman" w:hint="default"/>
        </w:rPr>
        <w:t>IPO</w:t>
      </w:r>
      <w:r>
        <w:rPr>
          <w:rFonts w:ascii="Times New Roman" w:hAnsi="Times New Roman" w:cs="Times New Roman" w:eastAsia="Times New Roman" w:hint="default"/>
          <w:spacing w:val="-1"/>
        </w:rPr>
        <w:t> </w:t>
      </w:r>
      <w:r>
        <w:rPr/>
        <w:t>募集资金已全部使用完毕，募集资金专户已注销。</w:t>
      </w:r>
    </w:p>
    <w:p>
      <w:pPr>
        <w:spacing w:line="240" w:lineRule="auto" w:before="9"/>
        <w:rPr>
          <w:rFonts w:ascii="宋体" w:hAnsi="宋体" w:cs="宋体" w:eastAsia="宋体" w:hint="default"/>
          <w:sz w:val="25"/>
          <w:szCs w:val="25"/>
        </w:rPr>
      </w:pPr>
    </w:p>
    <w:p>
      <w:pPr>
        <w:pStyle w:val="Heading3"/>
        <w:spacing w:line="240" w:lineRule="auto"/>
        <w:ind w:left="314"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14" w:right="0"/>
        <w:jc w:val="left"/>
      </w:pPr>
      <w:r>
        <w:rPr/>
        <w:t>主要子公司、参股公司情况</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540"/>
        <w:gridCol w:w="720"/>
        <w:gridCol w:w="720"/>
        <w:gridCol w:w="2700"/>
        <w:gridCol w:w="890"/>
        <w:gridCol w:w="889"/>
        <w:gridCol w:w="890"/>
        <w:gridCol w:w="890"/>
        <w:gridCol w:w="889"/>
        <w:gridCol w:w="890"/>
      </w:tblGrid>
      <w:tr>
        <w:trPr>
          <w:trHeight w:val="755" w:hRule="exact"/>
        </w:trPr>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0"/>
              <w:ind w:left="84" w:right="84"/>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173" w:right="17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173" w:right="174"/>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7"/>
              <w:ind w:left="16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117"/>
              <w:ind w:left="16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117"/>
              <w:ind w:left="17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117"/>
              <w:ind w:left="170"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026" w:hRule="exact"/>
        </w:trPr>
        <w:tc>
          <w:tcPr>
            <w:tcW w:w="540"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深圳 银通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主要从事货币自动处理设备的维 </w:t>
            </w:r>
            <w:r>
              <w:rPr>
                <w:rFonts w:ascii="宋体" w:hAnsi="宋体" w:cs="宋体" w:eastAsia="宋体" w:hint="default"/>
                <w:spacing w:val="-3"/>
                <w:sz w:val="18"/>
                <w:szCs w:val="18"/>
              </w:rPr>
              <w:t>护服务、</w:t>
            </w:r>
            <w:r>
              <w:rPr>
                <w:rFonts w:ascii="Times New Roman" w:hAnsi="Times New Roman" w:cs="Times New Roman" w:eastAsia="Times New Roman" w:hint="default"/>
                <w:spacing w:val="-3"/>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营运业务以及金融 服务全外包业务。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310,165,77</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2.15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211,861,43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2.09</w:t>
            </w:r>
          </w:p>
        </w:tc>
        <w:tc>
          <w:tcPr>
            <w:tcW w:w="890"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315,811,39</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3.70</w:t>
            </w:r>
          </w:p>
        </w:tc>
        <w:tc>
          <w:tcPr>
            <w:tcW w:w="889"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59,751,266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50,276,112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运通 国际</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主要经营柜员机销售与服务。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65"/>
              <w:ind w:left="24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76,518,280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16,159,054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86,839,805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支点 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270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44"/>
              <w:jc w:val="left"/>
              <w:rPr>
                <w:rFonts w:ascii="宋体" w:hAnsi="宋体" w:cs="宋体" w:eastAsia="宋体" w:hint="default"/>
                <w:sz w:val="18"/>
                <w:szCs w:val="18"/>
              </w:rPr>
            </w:pPr>
            <w:r>
              <w:rPr>
                <w:rFonts w:ascii="宋体" w:hAnsi="宋体" w:cs="宋体" w:eastAsia="宋体" w:hint="default"/>
                <w:sz w:val="18"/>
                <w:szCs w:val="18"/>
              </w:rPr>
              <w:t>主要从事创业投资、咨询、管理。</w:t>
            </w:r>
          </w:p>
        </w:tc>
        <w:tc>
          <w:tcPr>
            <w:tcW w:w="8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50,450,630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50,360,174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361,822.61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271,366.96</w:t>
            </w:r>
          </w:p>
        </w:tc>
      </w:tr>
      <w:tr>
        <w:trPr>
          <w:trHeight w:val="71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中智 融通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主要从事清分机业务。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 穗通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受银行委托对自动柜员机进行日 </w:t>
            </w:r>
            <w:r>
              <w:rPr>
                <w:rFonts w:ascii="宋体" w:hAnsi="宋体" w:cs="宋体" w:eastAsia="宋体" w:hint="default"/>
                <w:spacing w:val="-4"/>
                <w:sz w:val="18"/>
                <w:szCs w:val="18"/>
              </w:rPr>
              <w:t>常维护及管理，对现金及有价证券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提供清分处理服务。</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40,093,508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36,168,300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40,013,972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6,620,030.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龙源 环保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电镀污 水处理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环境污染防治专用设备生产技术 </w:t>
            </w:r>
            <w:r>
              <w:rPr>
                <w:rFonts w:ascii="宋体" w:hAnsi="宋体" w:cs="宋体" w:eastAsia="宋体" w:hint="default"/>
                <w:spacing w:val="-4"/>
                <w:sz w:val="18"/>
                <w:szCs w:val="18"/>
              </w:rPr>
              <w:t>的研究、开发；销售：环境污染防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治专用设备。</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218,431,37</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3.00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263,350,05</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0.67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259,972,51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9,202,659.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-12,698,44</w:t>
            </w:r>
          </w:p>
          <w:p>
            <w:pPr>
              <w:pStyle w:val="TableParagraph"/>
              <w:spacing w:line="240" w:lineRule="auto" w:before="105"/>
              <w:ind w:left="541" w:right="0"/>
              <w:jc w:val="left"/>
              <w:rPr>
                <w:rFonts w:ascii="Times New Roman" w:hAnsi="Times New Roman" w:cs="Times New Roman" w:eastAsia="Times New Roman" w:hint="default"/>
                <w:sz w:val="18"/>
                <w:szCs w:val="18"/>
              </w:rPr>
            </w:pPr>
            <w:r>
              <w:rPr>
                <w:rFonts w:ascii="Times New Roman"/>
                <w:sz w:val="18"/>
              </w:rPr>
              <w:t>4.01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-13,036,80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5.64</w:t>
            </w:r>
          </w:p>
        </w:tc>
      </w:tr>
    </w:tbl>
    <w:p>
      <w:pPr>
        <w:pStyle w:val="BodyText"/>
        <w:spacing w:line="240" w:lineRule="auto" w:before="51"/>
        <w:ind w:left="314" w:right="0"/>
        <w:jc w:val="left"/>
      </w:pPr>
      <w:r>
        <w:rPr/>
        <w:t>主要子公司、参股公司情况说明</w:t>
      </w:r>
    </w:p>
    <w:p>
      <w:pPr>
        <w:pStyle w:val="BodyText"/>
        <w:spacing w:line="338" w:lineRule="auto" w:before="117"/>
        <w:ind w:left="673" w:right="3511"/>
        <w:jc w:val="left"/>
      </w:pPr>
      <w:r>
        <w:rPr/>
        <w:t>（</w:t>
      </w:r>
      <w:r>
        <w:rPr>
          <w:rFonts w:ascii="Times New Roman" w:hAnsi="Times New Roman" w:cs="Times New Roman" w:eastAsia="Times New Roman" w:hint="default"/>
        </w:rPr>
        <w:t>1</w:t>
      </w:r>
      <w:r>
        <w:rPr/>
        <w:t>）深圳银通 报告期内，深圳银通新成立了一家全资子公司及一家参股公司，具体情况如下：</w:t>
      </w:r>
    </w:p>
    <w:p>
      <w:pPr>
        <w:pStyle w:val="BodyText"/>
        <w:spacing w:line="300" w:lineRule="auto" w:before="41"/>
        <w:ind w:left="313" w:right="608" w:firstLine="360"/>
        <w:jc w:val="left"/>
      </w:pPr>
      <w:r>
        <w:rPr/>
        <w:t>①</w:t>
      </w:r>
      <w:r>
        <w:rPr>
          <w:spacing w:val="-46"/>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月，深圳银通投资成立上海欣辰通金融电子科技有限公司，注册资本为</w:t>
      </w:r>
      <w:r>
        <w:rPr>
          <w:rFonts w:ascii="Times New Roman" w:hAnsi="Times New Roman" w:cs="Times New Roman" w:eastAsia="Times New Roman" w:hint="default"/>
        </w:rPr>
        <w:t>1000</w:t>
      </w:r>
      <w:r>
        <w:rPr/>
        <w:t>万元人民币（深圳银通占比 </w:t>
      </w:r>
      <w:r>
        <w:rPr>
          <w:rFonts w:ascii="Times New Roman" w:hAnsi="Times New Roman" w:cs="Times New Roman" w:eastAsia="Times New Roman" w:hint="default"/>
        </w:rPr>
        <w:t>100%</w:t>
      </w:r>
      <w:r>
        <w:rPr/>
        <w:t>），注册地为上海市宝山区月罗路</w:t>
      </w:r>
      <w:r>
        <w:rPr>
          <w:rFonts w:ascii="Times New Roman" w:hAnsi="Times New Roman" w:cs="Times New Roman" w:eastAsia="Times New Roman" w:hint="default"/>
        </w:rPr>
        <w:t>559</w:t>
      </w:r>
      <w:r>
        <w:rPr/>
        <w:t>号</w:t>
      </w:r>
      <w:r>
        <w:rPr>
          <w:rFonts w:ascii="Times New Roman" w:hAnsi="Times New Roman" w:cs="Times New Roman" w:eastAsia="Times New Roman" w:hint="default"/>
        </w:rPr>
        <w:t>P-366</w:t>
      </w:r>
      <w:r>
        <w:rPr/>
        <w:t>室，法定代表人为陈建良，经营范围为：金融电子设备的研究、开发、</w:t>
      </w:r>
    </w:p>
    <w:p>
      <w:pPr>
        <w:spacing w:after="0" w:line="300" w:lineRule="auto"/>
        <w:jc w:val="left"/>
        <w:sectPr>
          <w:pgSz w:w="11910" w:h="16840"/>
          <w:pgMar w:header="747" w:footer="982" w:top="1060" w:bottom="1180" w:left="820" w:right="580"/>
        </w:sectPr>
      </w:pPr>
    </w:p>
    <w:p>
      <w:pPr>
        <w:spacing w:line="240" w:lineRule="auto" w:before="12"/>
        <w:rPr>
          <w:rFonts w:ascii="宋体" w:hAnsi="宋体" w:cs="宋体" w:eastAsia="宋体" w:hint="default"/>
          <w:sz w:val="25"/>
          <w:szCs w:val="25"/>
        </w:rPr>
      </w:pPr>
    </w:p>
    <w:p>
      <w:pPr>
        <w:pStyle w:val="BodyText"/>
        <w:spacing w:line="319" w:lineRule="auto" w:before="44"/>
        <w:ind w:left="153" w:right="91"/>
        <w:jc w:val="left"/>
      </w:pPr>
      <w:r>
        <w:rPr/>
        <w:t>生产（生产限分支机构经营）；计算机系统集成技术服务（计算机信息系统集成除外）；在计算机软硬件、金融电子设备、 </w:t>
      </w:r>
      <w:r>
        <w:rPr>
          <w:spacing w:val="-2"/>
        </w:rPr>
        <w:t>办公设备、税控设备领域内的技术开发、技术咨询、技术服务；金融电子设备租赁；从事货物及技术的进出口业务；对自动</w:t>
      </w:r>
      <w:r>
        <w:rPr>
          <w:spacing w:val="-68"/>
        </w:rPr>
        <w:t> </w:t>
      </w:r>
      <w:r>
        <w:rPr>
          <w:spacing w:val="-68"/>
        </w:rPr>
      </w:r>
      <w:r>
        <w:rPr>
          <w:spacing w:val="-2"/>
        </w:rPr>
        <w:t>柜员机进行日常维护管理及数据处理；接收金融机构委托从事金融业务流程外包服务（清机、清分、票据录入、数据处理等</w:t>
      </w:r>
      <w:r>
        <w:rPr>
          <w:spacing w:val="-65"/>
        </w:rPr>
        <w:t> </w:t>
      </w:r>
      <w:r>
        <w:rPr>
          <w:spacing w:val="-65"/>
        </w:rPr>
      </w:r>
      <w:r>
        <w:rPr/>
        <w:t>银行后台业务）。</w:t>
      </w:r>
    </w:p>
    <w:p>
      <w:pPr>
        <w:pStyle w:val="BodyText"/>
        <w:spacing w:line="309" w:lineRule="auto" w:before="55"/>
        <w:ind w:left="153" w:right="96" w:firstLine="360"/>
        <w:jc w:val="left"/>
      </w:pPr>
      <w:r>
        <w:rPr/>
        <w:t>②</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7"/>
        </w:rPr>
        <w:t>月，深圳银通参股投资云南云通金融外包服务有限公司，注册资本为</w:t>
      </w:r>
      <w:r>
        <w:rPr>
          <w:spacing w:val="-4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8"/>
        </w:rPr>
        <w:t>万元人民币（深圳银通占比</w:t>
      </w:r>
      <w:r>
        <w:rPr>
          <w:spacing w:val="-42"/>
        </w:rPr>
        <w:t> </w:t>
      </w:r>
      <w:r>
        <w:rPr>
          <w:rFonts w:ascii="Times New Roman" w:hAnsi="Times New Roman" w:cs="Times New Roman" w:eastAsia="Times New Roman" w:hint="default"/>
          <w:spacing w:val="-19"/>
        </w:rPr>
        <w:t>49%</w:t>
      </w:r>
      <w:r>
        <w:rPr>
          <w:spacing w:val="-19"/>
        </w:rPr>
        <w:t>），</w:t>
      </w:r>
      <w:r>
        <w:rPr/>
        <w:t> 注册地为云南省昆明市高新开发区 </w:t>
      </w:r>
      <w:r>
        <w:rPr>
          <w:rFonts w:ascii="Times New Roman" w:hAnsi="Times New Roman" w:cs="Times New Roman" w:eastAsia="Times New Roman" w:hint="default"/>
        </w:rPr>
        <w:t>13 </w:t>
      </w:r>
      <w:r>
        <w:rPr/>
        <w:t>号路高新阳光大厦 </w:t>
      </w:r>
      <w:r>
        <w:rPr>
          <w:rFonts w:ascii="Times New Roman" w:hAnsi="Times New Roman" w:cs="Times New Roman" w:eastAsia="Times New Roman" w:hint="default"/>
        </w:rPr>
        <w:t>B </w:t>
      </w:r>
      <w:r>
        <w:rPr/>
        <w:t>栋四层，法定代表人为黄建琴</w:t>
      </w:r>
      <w:r>
        <w:rPr>
          <w:spacing w:val="-24"/>
        </w:rPr>
        <w:t> </w:t>
      </w:r>
      <w:r>
        <w:rPr/>
        <w:t>，经营范围为：提供对银行自动 </w:t>
      </w:r>
      <w:r>
        <w:rPr>
          <w:spacing w:val="-2"/>
        </w:rPr>
        <w:t>柜员机进行日常运行及管理服务（包括自动柜员机清机服务、维护监管）；现金及有价证券的清分处理服务；安全技术防范</w:t>
      </w:r>
      <w:r>
        <w:rPr>
          <w:spacing w:val="-66"/>
        </w:rPr>
        <w:t> </w:t>
      </w:r>
      <w:r>
        <w:rPr>
          <w:spacing w:val="-66"/>
        </w:rPr>
      </w:r>
      <w:r>
        <w:rPr>
          <w:spacing w:val="-2"/>
        </w:rPr>
        <w:t>系统工程及安防咨询服务；贵重物品保管及银行的其他外包服务（银行允许的外包项目）；银行尾箱、票据档案寄存保管服</w:t>
      </w:r>
      <w:r>
        <w:rPr>
          <w:spacing w:val="-66"/>
        </w:rPr>
        <w:t> </w:t>
      </w:r>
      <w:r>
        <w:rPr>
          <w:spacing w:val="-66"/>
        </w:rPr>
      </w:r>
      <w:r>
        <w:rPr/>
        <w:t>务。</w:t>
      </w:r>
    </w:p>
    <w:p>
      <w:pPr>
        <w:pStyle w:val="BodyText"/>
        <w:spacing w:line="319" w:lineRule="auto" w:before="64"/>
        <w:ind w:left="153" w:right="190" w:firstLine="360"/>
        <w:jc w:val="both"/>
      </w:pPr>
      <w:r>
        <w:rPr>
          <w:spacing w:val="-2"/>
        </w:rPr>
        <w:t>目前，深圳银通有广州广电银通金融电子科技有限公司、上海欣辰通金融电子科技有限公司两家全资子公司和江苏保通</w:t>
      </w:r>
      <w:r>
        <w:rPr/>
        <w:t> </w:t>
      </w:r>
      <w:r>
        <w:rPr>
          <w:spacing w:val="-2"/>
        </w:rPr>
        <w:t>金融外包服务有限公司、深圳鹏通金融服务有限公司、石家庄市银通金融服务有限公司三家控股子公司及云南云通金融外包</w:t>
      </w:r>
      <w:r>
        <w:rPr>
          <w:spacing w:val="-64"/>
        </w:rPr>
        <w:t> </w:t>
      </w:r>
      <w:r>
        <w:rPr>
          <w:spacing w:val="-64"/>
        </w:rPr>
      </w:r>
      <w:r>
        <w:rPr/>
        <w:t>服务有限公司一家参股公司，金融服务外包业务在全国多个城市有序开展。</w:t>
      </w:r>
    </w:p>
    <w:p>
      <w:pPr>
        <w:pStyle w:val="BodyText"/>
        <w:spacing w:line="338" w:lineRule="auto" w:before="56"/>
        <w:ind w:left="513" w:right="4411"/>
        <w:jc w:val="left"/>
      </w:pPr>
      <w:r>
        <w:rPr/>
        <w:t>（</w:t>
      </w:r>
      <w:r>
        <w:rPr>
          <w:rFonts w:ascii="Times New Roman" w:hAnsi="Times New Roman" w:cs="Times New Roman" w:eastAsia="Times New Roman" w:hint="default"/>
        </w:rPr>
        <w:t>2</w:t>
      </w:r>
      <w:r>
        <w:rPr/>
        <w:t>）运通国际 报告期内，运通国际新成立了一家全资子公司，具体情况如下：</w:t>
      </w:r>
    </w:p>
    <w:p>
      <w:pPr>
        <w:pStyle w:val="BodyText"/>
        <w:spacing w:line="302" w:lineRule="auto" w:before="42"/>
        <w:ind w:left="153" w:right="177"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月，运通国际投资成立</w:t>
      </w:r>
      <w:r>
        <w:rPr>
          <w:rFonts w:ascii="Times New Roman" w:hAnsi="Times New Roman" w:cs="Times New Roman" w:eastAsia="Times New Roman" w:hint="default"/>
        </w:rPr>
        <w:t>GRG Banking Equipment(HK)</w:t>
      </w:r>
      <w:r>
        <w:rPr>
          <w:rFonts w:ascii="Times New Roman" w:hAnsi="Times New Roman" w:cs="Times New Roman" w:eastAsia="Times New Roman" w:hint="default"/>
          <w:spacing w:val="-21"/>
        </w:rPr>
        <w:t> </w:t>
      </w:r>
      <w:r>
        <w:rPr>
          <w:rFonts w:ascii="Times New Roman" w:hAnsi="Times New Roman" w:cs="Times New Roman" w:eastAsia="Times New Roman" w:hint="default"/>
        </w:rPr>
        <w:t>Europe</w:t>
      </w:r>
      <w:r>
        <w:rPr/>
        <w:t>，注册资本及投资总额为立陶宛立特</w:t>
      </w:r>
      <w:r>
        <w:rPr>
          <w:rFonts w:ascii="Times New Roman" w:hAnsi="Times New Roman" w:cs="Times New Roman" w:eastAsia="Times New Roman" w:hint="default"/>
        </w:rPr>
        <w:t>1</w:t>
      </w:r>
      <w:r>
        <w:rPr/>
        <w:t>万元（运通国 际占比</w:t>
      </w:r>
      <w:r>
        <w:rPr>
          <w:rFonts w:ascii="Times New Roman" w:hAnsi="Times New Roman" w:cs="Times New Roman" w:eastAsia="Times New Roman" w:hint="default"/>
        </w:rPr>
        <w:t>100%</w:t>
      </w:r>
      <w:r>
        <w:rPr/>
        <w:t>），注册地址为</w:t>
      </w:r>
      <w:r>
        <w:rPr>
          <w:rFonts w:ascii="Times New Roman" w:hAnsi="Times New Roman" w:cs="Times New Roman" w:eastAsia="Times New Roman" w:hint="default"/>
        </w:rPr>
        <w:t>Vilniaus m.sav.Vilniaus</w:t>
      </w:r>
      <w:r>
        <w:rPr>
          <w:rFonts w:ascii="Times New Roman" w:hAnsi="Times New Roman" w:cs="Times New Roman" w:eastAsia="Times New Roman" w:hint="default"/>
          <w:spacing w:val="-8"/>
        </w:rPr>
        <w:t> </w:t>
      </w:r>
      <w:r>
        <w:rPr>
          <w:rFonts w:ascii="Times New Roman" w:hAnsi="Times New Roman" w:cs="Times New Roman" w:eastAsia="Times New Roman" w:hint="default"/>
        </w:rPr>
        <w:t>m.Savanori</w:t>
      </w:r>
      <w:r>
        <w:rPr>
          <w:rFonts w:ascii="Times New Roman" w:hAnsi="Times New Roman" w:cs="Times New Roman" w:eastAsia="Times New Roman" w:hint="default"/>
        </w:rPr>
        <w:t>ų</w:t>
      </w:r>
      <w:r>
        <w:rPr>
          <w:rFonts w:ascii="Times New Roman" w:hAnsi="Times New Roman" w:cs="Times New Roman" w:eastAsia="Times New Roman" w:hint="default"/>
        </w:rPr>
        <w:t>.pr.123A</w:t>
      </w:r>
      <w:r>
        <w:rPr/>
        <w:t>，主要经营范围为柜员机销售与服务。</w:t>
      </w:r>
    </w:p>
    <w:p>
      <w:pPr>
        <w:pStyle w:val="BodyText"/>
        <w:spacing w:line="300" w:lineRule="auto" w:before="49"/>
        <w:ind w:left="153" w:right="98" w:firstLine="360"/>
        <w:jc w:val="left"/>
      </w:pPr>
      <w:r>
        <w:rPr/>
        <w:t>目前，运通国际有</w:t>
      </w:r>
      <w:r>
        <w:rPr>
          <w:rFonts w:ascii="Times New Roman" w:hAnsi="Times New Roman" w:cs="Times New Roman" w:eastAsia="Times New Roman" w:hint="default"/>
        </w:rPr>
        <w:t>GRG Hongkong Mexico, S.A. DE</w:t>
      </w:r>
      <w:r>
        <w:rPr/>
        <w:t>（墨西哥）、</w:t>
      </w:r>
      <w:r>
        <w:rPr>
          <w:rFonts w:ascii="Times New Roman" w:hAnsi="Times New Roman" w:cs="Times New Roman" w:eastAsia="Times New Roman" w:hint="default"/>
        </w:rPr>
        <w:t>Global ATM Parts Co., Limited</w:t>
      </w:r>
      <w:r>
        <w:rPr/>
        <w:t>（香港）、</w:t>
      </w:r>
      <w:r>
        <w:rPr>
          <w:rFonts w:ascii="Times New Roman" w:hAnsi="Times New Roman" w:cs="Times New Roman" w:eastAsia="Times New Roman" w:hint="default"/>
        </w:rPr>
        <w:t>GRG</w:t>
      </w:r>
      <w:r>
        <w:rPr>
          <w:rFonts w:ascii="Times New Roman" w:hAnsi="Times New Roman" w:cs="Times New Roman" w:eastAsia="Times New Roman" w:hint="default"/>
          <w:spacing w:val="-22"/>
        </w:rPr>
        <w:t> </w:t>
      </w:r>
      <w:r>
        <w:rPr>
          <w:rFonts w:ascii="Times New Roman" w:hAnsi="Times New Roman" w:cs="Times New Roman" w:eastAsia="Times New Roman" w:hint="default"/>
        </w:rPr>
        <w:t>Turkiye</w:t>
      </w:r>
      <w:r>
        <w:rPr>
          <w:rFonts w:ascii="Times New Roman" w:hAnsi="Times New Roman" w:cs="Times New Roman" w:eastAsia="Times New Roman" w:hint="default"/>
        </w:rPr>
        <w:t> Bankacilik Ekipmanlari </w:t>
      </w:r>
      <w:r>
        <w:rPr>
          <w:rFonts w:ascii="Times New Roman" w:hAnsi="Times New Roman" w:cs="Times New Roman" w:eastAsia="Times New Roman" w:hint="default"/>
          <w:spacing w:val="-2"/>
        </w:rPr>
        <w:t>Ltd</w:t>
      </w:r>
      <w:r>
        <w:rPr>
          <w:spacing w:val="-2"/>
        </w:rPr>
        <w:t>（土耳其）、</w:t>
      </w:r>
      <w:r>
        <w:rPr>
          <w:rFonts w:ascii="Times New Roman" w:hAnsi="Times New Roman" w:cs="Times New Roman" w:eastAsia="Times New Roman" w:hint="default"/>
          <w:spacing w:val="-2"/>
        </w:rPr>
        <w:t>GRG </w:t>
      </w:r>
      <w:r>
        <w:rPr>
          <w:rFonts w:ascii="Times New Roman" w:hAnsi="Times New Roman" w:cs="Times New Roman" w:eastAsia="Times New Roman" w:hint="default"/>
        </w:rPr>
        <w:t>Banking Equipment(HK)</w:t>
      </w:r>
      <w:r>
        <w:rPr>
          <w:rFonts w:ascii="Times New Roman" w:hAnsi="Times New Roman" w:cs="Times New Roman" w:eastAsia="Times New Roman" w:hint="default"/>
          <w:spacing w:val="-25"/>
        </w:rPr>
        <w:t> </w:t>
      </w:r>
      <w:r>
        <w:rPr>
          <w:rFonts w:ascii="Times New Roman" w:hAnsi="Times New Roman" w:cs="Times New Roman" w:eastAsia="Times New Roman" w:hint="default"/>
        </w:rPr>
        <w:t>Europe</w:t>
      </w:r>
      <w:r>
        <w:rPr/>
        <w:t>（立陶宛）四家全资子公司及</w:t>
      </w:r>
      <w:r>
        <w:rPr>
          <w:rFonts w:ascii="Times New Roman" w:hAnsi="Times New Roman" w:cs="Times New Roman" w:eastAsia="Times New Roman" w:hint="default"/>
        </w:rPr>
        <w:t>GRGI</w:t>
      </w:r>
      <w:r>
        <w:rPr/>
        <w:t>（澳大利亚） 一家参股公司，海外市场拓展力度进一步加大。</w:t>
      </w:r>
    </w:p>
    <w:p>
      <w:pPr>
        <w:spacing w:line="240" w:lineRule="auto" w:before="9"/>
        <w:rPr>
          <w:rFonts w:ascii="宋体" w:hAnsi="宋体" w:cs="宋体" w:eastAsia="宋体" w:hint="default"/>
          <w:sz w:val="20"/>
          <w:szCs w:val="20"/>
        </w:rPr>
      </w:pPr>
    </w:p>
    <w:p>
      <w:pPr>
        <w:pStyle w:val="BodyText"/>
        <w:spacing w:line="240" w:lineRule="auto"/>
        <w:ind w:left="153" w:right="90"/>
        <w:jc w:val="left"/>
      </w:pPr>
      <w:r>
        <w:rPr/>
        <w:t>报告期内取得和处置子公司的情况</w:t>
      </w:r>
    </w:p>
    <w:p>
      <w:pPr>
        <w:pStyle w:val="BodyText"/>
        <w:spacing w:line="240" w:lineRule="auto" w:before="117"/>
        <w:ind w:left="153" w:right="9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80"/>
        <w:gridCol w:w="2700"/>
        <w:gridCol w:w="1800"/>
        <w:gridCol w:w="2188"/>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4" w:right="84"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主要开展清分机业务。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新设成立的子公司</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月成立，尚未产 生收益</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270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主要开展货币自动处理设备的维 护服务以及金融服务全外包业务。</w:t>
            </w:r>
          </w:p>
        </w:tc>
        <w:tc>
          <w:tcPr>
            <w:tcW w:w="18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新设成立的孙公司</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-206.87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 Banking Equipment(HK)</w:t>
            </w:r>
            <w:r>
              <w:rPr>
                <w:rFonts w:ascii="Times New Roman"/>
                <w:spacing w:val="-9"/>
                <w:sz w:val="18"/>
              </w:rPr>
              <w:t> </w:t>
            </w:r>
            <w:r>
              <w:rPr>
                <w:rFonts w:ascii="Times New Roman"/>
                <w:sz w:val="18"/>
              </w:rPr>
              <w:t>Europe</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主要开展柜员机销售与服务。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新设成立的孙公司</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-58.76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5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云南云通金融外包服务有限公司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主要开展金融服务外包业务。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2" w:right="325"/>
              <w:jc w:val="left"/>
              <w:rPr>
                <w:rFonts w:ascii="宋体" w:hAnsi="宋体" w:cs="宋体" w:eastAsia="宋体" w:hint="default"/>
                <w:sz w:val="18"/>
                <w:szCs w:val="18"/>
              </w:rPr>
            </w:pPr>
            <w:r>
              <w:rPr>
                <w:rFonts w:ascii="宋体" w:hAnsi="宋体" w:cs="宋体" w:eastAsia="宋体" w:hint="default"/>
                <w:sz w:val="18"/>
                <w:szCs w:val="18"/>
              </w:rPr>
              <w:t>子公司新设成立的 参股公司</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影响投资收益</w:t>
            </w:r>
            <w:r>
              <w:rPr>
                <w:rFonts w:ascii="Times New Roman" w:hAnsi="Times New Roman" w:cs="Times New Roman" w:eastAsia="Times New Roman" w:hint="default"/>
                <w:sz w:val="18"/>
                <w:szCs w:val="18"/>
              </w:rPr>
              <w:t>-13.68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pict>
          <v:group style="position:absolute;margin-left:335.940002pt;margin-top:-78.646019pt;width:89.55pt;height:7.8pt;mso-position-horizontal-relative:page;mso-position-vertical-relative:paragraph;z-index:-1105888" coordorigin="6719,-1573" coordsize="1791,156">
            <v:shape style="position:absolute;left:6719;top:-1573;width:1791;height:156" coordorigin="6719,-1573" coordsize="1791,156" path="m6719,-1417l8509,-1417,8509,-1573,6719,-1573,6719,-1417xe" filled="true" fillcolor="#ffffff" stroked="false">
              <v:path arrowok="t"/>
              <v:fill type="solid"/>
            </v:shape>
            <w10:wrap type="none"/>
          </v:group>
        </w:pict>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7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900"/>
        <w:gridCol w:w="1440"/>
        <w:gridCol w:w="1440"/>
        <w:gridCol w:w="3420"/>
        <w:gridCol w:w="1307"/>
      </w:tblGrid>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截至期末累计实 际投入金额</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3"/>
              <w:jc w:val="center"/>
              <w:rPr>
                <w:rFonts w:ascii="宋体" w:hAnsi="宋体" w:cs="宋体" w:eastAsia="宋体" w:hint="default"/>
                <w:sz w:val="18"/>
                <w:szCs w:val="18"/>
              </w:rPr>
            </w:pPr>
            <w:r>
              <w:rPr>
                <w:rFonts w:ascii="宋体" w:hAnsi="宋体" w:cs="宋体" w:eastAsia="宋体" w:hint="default"/>
                <w:sz w:val="18"/>
                <w:szCs w:val="18"/>
              </w:rPr>
              <w:t>该公司已于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日注册成立。</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w:t>
            </w:r>
          </w:p>
        </w:tc>
        <w:tc>
          <w:tcPr>
            <w:tcW w:w="144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5000</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8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11"/>
        <w:rPr>
          <w:rFonts w:ascii="宋体" w:hAnsi="宋体" w:cs="宋体" w:eastAsia="宋体" w:hint="default"/>
          <w:sz w:val="28"/>
          <w:szCs w:val="28"/>
        </w:rPr>
      </w:pPr>
    </w:p>
    <w:p>
      <w:pPr>
        <w:spacing w:line="1094" w:lineRule="exact"/>
        <w:ind w:left="154" w:right="0" w:firstLine="0"/>
        <w:rPr>
          <w:rFonts w:ascii="宋体" w:hAnsi="宋体" w:cs="宋体" w:eastAsia="宋体" w:hint="default"/>
          <w:sz w:val="20"/>
          <w:szCs w:val="20"/>
        </w:rPr>
      </w:pPr>
      <w:r>
        <w:rPr>
          <w:rFonts w:ascii="宋体" w:hAnsi="宋体" w:cs="宋体" w:eastAsia="宋体" w:hint="default"/>
          <w:position w:val="-21"/>
          <w:sz w:val="20"/>
          <w:szCs w:val="20"/>
        </w:rPr>
        <w:pict>
          <v:shape style="width:479.35pt;height:54.75pt;mso-position-horizontal-relative:char;mso-position-vertical-relative:line" type="#_x0000_t202" filled="false" stroked="true" strokeweight=".48004pt" strokecolor="#000000">
            <w10:anchorlock/>
            <v:textbox inset="0,0,0,0">
              <w:txbxContent>
                <w:p>
                  <w:pPr>
                    <w:pStyle w:val="BodyText"/>
                    <w:spacing w:line="316" w:lineRule="auto" w:before="85"/>
                    <w:ind w:left="22" w:right="20" w:firstLine="360"/>
                    <w:jc w:val="both"/>
                  </w:pPr>
                  <w:r>
                    <w:rPr/>
                    <w:t>结合当前清分机行业领域的发展情况、未来发展趋势及公司的中长期发展战略，公司以自有资金投资成立全资子公司 </w:t>
                  </w:r>
                  <w:r>
                    <w:rPr>
                      <w:spacing w:val="-1"/>
                    </w:rPr>
                    <w:t>中智融通，既实现了公司在技术、产品、服务上产业链的自然延伸，同时也为公司提供了新的发展机会和空间，有利于公</w:t>
                  </w:r>
                  <w:r>
                    <w:rPr>
                      <w:spacing w:val="-49"/>
                    </w:rPr>
                    <w:t> </w:t>
                  </w:r>
                  <w:r>
                    <w:rPr>
                      <w:spacing w:val="-49"/>
                    </w:rPr>
                  </w:r>
                  <w:r>
                    <w:rPr/>
                    <w:t>司科技研发成果转化，有利于公司迅速切入清分机等新产品领域，为公司带来新的利润增长点。</w:t>
                  </w:r>
                </w:p>
              </w:txbxContent>
            </v:textbox>
          </v:shape>
        </w:pict>
      </w:r>
      <w:r>
        <w:rPr>
          <w:rFonts w:ascii="宋体" w:hAnsi="宋体" w:cs="宋体" w:eastAsia="宋体" w:hint="default"/>
          <w:position w:val="-21"/>
          <w:sz w:val="20"/>
          <w:szCs w:val="20"/>
        </w:rPr>
      </w:r>
    </w:p>
    <w:p>
      <w:pPr>
        <w:spacing w:line="240" w:lineRule="auto" w:before="7"/>
        <w:rPr>
          <w:rFonts w:ascii="宋体" w:hAnsi="宋体" w:cs="宋体" w:eastAsia="宋体" w:hint="default"/>
          <w:sz w:val="18"/>
          <w:szCs w:val="18"/>
        </w:rPr>
      </w:pPr>
    </w:p>
    <w:p>
      <w:pPr>
        <w:pStyle w:val="Heading2"/>
        <w:spacing w:line="240" w:lineRule="auto" w:before="26"/>
        <w:ind w:right="90"/>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 适用√ 不适用</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90"/>
        <w:jc w:val="left"/>
      </w:pPr>
      <w:r>
        <w:rPr>
          <w:rFonts w:ascii="Times New Roman" w:hAnsi="Times New Roman" w:cs="Times New Roman" w:eastAsia="Times New Roman" w:hint="default"/>
        </w:rPr>
        <w:t>1</w:t>
      </w:r>
      <w:r>
        <w:rPr/>
        <w:t>、行业发展趋势及市场竞争格局</w:t>
      </w:r>
    </w:p>
    <w:p>
      <w:pPr>
        <w:pStyle w:val="BodyText"/>
        <w:spacing w:line="240" w:lineRule="auto" w:before="103"/>
        <w:ind w:left="424" w:right="90"/>
        <w:jc w:val="left"/>
      </w:pPr>
      <w:r>
        <w:rPr/>
        <w:t>（</w:t>
      </w:r>
      <w:r>
        <w:rPr>
          <w:rFonts w:ascii="Times New Roman" w:hAnsi="Times New Roman" w:cs="Times New Roman" w:eastAsia="Times New Roman" w:hint="default"/>
        </w:rPr>
        <w:t>1</w:t>
      </w:r>
      <w:r>
        <w:rPr/>
        <w:t>）行业发展趋势</w:t>
      </w:r>
    </w:p>
    <w:p>
      <w:pPr>
        <w:pStyle w:val="BodyText"/>
        <w:spacing w:line="240" w:lineRule="auto" w:before="102"/>
        <w:ind w:left="514" w:right="90"/>
        <w:jc w:val="left"/>
      </w:pPr>
      <w:r>
        <w:rPr>
          <w:spacing w:val="-6"/>
        </w:rPr>
        <w:t>①</w:t>
      </w:r>
      <w:r>
        <w:rPr>
          <w:rFonts w:ascii="Times New Roman" w:hAnsi="Times New Roman" w:cs="Times New Roman" w:eastAsia="Times New Roman" w:hint="default"/>
          <w:spacing w:val="-6"/>
        </w:rPr>
        <w:t>ATM</w:t>
      </w:r>
      <w:r>
        <w:rPr>
          <w:rFonts w:ascii="Times New Roman" w:hAnsi="Times New Roman" w:cs="Times New Roman" w:eastAsia="Times New Roman" w:hint="default"/>
          <w:spacing w:val="2"/>
        </w:rPr>
        <w:t> </w:t>
      </w:r>
      <w:r>
        <w:rPr/>
        <w:t>市场发展趋势</w:t>
      </w:r>
    </w:p>
    <w:p>
      <w:pPr>
        <w:pStyle w:val="BodyText"/>
        <w:spacing w:line="240" w:lineRule="auto" w:before="101"/>
        <w:ind w:left="514" w:right="9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日，中国人民银行发布了《</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年支付体系运行总体情况</w:t>
      </w:r>
      <w:r>
        <w:rPr>
          <w:spacing w:val="-90"/>
        </w:rPr>
        <w:t>》</w:t>
      </w:r>
      <w:r>
        <w:rPr/>
        <w:t>，截至</w:t>
      </w:r>
      <w:r>
        <w:rPr>
          <w:spacing w:val="-38"/>
        </w:rPr>
        <w:t> </w:t>
      </w:r>
      <w:r>
        <w:rPr>
          <w:rFonts w:ascii="Times New Roman" w:hAnsi="Times New Roman" w:cs="Times New Roman" w:eastAsia="Times New Roman" w:hint="default"/>
        </w:rPr>
        <w:t>2012  </w:t>
      </w:r>
      <w:r>
        <w:rPr/>
        <w:t>年年末，银行卡跨行支付系统</w:t>
      </w:r>
    </w:p>
    <w:p>
      <w:pPr>
        <w:pStyle w:val="BodyText"/>
        <w:spacing w:line="300" w:lineRule="auto" w:before="63"/>
        <w:ind w:left="153" w:right="90"/>
        <w:jc w:val="left"/>
      </w:pPr>
      <w:r>
        <w:rPr/>
        <w:t>联网商户</w:t>
      </w:r>
      <w:r>
        <w:rPr>
          <w:spacing w:val="-46"/>
        </w:rPr>
        <w:t> </w:t>
      </w:r>
      <w:r>
        <w:rPr>
          <w:rFonts w:ascii="Times New Roman" w:hAnsi="Times New Roman" w:cs="Times New Roman" w:eastAsia="Times New Roman" w:hint="default"/>
        </w:rPr>
        <w:t>483.27 </w:t>
      </w:r>
      <w:r>
        <w:rPr>
          <w:spacing w:val="-6"/>
        </w:rPr>
        <w:t>万户，联网</w:t>
      </w:r>
      <w:r>
        <w:rPr>
          <w:spacing w:val="-46"/>
        </w:rPr>
        <w:t> </w:t>
      </w:r>
      <w:r>
        <w:rPr>
          <w:rFonts w:ascii="Times New Roman" w:hAnsi="Times New Roman" w:cs="Times New Roman" w:eastAsia="Times New Roman" w:hint="default"/>
        </w:rPr>
        <w:t>POS</w:t>
      </w:r>
      <w:r>
        <w:rPr>
          <w:rFonts w:ascii="Times New Roman" w:hAnsi="Times New Roman" w:cs="Times New Roman" w:eastAsia="Times New Roman" w:hint="default"/>
          <w:spacing w:val="44"/>
        </w:rPr>
        <w:t> </w:t>
      </w:r>
      <w:r>
        <w:rPr/>
        <w:t>机具</w:t>
      </w:r>
      <w:r>
        <w:rPr>
          <w:spacing w:val="-46"/>
        </w:rPr>
        <w:t> </w:t>
      </w:r>
      <w:r>
        <w:rPr>
          <w:rFonts w:ascii="Times New Roman" w:hAnsi="Times New Roman" w:cs="Times New Roman" w:eastAsia="Times New Roman" w:hint="default"/>
        </w:rPr>
        <w:t>711.78 </w:t>
      </w:r>
      <w:r>
        <w:rPr>
          <w:spacing w:val="-5"/>
        </w:rPr>
        <w:t>万台，</w:t>
      </w:r>
      <w:r>
        <w:rPr>
          <w:rFonts w:ascii="Times New Roman" w:hAnsi="Times New Roman" w:cs="Times New Roman" w:eastAsia="Times New Roman" w:hint="default"/>
          <w:spacing w:val="-5"/>
        </w:rPr>
        <w:t>ATM41.56</w:t>
      </w:r>
      <w:r>
        <w:rPr>
          <w:rFonts w:ascii="Times New Roman" w:hAnsi="Times New Roman" w:cs="Times New Roman" w:eastAsia="Times New Roman" w:hint="default"/>
          <w:spacing w:val="5"/>
        </w:rPr>
        <w:t> </w:t>
      </w:r>
      <w:r>
        <w:rPr>
          <w:spacing w:val="-3"/>
        </w:rPr>
        <w:t>万台，较上年末分别增加</w:t>
      </w:r>
      <w:r>
        <w:rPr>
          <w:spacing w:val="-46"/>
        </w:rPr>
        <w:t> </w:t>
      </w:r>
      <w:r>
        <w:rPr>
          <w:rFonts w:ascii="Times New Roman" w:hAnsi="Times New Roman" w:cs="Times New Roman" w:eastAsia="Times New Roman" w:hint="default"/>
        </w:rPr>
        <w:t>165.26 </w:t>
      </w:r>
      <w:r>
        <w:rPr>
          <w:spacing w:val="-4"/>
        </w:rPr>
        <w:t>万户、</w:t>
      </w:r>
      <w:r>
        <w:rPr>
          <w:rFonts w:ascii="Times New Roman" w:hAnsi="Times New Roman" w:cs="Times New Roman" w:eastAsia="Times New Roman" w:hint="default"/>
          <w:spacing w:val="-4"/>
        </w:rPr>
        <w:t>229.13</w:t>
      </w:r>
      <w:r>
        <w:rPr>
          <w:rFonts w:ascii="Times New Roman" w:hAnsi="Times New Roman" w:cs="Times New Roman" w:eastAsia="Times New Roman" w:hint="default"/>
          <w:spacing w:val="4"/>
        </w:rPr>
        <w:t> </w:t>
      </w:r>
      <w:r>
        <w:rPr/>
        <w:t>万台和</w:t>
      </w:r>
      <w:r>
        <w:rPr>
          <w:spacing w:val="-46"/>
        </w:rPr>
        <w:t> </w:t>
      </w:r>
      <w:r>
        <w:rPr>
          <w:rFonts w:ascii="Times New Roman" w:hAnsi="Times New Roman" w:cs="Times New Roman" w:eastAsia="Times New Roman" w:hint="default"/>
        </w:rPr>
        <w:t>8.18 </w:t>
      </w:r>
      <w:r>
        <w:rPr>
          <w:spacing w:val="-16"/>
        </w:rPr>
        <w:t>万台。截至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16"/>
        </w:rPr>
        <w:t>年末，每台</w:t>
      </w:r>
      <w:r>
        <w:rPr>
          <w:spacing w:val="-45"/>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t>对应的银行卡数量为</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rFonts w:ascii="Times New Roman" w:hAnsi="Times New Roman" w:cs="Times New Roman" w:eastAsia="Times New Roman" w:hint="default"/>
        </w:rPr>
        <w:t>504</w:t>
      </w:r>
      <w:r>
        <w:rPr>
          <w:rFonts w:ascii="Times New Roman" w:hAnsi="Times New Roman" w:cs="Times New Roman" w:eastAsia="Times New Roman" w:hint="default"/>
          <w:spacing w:val="2"/>
        </w:rPr>
        <w:t> </w:t>
      </w:r>
      <w:r>
        <w:rPr>
          <w:spacing w:val="-12"/>
        </w:rPr>
        <w:t>张，较上年减少</w:t>
      </w:r>
      <w:r>
        <w:rPr>
          <w:spacing w:val="-45"/>
        </w:rPr>
        <w:t> </w:t>
      </w:r>
      <w:r>
        <w:rPr>
          <w:rFonts w:ascii="Times New Roman" w:hAnsi="Times New Roman" w:cs="Times New Roman" w:eastAsia="Times New Roman" w:hint="default"/>
          <w:spacing w:val="-12"/>
        </w:rPr>
        <w:t>3.7%</w:t>
      </w:r>
      <w:r>
        <w:rPr>
          <w:spacing w:val="-12"/>
        </w:rPr>
        <w:t>；每台</w:t>
      </w:r>
      <w:r>
        <w:rPr>
          <w:spacing w:val="-45"/>
        </w:rPr>
        <w:t> </w:t>
      </w:r>
      <w:r>
        <w:rPr>
          <w:rFonts w:ascii="Times New Roman" w:hAnsi="Times New Roman" w:cs="Times New Roman" w:eastAsia="Times New Roman" w:hint="default"/>
          <w:spacing w:val="-1"/>
        </w:rPr>
        <w:t>POS</w:t>
      </w:r>
      <w:r>
        <w:rPr>
          <w:rFonts w:ascii="Times New Roman" w:hAnsi="Times New Roman" w:cs="Times New Roman" w:eastAsia="Times New Roman" w:hint="default"/>
          <w:spacing w:val="1"/>
        </w:rPr>
        <w:t> </w:t>
      </w:r>
      <w:r>
        <w:rPr/>
        <w:t>对应的银行卡数量为</w:t>
      </w:r>
      <w:r>
        <w:rPr>
          <w:spacing w:val="-45"/>
        </w:rPr>
        <w:t> </w:t>
      </w:r>
      <w:r>
        <w:rPr>
          <w:rFonts w:ascii="Times New Roman" w:hAnsi="Times New Roman" w:cs="Times New Roman" w:eastAsia="Times New Roman" w:hint="default"/>
        </w:rPr>
        <w:t>497</w:t>
      </w:r>
      <w:r>
        <w:rPr>
          <w:rFonts w:ascii="Times New Roman" w:hAnsi="Times New Roman" w:cs="Times New Roman" w:eastAsia="Times New Roman" w:hint="default"/>
          <w:spacing w:val="2"/>
        </w:rPr>
        <w:t> </w:t>
      </w:r>
      <w:r>
        <w:rPr/>
        <w:t>张， 较上年减少</w:t>
      </w:r>
      <w:r>
        <w:rPr>
          <w:spacing w:val="-46"/>
        </w:rPr>
        <w:t> </w:t>
      </w:r>
      <w:r>
        <w:rPr>
          <w:rFonts w:ascii="Times New Roman" w:hAnsi="Times New Roman" w:cs="Times New Roman" w:eastAsia="Times New Roman" w:hint="default"/>
        </w:rPr>
        <w:t>26.0%</w:t>
      </w:r>
      <w:r>
        <w:rPr/>
        <w:t>。由此可见，国内</w:t>
      </w:r>
      <w:r>
        <w:rPr>
          <w:spacing w:val="-46"/>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2"/>
        </w:rPr>
        <w:t> </w:t>
      </w:r>
      <w:r>
        <w:rPr/>
        <w:t>布放量仍保持高速增长态势。</w:t>
      </w:r>
    </w:p>
    <w:p>
      <w:pPr>
        <w:pStyle w:val="BodyText"/>
        <w:spacing w:line="300" w:lineRule="auto" w:before="52"/>
        <w:ind w:left="153" w:right="98" w:firstLine="36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日《金融时报》发布的《发展强劲</w:t>
      </w:r>
      <w:r>
        <w:rPr>
          <w:rFonts w:ascii="Times New Roman" w:hAnsi="Times New Roman" w:cs="Times New Roman" w:eastAsia="Times New Roman" w:hint="default"/>
        </w:rPr>
        <w:t>·</w:t>
      </w:r>
      <w:r>
        <w:rPr/>
        <w:t>多元微变</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年中国</w:t>
      </w:r>
      <w:r>
        <w:rPr>
          <w:spacing w:val="-53"/>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9"/>
        </w:rPr>
        <w:t> </w:t>
      </w:r>
      <w:r>
        <w:rPr/>
        <w:t>市场发展述评》显示，全球范围内的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t>安装量总数在</w:t>
      </w:r>
      <w:r>
        <w:rPr>
          <w:spacing w:val="-45"/>
        </w:rPr>
        <w:t> </w:t>
      </w:r>
      <w:r>
        <w:rPr>
          <w:rFonts w:ascii="Times New Roman" w:hAnsi="Times New Roman" w:cs="Times New Roman" w:eastAsia="Times New Roman" w:hint="default"/>
        </w:rPr>
        <w:t>2012 </w:t>
      </w:r>
      <w:r>
        <w:rPr/>
        <w:t>年已超过</w:t>
      </w:r>
      <w:r>
        <w:rPr>
          <w:spacing w:val="-45"/>
        </w:rPr>
        <w:t> </w:t>
      </w:r>
      <w:r>
        <w:rPr>
          <w:rFonts w:ascii="Times New Roman" w:hAnsi="Times New Roman" w:cs="Times New Roman" w:eastAsia="Times New Roman" w:hint="default"/>
        </w:rPr>
        <w:t>260 </w:t>
      </w:r>
      <w:r>
        <w:rPr>
          <w:spacing w:val="-3"/>
        </w:rPr>
        <w:t>万台，同比增加近</w:t>
      </w:r>
      <w:r>
        <w:rPr>
          <w:spacing w:val="-45"/>
        </w:rPr>
        <w:t> </w:t>
      </w:r>
      <w:r>
        <w:rPr>
          <w:rFonts w:ascii="Times New Roman" w:hAnsi="Times New Roman" w:cs="Times New Roman" w:eastAsia="Times New Roman" w:hint="default"/>
        </w:rPr>
        <w:t>18 </w:t>
      </w:r>
      <w:r>
        <w:rPr>
          <w:spacing w:val="-4"/>
        </w:rPr>
        <w:t>万台，增长约</w:t>
      </w:r>
      <w:r>
        <w:rPr>
          <w:spacing w:val="-45"/>
        </w:rPr>
        <w:t> </w:t>
      </w:r>
      <w:r>
        <w:rPr>
          <w:rFonts w:ascii="Times New Roman" w:hAnsi="Times New Roman" w:cs="Times New Roman" w:eastAsia="Times New Roman" w:hint="default"/>
          <w:spacing w:val="-3"/>
        </w:rPr>
        <w:t>7.5%</w:t>
      </w:r>
      <w:r>
        <w:rPr>
          <w:spacing w:val="-3"/>
        </w:rPr>
        <w:t>，安装量仍以</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rFonts w:ascii="Times New Roman" w:hAnsi="Times New Roman" w:cs="Times New Roman" w:eastAsia="Times New Roman" w:hint="default"/>
        </w:rPr>
        <w:t>7%</w:t>
      </w:r>
      <w:r>
        <w:rPr/>
        <w:t>的平均速度向上发展。 根据英国零售金融策略性研究和咨询公司</w:t>
      </w:r>
      <w:r>
        <w:rPr>
          <w:spacing w:val="-48"/>
        </w:rPr>
        <w:t> </w:t>
      </w:r>
      <w:r>
        <w:rPr>
          <w:rFonts w:ascii="Times New Roman" w:hAnsi="Times New Roman" w:cs="Times New Roman" w:eastAsia="Times New Roman" w:hint="default"/>
        </w:rPr>
        <w:t>RBR</w:t>
      </w:r>
      <w:r>
        <w:rPr>
          <w:rFonts w:ascii="Times New Roman" w:hAnsi="Times New Roman" w:cs="Times New Roman" w:eastAsia="Times New Roman" w:hint="default"/>
          <w:spacing w:val="-3"/>
        </w:rPr>
        <w:t> </w:t>
      </w:r>
      <w:r>
        <w:rPr/>
        <w:t>最新发布的</w:t>
      </w:r>
      <w:r>
        <w:rPr>
          <w:spacing w:val="-13"/>
        </w:rPr>
        <w:t> </w:t>
      </w:r>
      <w:r>
        <w:rPr/>
        <w:t>《</w:t>
      </w:r>
      <w:r>
        <w:rPr>
          <w:rFonts w:ascii="Times New Roman" w:hAnsi="Times New Roman" w:cs="Times New Roman" w:eastAsia="Times New Roman" w:hint="default"/>
        </w:rPr>
        <w:t>2012-2017</w:t>
      </w:r>
      <w:r>
        <w:rPr>
          <w:rFonts w:ascii="Times New Roman" w:hAnsi="Times New Roman" w:cs="Times New Roman" w:eastAsia="Times New Roman" w:hint="default"/>
          <w:spacing w:val="-3"/>
        </w:rPr>
        <w:t> </w:t>
      </w:r>
      <w:r>
        <w:rPr/>
        <w:t>全球</w:t>
      </w:r>
      <w:r>
        <w:rPr>
          <w:spacing w:val="-47"/>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4"/>
        </w:rPr>
        <w:t> </w:t>
      </w:r>
      <w:r>
        <w:rPr/>
        <w:t>市场趋势预测》调研报告：到</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年全</w:t>
      </w:r>
      <w:r>
        <w:rPr>
          <w:spacing w:val="1"/>
        </w:rPr>
        <w:t> </w:t>
      </w:r>
      <w:r>
        <w:rPr/>
        <w:t>球安装的</w:t>
      </w:r>
      <w:r>
        <w:rPr>
          <w:spacing w:val="-35"/>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9"/>
        </w:rPr>
        <w:t> </w:t>
      </w:r>
      <w:r>
        <w:rPr/>
        <w:t>总数将达</w:t>
      </w:r>
      <w:r>
        <w:rPr>
          <w:spacing w:val="-35"/>
        </w:rPr>
        <w:t> </w:t>
      </w:r>
      <w:r>
        <w:rPr>
          <w:rFonts w:ascii="Times New Roman" w:hAnsi="Times New Roman" w:cs="Times New Roman" w:eastAsia="Times New Roman" w:hint="default"/>
        </w:rPr>
        <w:t>350</w:t>
      </w:r>
      <w:r>
        <w:rPr>
          <w:rFonts w:ascii="Times New Roman" w:hAnsi="Times New Roman" w:cs="Times New Roman" w:eastAsia="Times New Roman" w:hint="default"/>
          <w:spacing w:val="9"/>
        </w:rPr>
        <w:t> </w:t>
      </w:r>
      <w:r>
        <w:rPr/>
        <w:t>万台。预计未来几年，亚太地区、中东和非洲增长将明显快于其它地区，成为</w:t>
      </w:r>
      <w:r>
        <w:rPr>
          <w:spacing w:val="-35"/>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9"/>
        </w:rPr>
        <w:t> </w:t>
      </w:r>
      <w:r>
        <w:rPr/>
        <w:t>数量增长 和</w:t>
      </w:r>
      <w:r>
        <w:rPr>
          <w:spacing w:val="-51"/>
        </w:rPr>
        <w:t> </w:t>
      </w:r>
      <w:r>
        <w:rPr>
          <w:rFonts w:ascii="Times New Roman" w:hAnsi="Times New Roman" w:cs="Times New Roman" w:eastAsia="Times New Roman" w:hint="default"/>
          <w:spacing w:val="-7"/>
        </w:rPr>
        <w:t>ATM </w:t>
      </w:r>
      <w:r>
        <w:rPr/>
        <w:t>取款量最高的市场，到</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年增长约</w:t>
      </w:r>
      <w:r>
        <w:rPr>
          <w:spacing w:val="-51"/>
        </w:rPr>
        <w:t> </w:t>
      </w:r>
      <w:r>
        <w:rPr>
          <w:rFonts w:ascii="Times New Roman" w:hAnsi="Times New Roman" w:cs="Times New Roman" w:eastAsia="Times New Roman" w:hint="default"/>
        </w:rPr>
        <w:t>90%</w:t>
      </w:r>
      <w:r>
        <w:rPr/>
        <w:t>。其中，亚太地区将继续领先，并对全球</w:t>
      </w:r>
      <w:r>
        <w:rPr>
          <w:spacing w:val="-51"/>
        </w:rPr>
        <w:t> </w:t>
      </w:r>
      <w:r>
        <w:rPr>
          <w:rFonts w:ascii="Times New Roman" w:hAnsi="Times New Roman" w:cs="Times New Roman" w:eastAsia="Times New Roman" w:hint="default"/>
          <w:spacing w:val="-7"/>
        </w:rPr>
        <w:t>ATM </w:t>
      </w:r>
      <w:r>
        <w:rPr/>
        <w:t>的增长保持近六成的贡献 率。该述评指出，</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w:t>
      </w:r>
      <w:r>
        <w:rPr/>
        <w:t>智能金融</w:t>
      </w:r>
      <w:r>
        <w:rPr>
          <w:rFonts w:ascii="Times New Roman" w:hAnsi="Times New Roman" w:cs="Times New Roman" w:eastAsia="Times New Roman" w:hint="default"/>
        </w:rPr>
        <w:t>”</w:t>
      </w:r>
      <w:r>
        <w:rPr/>
        <w:t>成为银行渠道发展的主题词，如远程智能机 </w:t>
      </w:r>
      <w:r>
        <w:rPr>
          <w:rFonts w:ascii="Times New Roman" w:hAnsi="Times New Roman" w:cs="Times New Roman" w:eastAsia="Times New Roman" w:hint="default"/>
        </w:rPr>
        <w:t>iTM</w:t>
      </w:r>
      <w:r>
        <w:rPr/>
        <w:t>、</w:t>
      </w:r>
      <w:r>
        <w:rPr>
          <w:rFonts w:ascii="Times New Roman" w:hAnsi="Times New Roman" w:cs="Times New Roman" w:eastAsia="Times New Roman" w:hint="default"/>
        </w:rPr>
        <w:t>24 </w:t>
      </w:r>
      <w:r>
        <w:rPr/>
        <w:t>小时智能机 </w:t>
      </w:r>
      <w:r>
        <w:rPr>
          <w:rFonts w:ascii="Times New Roman" w:hAnsi="Times New Roman" w:cs="Times New Roman" w:eastAsia="Times New Roman" w:hint="default"/>
        </w:rPr>
        <w:t>VTM</w:t>
      </w:r>
      <w:r>
        <w:rPr>
          <w:rFonts w:ascii="Times New Roman" w:hAnsi="Times New Roman" w:cs="Times New Roman" w:eastAsia="Times New Roman" w:hint="default"/>
          <w:spacing w:val="-19"/>
        </w:rPr>
        <w:t> </w:t>
      </w:r>
      <w:r>
        <w:rPr/>
        <w:t>等，搭建起了 银行用户与远程客户服务端的桥梁。</w:t>
      </w:r>
    </w:p>
    <w:p>
      <w:pPr>
        <w:pStyle w:val="BodyText"/>
        <w:spacing w:line="357" w:lineRule="auto" w:before="71"/>
        <w:ind w:left="513" w:right="90"/>
        <w:jc w:val="left"/>
      </w:pPr>
      <w:r>
        <w:rPr/>
        <w:t>②轨道交通业发展趋势 </w:t>
      </w:r>
      <w:r>
        <w:rPr>
          <w:spacing w:val="-4"/>
        </w:rPr>
        <w:t>近年来随着经济的发展，我国城市化和机动化步伐进入加速阶段，轨道交通迅速成为许多城市解决交通问题的首要选择，</w:t>
      </w:r>
    </w:p>
    <w:p>
      <w:pPr>
        <w:pStyle w:val="BodyText"/>
        <w:spacing w:line="224" w:lineRule="exact"/>
        <w:ind w:left="153" w:right="0"/>
        <w:jc w:val="left"/>
      </w:pPr>
      <w:r>
        <w:rPr/>
        <w:t>并在我国形成了以地铁、城际快速铁路、高铁等为主的多元化发展趋势。在国家继续推进城镇化政策下，轨道交通对城市发</w:t>
      </w:r>
    </w:p>
    <w:p>
      <w:pPr>
        <w:pStyle w:val="BodyText"/>
        <w:spacing w:line="240" w:lineRule="auto" w:before="77"/>
        <w:ind w:left="153" w:right="90"/>
        <w:jc w:val="left"/>
      </w:pPr>
      <w:r>
        <w:rPr/>
        <w:t>展的综合影响越来大，目前我国已经成为世界轨道交通发展速度最快的地区。</w:t>
      </w:r>
    </w:p>
    <w:p>
      <w:pPr>
        <w:pStyle w:val="BodyText"/>
        <w:spacing w:line="307" w:lineRule="auto" w:before="116"/>
        <w:ind w:left="153" w:right="95" w:firstLine="36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21 </w:t>
      </w:r>
      <w:r>
        <w:rPr>
          <w:spacing w:val="-2"/>
        </w:rPr>
        <w:t>日国务院常务会议讨论通过《</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综合交通运输体系规划》，会议确定了</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时期的建设目标：</w:t>
      </w:r>
      <w:r>
        <w:rPr/>
        <w:t> 初步形成以</w:t>
      </w:r>
      <w:r>
        <w:rPr>
          <w:rFonts w:ascii="Times New Roman" w:hAnsi="Times New Roman" w:cs="Times New Roman" w:eastAsia="Times New Roman" w:hint="default"/>
        </w:rPr>
        <w:t>“</w:t>
      </w:r>
      <w:r>
        <w:rPr/>
        <w:t>五纵五横</w:t>
      </w:r>
      <w:r>
        <w:rPr>
          <w:rFonts w:ascii="Times New Roman" w:hAnsi="Times New Roman" w:cs="Times New Roman" w:eastAsia="Times New Roman" w:hint="default"/>
        </w:rPr>
        <w:t>”</w:t>
      </w:r>
      <w:r>
        <w:rPr/>
        <w:t>为主骨架的综合交通运输网络，基本建成国家快速铁路网和国家高速公路网，开工建设和续建、完成 </w:t>
      </w:r>
      <w:r>
        <w:rPr>
          <w:spacing w:val="-2"/>
        </w:rPr>
        <w:t>一批机场与城市轨道交通工程。主要任务，铁路方面：科学推进铁路建设，加快构建大能力运输通道，形成快速客运网；发</w:t>
      </w:r>
      <w:r>
        <w:rPr>
          <w:spacing w:val="-67"/>
        </w:rPr>
        <w:t> </w:t>
      </w:r>
      <w:r>
        <w:rPr>
          <w:spacing w:val="-67"/>
        </w:rPr>
      </w:r>
      <w:r>
        <w:rPr>
          <w:spacing w:val="-2"/>
        </w:rPr>
        <w:t>展高速铁路，基本建成国家快速铁路网。城际轨道交通方面：建设城际快速网络，以轨道交通和高速公路为骨干，加快推进</w:t>
      </w:r>
      <w:r>
        <w:rPr>
          <w:spacing w:val="-66"/>
        </w:rPr>
        <w:t> </w:t>
      </w:r>
      <w:r>
        <w:rPr>
          <w:spacing w:val="-66"/>
        </w:rPr>
      </w:r>
      <w:r>
        <w:rPr/>
        <w:t>城市群</w:t>
      </w:r>
      <w:r>
        <w:rPr>
          <w:rFonts w:ascii="Times New Roman" w:hAnsi="Times New Roman" w:cs="Times New Roman" w:eastAsia="Times New Roman" w:hint="default"/>
        </w:rPr>
        <w:t>(</w:t>
      </w:r>
      <w:r>
        <w:rPr/>
        <w:t>圈、带</w:t>
      </w:r>
      <w:r>
        <w:rPr>
          <w:rFonts w:ascii="Times New Roman" w:hAnsi="Times New Roman" w:cs="Times New Roman" w:eastAsia="Times New Roman" w:hint="default"/>
        </w:rPr>
        <w:t>)</w:t>
      </w:r>
      <w:r>
        <w:rPr/>
        <w:t>多层次城际快速交通网络建设，适应城市群发展需要。城市轨道交通方面：根据不同城市规模和特点，制定 差别化的轨道交通发展目标，有序推进轻轨、地铁、有轨电车等城市轨道交通网络建设。此规划为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期间轨道交通行 业的快速发展指明了方向。</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日国家发改委批复了</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项轨道交通建设规划，总投资规模预计超过</w:t>
      </w:r>
      <w:r>
        <w:rPr>
          <w:spacing w:val="-46"/>
        </w:rPr>
        <w:t> </w:t>
      </w:r>
      <w:r>
        <w:rPr>
          <w:rFonts w:ascii="Times New Roman" w:hAnsi="Times New Roman" w:cs="Times New Roman" w:eastAsia="Times New Roman" w:hint="default"/>
        </w:rPr>
        <w:t>8000 </w:t>
      </w:r>
      <w:r>
        <w:rPr/>
        <w:t>亿。</w:t>
      </w:r>
    </w:p>
    <w:p>
      <w:pPr>
        <w:pStyle w:val="BodyText"/>
        <w:spacing w:line="240" w:lineRule="auto" w:before="46"/>
        <w:ind w:left="513" w:right="90"/>
        <w:jc w:val="left"/>
      </w:pPr>
      <w:r>
        <w:rPr/>
        <w:t>③金融服务外包产业发展趋势</w:t>
      </w:r>
    </w:p>
    <w:p>
      <w:pPr>
        <w:pStyle w:val="BodyText"/>
        <w:spacing w:line="304" w:lineRule="auto" w:before="115"/>
        <w:ind w:left="153" w:right="133" w:firstLine="360"/>
        <w:jc w:val="both"/>
      </w:pPr>
      <w:r>
        <w:rPr>
          <w:spacing w:val="-3"/>
        </w:rPr>
        <w:t>近年来，</w:t>
      </w:r>
      <w:r>
        <w:rPr>
          <w:rFonts w:ascii="Times New Roman" w:hAnsi="Times New Roman" w:cs="Times New Roman" w:eastAsia="Times New Roman" w:hint="default"/>
          <w:spacing w:val="-3"/>
        </w:rPr>
        <w:t>ATM</w:t>
      </w:r>
      <w:r>
        <w:rPr>
          <w:rFonts w:ascii="Times New Roman" w:hAnsi="Times New Roman" w:cs="Times New Roman" w:eastAsia="Times New Roman" w:hint="default"/>
        </w:rPr>
        <w:t> </w:t>
      </w:r>
      <w:r>
        <w:rPr/>
        <w:t>市场保有量迅猛增长，根据中国人民银行发布了《</w:t>
      </w:r>
      <w:r>
        <w:rPr>
          <w:rFonts w:ascii="Times New Roman" w:hAnsi="Times New Roman" w:cs="Times New Roman" w:eastAsia="Times New Roman" w:hint="default"/>
        </w:rPr>
        <w:t>2012 </w:t>
      </w:r>
      <w:r>
        <w:rPr>
          <w:spacing w:val="-6"/>
        </w:rPr>
        <w:t>年支付体系运行总体情况》，截至</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年年末， 联网</w:t>
      </w:r>
      <w:r>
        <w:rPr>
          <w:spacing w:val="-34"/>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0"/>
        </w:rPr>
        <w:t> </w:t>
      </w:r>
      <w:r>
        <w:rPr/>
        <w:t>机为</w:t>
      </w:r>
      <w:r>
        <w:rPr>
          <w:spacing w:val="-34"/>
        </w:rPr>
        <w:t> </w:t>
      </w:r>
      <w:r>
        <w:rPr>
          <w:rFonts w:ascii="Times New Roman" w:hAnsi="Times New Roman" w:cs="Times New Roman" w:eastAsia="Times New Roman" w:hint="default"/>
        </w:rPr>
        <w:t>41.56 </w:t>
      </w:r>
      <w:r>
        <w:rPr/>
        <w:t>万台。随着</w:t>
      </w:r>
      <w:r>
        <w:rPr>
          <w:spacing w:val="-34"/>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0"/>
        </w:rPr>
        <w:t> </w:t>
      </w:r>
      <w:r>
        <w:rPr/>
        <w:t>数量的增加，随之而来的回笼现金清分处理、加钞、取钞和日常维护等后台服务工 作量十分巨大，一些银行已开始将</w:t>
      </w:r>
      <w:r>
        <w:rPr>
          <w:spacing w:val="-51"/>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6"/>
        </w:rPr>
        <w:t> </w:t>
      </w:r>
      <w:r>
        <w:rPr/>
        <w:t>的选址、网点建设、维保服务、运营管理、现金管理等需要大量人力资源、管理经 </w:t>
      </w:r>
      <w:r>
        <w:rPr>
          <w:spacing w:val="-2"/>
        </w:rPr>
        <w:t>验和专业的实施策略转交给运营服务商进行托管，在专注核心业务的同时，提高设备分布成效、资源配置效率以及管理服务</w:t>
      </w:r>
      <w:r>
        <w:rPr>
          <w:spacing w:val="-66"/>
        </w:rPr>
        <w:t> </w:t>
      </w:r>
      <w:r>
        <w:rPr>
          <w:spacing w:val="-66"/>
        </w:rPr>
      </w:r>
      <w:r>
        <w:rPr/>
        <w:t>水平，促使</w:t>
      </w:r>
      <w:r>
        <w:rPr>
          <w:spacing w:val="-45"/>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t>金融业务外包市场需求进一步扩大，成为</w:t>
      </w:r>
      <w:r>
        <w:rPr>
          <w:spacing w:val="-45"/>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t>市场一个新的利润增长点。</w:t>
      </w:r>
    </w:p>
    <w:p>
      <w:pPr>
        <w:pStyle w:val="BodyText"/>
        <w:spacing w:line="300" w:lineRule="auto" w:before="47"/>
        <w:ind w:right="176" w:firstLine="360"/>
        <w:jc w:val="left"/>
      </w:pPr>
      <w:r>
        <w:rPr/>
        <w:t>尽管目前我国</w:t>
      </w:r>
      <w:r>
        <w:rPr>
          <w:spacing w:val="-52"/>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8"/>
        </w:rPr>
        <w:t> </w:t>
      </w:r>
      <w:r>
        <w:rPr/>
        <w:t>金融服务外包还处于创新、探索、尝试的阶段，但是随着我国在鼓励金融服务外包的政策层面的进 </w:t>
      </w:r>
      <w:r>
        <w:rPr>
          <w:spacing w:val="-4"/>
        </w:rPr>
        <w:t>一步明朗，比如国务院前年下发的《关于金融支持服务外包产业发展的若干意见》，银监会在</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spacing w:val="-2"/>
        </w:rPr>
        <w:t>年印发的《银行业金融机</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2" w:lineRule="auto" w:before="44"/>
        <w:ind w:left="153" w:right="191"/>
        <w:jc w:val="both"/>
      </w:pPr>
      <w:r>
        <w:rPr>
          <w:spacing w:val="-8"/>
        </w:rPr>
        <w:t>构外包风险管理指引》，以及</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
        </w:rPr>
        <w:t>日颁布的新《保安服务管理条例》等，都对</w:t>
      </w:r>
      <w:r>
        <w:rPr>
          <w:spacing w:val="-44"/>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rPr>
        <w:t> </w:t>
      </w:r>
      <w:r>
        <w:rPr/>
        <w:t>金融外包业务的深入开展提供 了有利的政策环境。</w:t>
      </w:r>
    </w:p>
    <w:p>
      <w:pPr>
        <w:pStyle w:val="BodyText"/>
        <w:spacing w:line="302" w:lineRule="auto" w:before="68"/>
        <w:ind w:right="181" w:firstLine="36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 </w:t>
      </w:r>
      <w:r>
        <w:rPr>
          <w:spacing w:val="-2"/>
        </w:rPr>
        <w:t>月、</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2"/>
        </w:rPr>
        <w:t> </w:t>
      </w:r>
      <w:r>
        <w:rPr>
          <w:spacing w:val="-7"/>
        </w:rPr>
        <w:t>月，国务院相继发布了《金融业发展和改革</w:t>
      </w:r>
      <w:r>
        <w:rPr>
          <w:rFonts w:ascii="Times New Roman" w:hAnsi="Times New Roman" w:cs="Times New Roman" w:eastAsia="Times New Roman" w:hint="default"/>
          <w:spacing w:val="-7"/>
        </w:rPr>
        <w:t>“</w:t>
      </w:r>
      <w:r>
        <w:rPr>
          <w:spacing w:val="-7"/>
        </w:rPr>
        <w:t>十二五</w:t>
      </w:r>
      <w:r>
        <w:rPr>
          <w:rFonts w:ascii="Times New Roman" w:hAnsi="Times New Roman" w:cs="Times New Roman" w:eastAsia="Times New Roman" w:hint="default"/>
          <w:spacing w:val="-7"/>
        </w:rPr>
        <w:t>”</w:t>
      </w:r>
      <w:r>
        <w:rPr>
          <w:spacing w:val="-7"/>
        </w:rPr>
        <w:t>规划》、《服务业发展</w:t>
      </w:r>
      <w:r>
        <w:rPr>
          <w:rFonts w:ascii="Times New Roman" w:hAnsi="Times New Roman" w:cs="Times New Roman" w:eastAsia="Times New Roman" w:hint="default"/>
          <w:spacing w:val="-7"/>
        </w:rPr>
        <w:t>“</w:t>
      </w:r>
      <w:r>
        <w:rPr>
          <w:spacing w:val="-7"/>
        </w:rPr>
        <w:t>十二五</w:t>
      </w:r>
      <w:r>
        <w:rPr>
          <w:rFonts w:ascii="Times New Roman" w:hAnsi="Times New Roman" w:cs="Times New Roman" w:eastAsia="Times New Roman" w:hint="default"/>
          <w:spacing w:val="-7"/>
        </w:rPr>
        <w:t>”</w:t>
      </w:r>
      <w:r>
        <w:rPr>
          <w:spacing w:val="-7"/>
        </w:rPr>
        <w:t>规划》，随着国家相</w:t>
      </w:r>
      <w:r>
        <w:rPr/>
        <w:t> 继出台有关经济政策加大对金融机构的改革和金融服务产品方面的扶持力度，</w:t>
      </w:r>
      <w:r>
        <w:rPr>
          <w:rFonts w:ascii="Times New Roman" w:hAnsi="Times New Roman" w:cs="Times New Roman" w:eastAsia="Times New Roman" w:hint="default"/>
        </w:rPr>
        <w:t>ATM</w:t>
      </w:r>
      <w:r>
        <w:rPr>
          <w:rFonts w:ascii="Times New Roman" w:hAnsi="Times New Roman" w:cs="Times New Roman" w:eastAsia="Times New Roman" w:hint="default"/>
          <w:spacing w:val="-21"/>
        </w:rPr>
        <w:t> </w:t>
      </w:r>
      <w:r>
        <w:rPr/>
        <w:t>金融服务外包市场前景广阔。</w:t>
      </w:r>
    </w:p>
    <w:p>
      <w:pPr>
        <w:pStyle w:val="BodyText"/>
        <w:spacing w:line="240" w:lineRule="auto" w:before="52"/>
        <w:ind w:left="424" w:right="90"/>
        <w:jc w:val="left"/>
      </w:pPr>
      <w:r>
        <w:rPr/>
        <w:t>（</w:t>
      </w:r>
      <w:r>
        <w:rPr>
          <w:rFonts w:ascii="Times New Roman" w:hAnsi="Times New Roman" w:cs="Times New Roman" w:eastAsia="Times New Roman" w:hint="default"/>
        </w:rPr>
        <w:t>2</w:t>
      </w:r>
      <w:r>
        <w:rPr/>
        <w:t>）市场竞争格局</w:t>
      </w:r>
    </w:p>
    <w:p>
      <w:pPr>
        <w:pStyle w:val="BodyText"/>
        <w:spacing w:line="300" w:lineRule="auto" w:before="101"/>
        <w:ind w:right="98" w:firstLine="360"/>
        <w:jc w:val="left"/>
      </w:pPr>
      <w:r>
        <w:rPr/>
        <w:t>在 </w:t>
      </w:r>
      <w:r>
        <w:rPr>
          <w:rFonts w:ascii="Times New Roman" w:hAnsi="Times New Roman" w:cs="Times New Roman" w:eastAsia="Times New Roman" w:hint="default"/>
          <w:spacing w:val="-7"/>
        </w:rPr>
        <w:t>ATM </w:t>
      </w:r>
      <w:r>
        <w:rPr>
          <w:spacing w:val="-4"/>
        </w:rPr>
        <w:t>领域，由于市场进入壁垒较高，国际市场仍维持原有垄断竞争格局，公司主要竞争对手依然是</w:t>
      </w:r>
      <w:r>
        <w:rPr>
          <w:spacing w:val="-47"/>
        </w:rPr>
        <w:t> </w:t>
      </w:r>
      <w:r>
        <w:rPr>
          <w:rFonts w:ascii="Times New Roman" w:hAnsi="Times New Roman" w:cs="Times New Roman" w:eastAsia="Times New Roman" w:hint="default"/>
          <w:spacing w:val="-4"/>
        </w:rPr>
        <w:t>Diebold</w:t>
      </w:r>
      <w:r>
        <w:rPr>
          <w:spacing w:val="-4"/>
        </w:rPr>
        <w:t>、</w:t>
      </w:r>
      <w:r>
        <w:rPr>
          <w:rFonts w:ascii="Times New Roman" w:hAnsi="Times New Roman" w:cs="Times New Roman" w:eastAsia="Times New Roman" w:hint="default"/>
          <w:spacing w:val="-4"/>
        </w:rPr>
        <w:t>Hitachi</w:t>
      </w:r>
      <w:r>
        <w:rPr>
          <w:spacing w:val="-4"/>
        </w:rPr>
        <w:t>、</w:t>
      </w:r>
      <w:r>
        <w:rPr/>
        <w:t> </w:t>
      </w:r>
      <w:r>
        <w:rPr>
          <w:rFonts w:ascii="Times New Roman" w:hAnsi="Times New Roman" w:cs="Times New Roman" w:eastAsia="Times New Roman" w:hint="default"/>
          <w:spacing w:val="-2"/>
        </w:rPr>
        <w:t>NCR</w:t>
      </w:r>
      <w:r>
        <w:rPr>
          <w:spacing w:val="-2"/>
        </w:rPr>
        <w:t>、</w:t>
      </w:r>
      <w:r>
        <w:rPr>
          <w:rFonts w:ascii="Times New Roman" w:hAnsi="Times New Roman" w:cs="Times New Roman" w:eastAsia="Times New Roman" w:hint="default"/>
          <w:spacing w:val="-2"/>
        </w:rPr>
        <w:t>Nautilus</w:t>
      </w:r>
      <w:r>
        <w:rPr>
          <w:rFonts w:ascii="Times New Roman" w:hAnsi="Times New Roman" w:cs="Times New Roman" w:eastAsia="Times New Roman" w:hint="default"/>
        </w:rPr>
        <w:t> </w:t>
      </w:r>
      <w:r>
        <w:rPr>
          <w:rFonts w:ascii="Times New Roman" w:hAnsi="Times New Roman" w:cs="Times New Roman" w:eastAsia="Times New Roman" w:hint="default"/>
          <w:spacing w:val="-2"/>
        </w:rPr>
        <w:t>Hyosung</w:t>
      </w:r>
      <w:r>
        <w:rPr>
          <w:spacing w:val="-2"/>
        </w:rPr>
        <w:t>、</w:t>
      </w:r>
      <w:r>
        <w:rPr>
          <w:rFonts w:ascii="Times New Roman" w:hAnsi="Times New Roman" w:cs="Times New Roman" w:eastAsia="Times New Roman" w:hint="default"/>
          <w:spacing w:val="-2"/>
        </w:rPr>
        <w:t>OKI</w:t>
      </w:r>
      <w:r>
        <w:rPr>
          <w:spacing w:val="-2"/>
        </w:rPr>
        <w:t>、</w:t>
      </w:r>
      <w:r>
        <w:rPr>
          <w:rFonts w:ascii="Times New Roman" w:hAnsi="Times New Roman" w:cs="Times New Roman" w:eastAsia="Times New Roman" w:hint="default"/>
          <w:spacing w:val="-2"/>
        </w:rPr>
        <w:t>Triton</w:t>
      </w:r>
      <w:r>
        <w:rPr>
          <w:rFonts w:ascii="Times New Roman" w:hAnsi="Times New Roman" w:cs="Times New Roman" w:eastAsia="Times New Roman" w:hint="default"/>
        </w:rPr>
        <w:t> and </w:t>
      </w:r>
      <w:r>
        <w:rPr>
          <w:rFonts w:ascii="Times New Roman" w:hAnsi="Times New Roman" w:cs="Times New Roman" w:eastAsia="Times New Roman" w:hint="default"/>
          <w:spacing w:val="-2"/>
        </w:rPr>
        <w:t>Wincor</w:t>
      </w:r>
      <w:r>
        <w:rPr>
          <w:rFonts w:ascii="Times New Roman" w:hAnsi="Times New Roman" w:cs="Times New Roman" w:eastAsia="Times New Roman" w:hint="default"/>
        </w:rPr>
        <w:t> </w:t>
      </w:r>
      <w:r>
        <w:rPr>
          <w:rFonts w:ascii="Times New Roman" w:hAnsi="Times New Roman" w:cs="Times New Roman" w:eastAsia="Times New Roman" w:hint="default"/>
          <w:spacing w:val="-6"/>
        </w:rPr>
        <w:t>Nixdorf</w:t>
      </w:r>
      <w:r>
        <w:rPr>
          <w:spacing w:val="-6"/>
        </w:rPr>
        <w:t>（按字母顺序）。</w:t>
      </w:r>
      <w:r>
        <w:rPr>
          <w:rFonts w:ascii="Times New Roman" w:hAnsi="Times New Roman" w:cs="Times New Roman" w:eastAsia="Times New Roman" w:hint="default"/>
          <w:spacing w:val="-6"/>
        </w:rPr>
        <w:t>2013</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3 </w:t>
      </w:r>
      <w:r>
        <w:rPr>
          <w:spacing w:val="-2"/>
          <w:w w:val="98"/>
        </w:rPr>
        <w:t>月《金融时报》发布的《发展强劲</w:t>
      </w:r>
      <w:r>
        <w:rPr>
          <w:rFonts w:ascii="Times New Roman" w:hAnsi="Times New Roman" w:cs="Times New Roman" w:eastAsia="Times New Roman" w:hint="default"/>
          <w:spacing w:val="-2"/>
          <w:w w:val="98"/>
        </w:rPr>
        <w:t>·</w:t>
      </w:r>
      <w:r>
        <w:rPr>
          <w:spacing w:val="-2"/>
          <w:w w:val="98"/>
        </w:rPr>
        <w:t>多元</w:t>
      </w:r>
      <w:r>
        <w:rPr>
          <w:spacing w:val="-69"/>
          <w:w w:val="98"/>
        </w:rPr>
        <w:t> </w:t>
      </w:r>
      <w:r>
        <w:rPr/>
        <w:t>微变</w:t>
      </w:r>
      <w:r>
        <w:rPr>
          <w:rFonts w:ascii="Times New Roman" w:hAnsi="Times New Roman" w:cs="Times New Roman" w:eastAsia="Times New Roman" w:hint="default"/>
        </w:rPr>
        <w:t>——2012 </w:t>
      </w:r>
      <w:r>
        <w:rPr/>
        <w:t>年中国 </w:t>
      </w:r>
      <w:r>
        <w:rPr>
          <w:rFonts w:ascii="Times New Roman" w:hAnsi="Times New Roman" w:cs="Times New Roman" w:eastAsia="Times New Roman" w:hint="default"/>
          <w:spacing w:val="-7"/>
        </w:rPr>
        <w:t>ATM </w:t>
      </w:r>
      <w:r>
        <w:rPr/>
        <w:t>市场发展述评》显示：</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年，国内各大国有商业银行、股份制银行、邮政储蓄、城商行、农 商行等金融机构累计购买</w:t>
      </w:r>
      <w:r>
        <w:rPr>
          <w:spacing w:val="-40"/>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4"/>
        </w:rPr>
        <w:t> </w:t>
      </w:r>
      <w:r>
        <w:rPr/>
        <w:t>设备约</w:t>
      </w:r>
      <w:r>
        <w:rPr>
          <w:spacing w:val="-40"/>
        </w:rPr>
        <w:t> </w:t>
      </w:r>
      <w:r>
        <w:rPr>
          <w:rFonts w:ascii="Times New Roman" w:hAnsi="Times New Roman" w:cs="Times New Roman" w:eastAsia="Times New Roman" w:hint="default"/>
        </w:rPr>
        <w:t>10.07</w:t>
      </w:r>
      <w:r>
        <w:rPr>
          <w:rFonts w:ascii="Times New Roman" w:hAnsi="Times New Roman" w:cs="Times New Roman" w:eastAsia="Times New Roman" w:hint="default"/>
          <w:spacing w:val="5"/>
        </w:rPr>
        <w:t> </w:t>
      </w:r>
      <w:r>
        <w:rPr/>
        <w:t>万台。公司以</w:t>
      </w:r>
      <w:r>
        <w:rPr>
          <w:spacing w:val="-40"/>
        </w:rPr>
        <w:t> </w:t>
      </w:r>
      <w:r>
        <w:rPr>
          <w:rFonts w:ascii="Times New Roman" w:hAnsi="Times New Roman" w:cs="Times New Roman" w:eastAsia="Times New Roman" w:hint="default"/>
        </w:rPr>
        <w:t>20170</w:t>
      </w:r>
      <w:r>
        <w:rPr>
          <w:rFonts w:ascii="Times New Roman" w:hAnsi="Times New Roman" w:cs="Times New Roman" w:eastAsia="Times New Roman" w:hint="default"/>
          <w:spacing w:val="5"/>
        </w:rPr>
        <w:t> </w:t>
      </w:r>
      <w:r>
        <w:rPr/>
        <w:t>台的销售量继续保持市场占有率第一的位置，后续依次为 </w:t>
      </w:r>
      <w:r>
        <w:rPr>
          <w:rFonts w:ascii="Times New Roman" w:hAnsi="Times New Roman" w:cs="Times New Roman" w:eastAsia="Times New Roman" w:hint="default"/>
        </w:rPr>
        <w:t>Hitachi</w:t>
      </w:r>
      <w:r>
        <w:rPr/>
        <w:t>、怡化、</w:t>
      </w:r>
      <w:r>
        <w:rPr>
          <w:rFonts w:ascii="Times New Roman" w:hAnsi="Times New Roman" w:cs="Times New Roman" w:eastAsia="Times New Roman" w:hint="default"/>
        </w:rPr>
        <w:t>Diebold</w:t>
      </w:r>
      <w:r>
        <w:rPr/>
        <w:t>、</w:t>
      </w:r>
      <w:r>
        <w:rPr>
          <w:rFonts w:ascii="Times New Roman" w:hAnsi="Times New Roman" w:cs="Times New Roman" w:eastAsia="Times New Roman" w:hint="default"/>
        </w:rPr>
        <w:t>NCR</w:t>
      </w:r>
      <w:r>
        <w:rPr/>
        <w:t>、</w:t>
      </w:r>
      <w:r>
        <w:rPr>
          <w:rFonts w:ascii="Times New Roman" w:hAnsi="Times New Roman" w:cs="Times New Roman" w:eastAsia="Times New Roman" w:hint="default"/>
        </w:rPr>
        <w:t>OKI</w:t>
      </w:r>
      <w:r>
        <w:rPr/>
        <w:t>、东方通信、</w:t>
      </w:r>
      <w:r>
        <w:rPr>
          <w:rFonts w:ascii="Times New Roman" w:hAnsi="Times New Roman" w:cs="Times New Roman" w:eastAsia="Times New Roman" w:hint="default"/>
        </w:rPr>
        <w:t>Wincor</w:t>
      </w:r>
      <w:r>
        <w:rPr>
          <w:rFonts w:ascii="Times New Roman" w:hAnsi="Times New Roman" w:cs="Times New Roman" w:eastAsia="Times New Roman" w:hint="default"/>
          <w:spacing w:val="-16"/>
        </w:rPr>
        <w:t> </w:t>
      </w:r>
      <w:r>
        <w:rPr>
          <w:rFonts w:ascii="Times New Roman" w:hAnsi="Times New Roman" w:cs="Times New Roman" w:eastAsia="Times New Roman" w:hint="default"/>
        </w:rPr>
        <w:t>Nixdorf</w:t>
      </w:r>
      <w:r>
        <w:rPr>
          <w:rFonts w:ascii="Times New Roman" w:hAnsi="Times New Roman" w:cs="Times New Roman" w:eastAsia="Times New Roman" w:hint="default"/>
          <w:spacing w:val="-16"/>
        </w:rPr>
        <w:t> </w:t>
      </w:r>
      <w:r>
        <w:rPr/>
        <w:t>与恒银。统计显示，</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年前五大品牌销售量占据全年总 量约</w:t>
      </w:r>
      <w:r>
        <w:rPr>
          <w:spacing w:val="-35"/>
        </w:rPr>
        <w:t> </w:t>
      </w:r>
      <w:r>
        <w:rPr>
          <w:rFonts w:ascii="Times New Roman" w:hAnsi="Times New Roman" w:cs="Times New Roman" w:eastAsia="Times New Roman" w:hint="default"/>
          <w:spacing w:val="2"/>
        </w:rPr>
        <w:t>72.51%</w:t>
      </w:r>
      <w:r>
        <w:rPr>
          <w:spacing w:val="2"/>
        </w:rPr>
        <w:t>，表明竞争仍较为集中。随着国内</w:t>
      </w:r>
      <w:r>
        <w:rPr>
          <w:spacing w:val="-4"/>
        </w:rPr>
        <w:t> </w:t>
      </w:r>
      <w:r>
        <w:rPr>
          <w:rFonts w:ascii="Times New Roman" w:hAnsi="Times New Roman" w:cs="Times New Roman" w:eastAsia="Times New Roman" w:hint="default"/>
          <w:spacing w:val="5"/>
        </w:rPr>
        <w:t>ATM</w:t>
      </w:r>
      <w:r>
        <w:rPr>
          <w:rFonts w:ascii="Times New Roman" w:hAnsi="Times New Roman" w:cs="Times New Roman" w:eastAsia="Times New Roman" w:hint="default"/>
          <w:spacing w:val="29"/>
        </w:rPr>
        <w:t> </w:t>
      </w:r>
      <w:r>
        <w:rPr>
          <w:spacing w:val="17"/>
        </w:rPr>
        <w:t>行业逐渐成熟，核心技术和综合实力逐渐成为银行客户选择自</w:t>
      </w:r>
      <w:r>
        <w:rPr>
          <w:spacing w:val="-82"/>
        </w:rPr>
        <w:t> </w:t>
      </w:r>
      <w:r>
        <w:rPr>
          <w:spacing w:val="15"/>
        </w:rPr>
        <w:t>助设备供应商的主要评判标准，公司凭借自身的核心技术继续扩大市场份额，</w:t>
      </w:r>
      <w:r>
        <w:rPr>
          <w:rFonts w:ascii="Times New Roman" w:hAnsi="Times New Roman" w:cs="Times New Roman" w:eastAsia="Times New Roman" w:hint="default"/>
          <w:spacing w:val="15"/>
        </w:rPr>
        <w:t>2012 </w:t>
      </w:r>
      <w:r>
        <w:rPr/>
        <w:t>年市场销售依然保持良好的增长</w:t>
      </w:r>
      <w:r>
        <w:rPr>
          <w:spacing w:val="-84"/>
        </w:rPr>
        <w:t> </w:t>
      </w:r>
      <w:r>
        <w:rPr/>
        <w:t>势头。</w:t>
      </w:r>
    </w:p>
    <w:p>
      <w:pPr>
        <w:pStyle w:val="BodyText"/>
        <w:spacing w:line="314" w:lineRule="auto" w:before="70"/>
        <w:ind w:right="188" w:firstLine="360"/>
        <w:jc w:val="both"/>
      </w:pPr>
      <w:r>
        <w:rPr>
          <w:spacing w:val="-2"/>
        </w:rPr>
        <w:t>我国城市轨道交通的投资主体是各个城市的地方政府，行政上互不隶属，对于当地城市轨道交通建设都拥有充分的自主</w:t>
      </w:r>
      <w:r>
        <w:rPr/>
        <w:t> </w:t>
      </w:r>
      <w:r>
        <w:rPr>
          <w:spacing w:val="-2"/>
        </w:rPr>
        <w:t>权，这就使得参与该行业竞争的商家很多，如国内厂商除广电运通外，还包括上海的邮通、华虹计通、华铭、华腾；南京熊</w:t>
      </w:r>
      <w:r>
        <w:rPr>
          <w:spacing w:val="-65"/>
        </w:rPr>
        <w:t> </w:t>
      </w:r>
      <w:r>
        <w:rPr>
          <w:spacing w:val="-65"/>
        </w:rPr>
      </w:r>
      <w:r>
        <w:rPr>
          <w:spacing w:val="-2"/>
        </w:rPr>
        <w:t>猫、沈阳新松、大连现代、北京方正、南天智诚、湖北三环、中国软件、浙大网新、深圳现代和四川久远等，国外厂商有韩</w:t>
      </w:r>
      <w:r>
        <w:rPr>
          <w:spacing w:val="-69"/>
        </w:rPr>
        <w:t> </w:t>
      </w:r>
      <w:r>
        <w:rPr>
          <w:spacing w:val="-69"/>
        </w:rPr>
      </w:r>
      <w:r>
        <w:rPr/>
        <w:t>国的三星，竞争激烈。在高铁领域，</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年，公司继续保持在高铁自动售票机市场上的领先地位，竞争厂商主要是山东新 </w:t>
      </w:r>
      <w:r>
        <w:rPr>
          <w:spacing w:val="-2"/>
        </w:rPr>
        <w:t>北洋信息技术股份有限公司。随着公司纸币识别模块和纸币找零模块等核心技术在市场上的推广使用，公司在城市轨道交通</w:t>
      </w:r>
      <w:r>
        <w:rPr>
          <w:spacing w:val="-64"/>
        </w:rPr>
        <w:t> </w:t>
      </w:r>
      <w:r>
        <w:rPr>
          <w:spacing w:val="-64"/>
        </w:rPr>
      </w:r>
      <w:r>
        <w:rPr/>
        <w:t>行业的地位和实力得到不断提升。</w:t>
      </w:r>
    </w:p>
    <w:p>
      <w:pPr>
        <w:pStyle w:val="BodyText"/>
        <w:spacing w:line="307" w:lineRule="auto" w:before="60"/>
        <w:ind w:left="153" w:right="90" w:firstLine="360"/>
        <w:jc w:val="left"/>
      </w:pPr>
      <w:r>
        <w:rPr>
          <w:spacing w:val="-4"/>
        </w:rPr>
        <w:t>在金融服务外包方面，</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4"/>
        </w:rPr>
        <w:t> </w:t>
      </w:r>
      <w:r>
        <w:rPr/>
        <w:t>金融服务外包将有利于银行提高</w:t>
      </w:r>
      <w:r>
        <w:rPr>
          <w:spacing w:val="-42"/>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1"/>
        </w:rPr>
        <w:t> </w:t>
      </w:r>
      <w:r>
        <w:rPr>
          <w:spacing w:val="-3"/>
        </w:rPr>
        <w:t>运行效率、减少人力成本、提高集约化水平，助推银</w:t>
      </w:r>
      <w:r>
        <w:rPr/>
        <w:t> 行从高消耗、低效率的外延式粗放发展，向多元化价值增值型的内涵式精细化发展方向转变。国内的</w:t>
      </w:r>
      <w:r>
        <w:rPr>
          <w:spacing w:val="-49"/>
        </w:rPr>
        <w:t>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5"/>
        </w:rPr>
        <w:t> </w:t>
      </w:r>
      <w:r>
        <w:rPr/>
        <w:t>服务外包已形成 </w:t>
      </w:r>
      <w:r>
        <w:rPr>
          <w:spacing w:val="-3"/>
        </w:rPr>
        <w:t>了一定数量，市场发展初具规模，但更多的仍是简单的</w:t>
      </w:r>
      <w:r>
        <w:rPr>
          <w:rFonts w:ascii="Times New Roman" w:hAnsi="Times New Roman" w:cs="Times New Roman" w:eastAsia="Times New Roman" w:hint="default"/>
          <w:spacing w:val="-3"/>
        </w:rPr>
        <w:t>“</w:t>
      </w:r>
      <w:r>
        <w:rPr>
          <w:spacing w:val="-3"/>
        </w:rPr>
        <w:t>人力替换</w:t>
      </w:r>
      <w:r>
        <w:rPr>
          <w:rFonts w:ascii="Times New Roman" w:hAnsi="Times New Roman" w:cs="Times New Roman" w:eastAsia="Times New Roman" w:hint="default"/>
          <w:spacing w:val="-3"/>
        </w:rPr>
        <w:t>”</w:t>
      </w:r>
      <w:r>
        <w:rPr>
          <w:spacing w:val="-3"/>
        </w:rPr>
        <w:t>式外包的初级阶段，还未形成一个完整的外包服务供应链，</w:t>
      </w:r>
      <w:r>
        <w:rPr>
          <w:spacing w:val="-75"/>
        </w:rPr>
        <w:t> </w:t>
      </w:r>
      <w:r>
        <w:rPr>
          <w:spacing w:val="-75"/>
        </w:rPr>
      </w:r>
      <w:r>
        <w:rPr>
          <w:spacing w:val="-2"/>
        </w:rPr>
        <w:t>且承包企业规模普遍较小，市场集中度低，竞争力不高，没有处于绝对优势的大型专业金融服务外包公司。在当前金融服务</w:t>
      </w:r>
      <w:r>
        <w:rPr>
          <w:spacing w:val="-66"/>
        </w:rPr>
        <w:t> </w:t>
      </w:r>
      <w:r>
        <w:rPr>
          <w:spacing w:val="-66"/>
        </w:rPr>
      </w:r>
      <w:r>
        <w:rPr>
          <w:spacing w:val="-2"/>
        </w:rPr>
        <w:t>外包行业的管理模式尚不成熟，各项标准、规范尚未建立的情况下，运营商的运营资质、资源整合能力、质量管理能力等就</w:t>
      </w:r>
      <w:r>
        <w:rPr>
          <w:spacing w:val="-66"/>
        </w:rPr>
        <w:t> </w:t>
      </w:r>
      <w:r>
        <w:rPr>
          <w:spacing w:val="-66"/>
        </w:rPr>
      </w:r>
      <w:r>
        <w:rPr/>
        <w:t>成为重要的制约因素。</w:t>
      </w:r>
      <w:r>
        <w:rPr>
          <w:rFonts w:ascii="Times New Roman" w:hAnsi="Times New Roman" w:cs="Times New Roman" w:eastAsia="Times New Roman" w:hint="default"/>
        </w:rPr>
        <w:t>ATM</w:t>
      </w:r>
      <w:r>
        <w:rPr>
          <w:rFonts w:ascii="Times New Roman" w:hAnsi="Times New Roman" w:cs="Times New Roman" w:eastAsia="Times New Roman" w:hint="default"/>
          <w:spacing w:val="23"/>
        </w:rPr>
        <w:t> </w:t>
      </w:r>
      <w:r>
        <w:rPr/>
        <w:t>行业外包服务商除公司全资子公司深圳银通及控股子公司广州穗通外，还有银联商务、三泰电 子、深圳威豹、</w:t>
      </w:r>
      <w:r>
        <w:rPr>
          <w:rFonts w:ascii="Times New Roman" w:hAnsi="Times New Roman" w:cs="Times New Roman" w:eastAsia="Times New Roman" w:hint="default"/>
        </w:rPr>
        <w:t>Diebold</w:t>
      </w:r>
      <w:r>
        <w:rPr/>
        <w:t>、中投科技、合荣欣业、</w:t>
      </w:r>
      <w:r>
        <w:rPr>
          <w:rFonts w:ascii="Times New Roman" w:hAnsi="Times New Roman" w:cs="Times New Roman" w:eastAsia="Times New Roman" w:hint="default"/>
        </w:rPr>
        <w:t>G4S</w:t>
      </w:r>
      <w:r>
        <w:rPr>
          <w:rFonts w:ascii="Times New Roman" w:hAnsi="Times New Roman" w:cs="Times New Roman" w:eastAsia="Times New Roman" w:hint="default"/>
          <w:spacing w:val="-4"/>
        </w:rPr>
        <w:t> </w:t>
      </w:r>
      <w:r>
        <w:rPr/>
        <w:t>等。</w:t>
      </w:r>
    </w:p>
    <w:p>
      <w:pPr>
        <w:pStyle w:val="BodyText"/>
        <w:spacing w:line="338" w:lineRule="auto" w:before="46"/>
        <w:ind w:left="514" w:right="90"/>
        <w:jc w:val="left"/>
      </w:pPr>
      <w:r>
        <w:rPr>
          <w:rFonts w:ascii="Times New Roman" w:hAnsi="Times New Roman" w:cs="Times New Roman" w:eastAsia="Times New Roman" w:hint="default"/>
        </w:rPr>
        <w:t>2</w:t>
      </w:r>
      <w:r>
        <w:rPr/>
        <w:t>、公司的发展规划 公司将继续以市场为导向，以不断完善的核心技术体系追求企业快速、稳健的可持续发展动力，坚持带给用户</w:t>
      </w:r>
      <w:r>
        <w:rPr>
          <w:rFonts w:ascii="Times New Roman" w:hAnsi="Times New Roman" w:cs="Times New Roman" w:eastAsia="Times New Roman" w:hint="default"/>
        </w:rPr>
        <w:t>“</w:t>
      </w:r>
      <w:r>
        <w:rPr/>
        <w:t>超越期</w:t>
      </w:r>
    </w:p>
    <w:p>
      <w:pPr>
        <w:pStyle w:val="BodyText"/>
        <w:spacing w:line="230" w:lineRule="exact"/>
        <w:ind w:right="0"/>
        <w:jc w:val="both"/>
      </w:pPr>
      <w:r>
        <w:rPr/>
        <w:t>望</w:t>
      </w:r>
      <w:r>
        <w:rPr>
          <w:rFonts w:ascii="Times New Roman" w:hAnsi="Times New Roman" w:cs="Times New Roman" w:eastAsia="Times New Roman" w:hint="default"/>
        </w:rPr>
        <w:t>”</w:t>
      </w:r>
      <w:r>
        <w:rPr/>
        <w:t>的产品和服务，逐步将公司打造为</w:t>
      </w:r>
      <w:r>
        <w:rPr>
          <w:rFonts w:ascii="Times New Roman" w:hAnsi="Times New Roman" w:cs="Times New Roman" w:eastAsia="Times New Roman" w:hint="default"/>
        </w:rPr>
        <w:t>“</w:t>
      </w:r>
      <w:r>
        <w:rPr/>
        <w:t>高端制造业</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高端服务业</w:t>
      </w:r>
      <w:r>
        <w:rPr>
          <w:rFonts w:ascii="Times New Roman" w:hAnsi="Times New Roman" w:cs="Times New Roman" w:eastAsia="Times New Roman" w:hint="default"/>
        </w:rPr>
        <w:t>”</w:t>
      </w:r>
      <w:r>
        <w:rPr/>
        <w:t>并重发展的集自主研发、生产、销售及服务为一体的创</w:t>
      </w:r>
    </w:p>
    <w:p>
      <w:pPr>
        <w:pStyle w:val="BodyText"/>
        <w:spacing w:line="302" w:lineRule="auto" w:before="63"/>
        <w:ind w:right="189"/>
        <w:jc w:val="both"/>
      </w:pPr>
      <w:r>
        <w:rPr/>
        <w:t>新型高科技企业；不断提升公司在全球的品牌影响力，树立百年品牌价值体系，向着</w:t>
      </w:r>
      <w:r>
        <w:rPr>
          <w:rFonts w:ascii="Times New Roman" w:hAnsi="Times New Roman" w:cs="Times New Roman" w:eastAsia="Times New Roman" w:hint="default"/>
        </w:rPr>
        <w:t>“</w:t>
      </w:r>
      <w:r>
        <w:rPr/>
        <w:t>成为具有全球竞争力的货币识别与处</w:t>
      </w:r>
      <w:r>
        <w:rPr>
          <w:spacing w:val="-78"/>
        </w:rPr>
        <w:t> </w:t>
      </w:r>
      <w:r>
        <w:rPr>
          <w:spacing w:val="-78"/>
        </w:rPr>
      </w:r>
      <w:r>
        <w:rPr/>
        <w:t>理设备及系统解决方案提供商</w:t>
      </w:r>
      <w:r>
        <w:rPr>
          <w:rFonts w:ascii="Times New Roman" w:hAnsi="Times New Roman" w:cs="Times New Roman" w:eastAsia="Times New Roman" w:hint="default"/>
        </w:rPr>
        <w:t>”</w:t>
      </w:r>
      <w:r>
        <w:rPr/>
        <w:t>的愿景迈进。</w:t>
      </w:r>
    </w:p>
    <w:p>
      <w:pPr>
        <w:pStyle w:val="BodyText"/>
        <w:spacing w:line="240" w:lineRule="auto" w:before="52"/>
        <w:ind w:left="514" w:right="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年经营计划</w:t>
      </w:r>
    </w:p>
    <w:p>
      <w:pPr>
        <w:pStyle w:val="BodyText"/>
        <w:spacing w:line="312" w:lineRule="auto" w:before="101"/>
        <w:ind w:right="108" w:firstLine="360"/>
        <w:jc w:val="both"/>
      </w:pPr>
      <w:r>
        <w:rPr>
          <w:rFonts w:ascii="Times New Roman" w:hAnsi="Times New Roman" w:cs="Times New Roman" w:eastAsia="Times New Roman" w:hint="default"/>
        </w:rPr>
        <w:t>2013</w:t>
      </w:r>
      <w:r>
        <w:rPr/>
        <w:t>年，公司将紧紧围绕</w:t>
      </w:r>
      <w:r>
        <w:rPr>
          <w:rFonts w:ascii="Times New Roman" w:hAnsi="Times New Roman" w:cs="Times New Roman" w:eastAsia="Times New Roman" w:hint="default"/>
        </w:rPr>
        <w:t>“</w:t>
      </w:r>
      <w:r>
        <w:rPr/>
        <w:t>讲方法</w:t>
      </w:r>
      <w:r>
        <w:rPr>
          <w:rFonts w:ascii="Times New Roman" w:hAnsi="Times New Roman" w:cs="Times New Roman" w:eastAsia="Times New Roman" w:hint="default"/>
        </w:rPr>
        <w:t>·</w:t>
      </w:r>
      <w:r>
        <w:rPr/>
        <w:t>重实效</w:t>
      </w:r>
      <w:r>
        <w:rPr>
          <w:rFonts w:ascii="Times New Roman" w:hAnsi="Times New Roman" w:cs="Times New Roman" w:eastAsia="Times New Roman" w:hint="default"/>
        </w:rPr>
        <w:t>·</w:t>
      </w:r>
      <w:r>
        <w:rPr/>
        <w:t>敢担当，开创增长新局面</w:t>
      </w:r>
      <w:r>
        <w:rPr>
          <w:rFonts w:ascii="Times New Roman" w:hAnsi="Times New Roman" w:cs="Times New Roman" w:eastAsia="Times New Roman" w:hint="default"/>
        </w:rPr>
        <w:t>”</w:t>
      </w:r>
      <w:r>
        <w:rPr/>
        <w:t>的年度经营主题，发扬务实有效的传统作风，保持 </w:t>
      </w:r>
      <w:r>
        <w:rPr>
          <w:spacing w:val="-2"/>
        </w:rPr>
        <w:t>敢于担当、敢于创新的拼搏精神，从战略方法、资产布局、有效管理三大方面布局未来，以注重市场价值为导向，以建设企</w:t>
      </w:r>
      <w:r>
        <w:rPr>
          <w:spacing w:val="-68"/>
        </w:rPr>
        <w:t> </w:t>
      </w:r>
      <w:r>
        <w:rPr>
          <w:spacing w:val="-68"/>
        </w:rPr>
      </w:r>
      <w:r>
        <w:rPr>
          <w:spacing w:val="-2"/>
        </w:rPr>
        <w:t>业核心竞争力为基础，以导入卓越绩效模式为契机，持续创新发展模式，不断优化高端制造与高端服务两大板块布局，全面</w:t>
      </w:r>
      <w:r>
        <w:rPr>
          <w:spacing w:val="-66"/>
        </w:rPr>
        <w:t> </w:t>
      </w:r>
      <w:r>
        <w:rPr>
          <w:spacing w:val="-66"/>
        </w:rPr>
      </w:r>
      <w:r>
        <w:rPr/>
        <w:t>提升企业的经营管理能力，走国际化品牌发展之路，积极开创企业稳健快速增长的新局面。重点做好以下几个方面的工作：</w:t>
      </w:r>
    </w:p>
    <w:p>
      <w:pPr>
        <w:pStyle w:val="BodyText"/>
        <w:spacing w:line="338" w:lineRule="auto" w:before="62"/>
        <w:ind w:left="514" w:right="90" w:hanging="90"/>
        <w:jc w:val="left"/>
      </w:pPr>
      <w:r>
        <w:rPr/>
        <w:t>（</w:t>
      </w:r>
      <w:r>
        <w:rPr>
          <w:rFonts w:ascii="Times New Roman" w:hAnsi="Times New Roman" w:cs="Times New Roman" w:eastAsia="Times New Roman" w:hint="default"/>
        </w:rPr>
        <w:t>1</w:t>
      </w:r>
      <w:r>
        <w:rPr/>
        <w:t>）消灭</w:t>
      </w:r>
      <w:r>
        <w:rPr>
          <w:rFonts w:ascii="Times New Roman" w:hAnsi="Times New Roman" w:cs="Times New Roman" w:eastAsia="Times New Roman" w:hint="default"/>
        </w:rPr>
        <w:t>ATM</w:t>
      </w:r>
      <w:r>
        <w:rPr/>
        <w:t>国内市场空白，巩固行业龙头地位 在</w:t>
      </w:r>
      <w:r>
        <w:rPr>
          <w:rFonts w:ascii="Times New Roman" w:hAnsi="Times New Roman" w:cs="Times New Roman" w:eastAsia="Times New Roman" w:hint="default"/>
        </w:rPr>
        <w:t>ATM</w:t>
      </w:r>
      <w:r>
        <w:rPr/>
        <w:t>国内市场上，进一步细化营销策略，深挖、整合、调动公司拥有的各种业务资源，细化行业品牌形象宣传，提</w:t>
      </w:r>
    </w:p>
    <w:p>
      <w:pPr>
        <w:pStyle w:val="BodyText"/>
        <w:spacing w:line="217" w:lineRule="exact"/>
        <w:ind w:right="0"/>
        <w:jc w:val="both"/>
      </w:pPr>
      <w:r>
        <w:rPr/>
        <w:t>升核心技术实力与影响力，全面推广自主核心技术的市场应用，巩固和提升现有市场份额；深入拓展高层资源，紧盯区域竞</w:t>
      </w:r>
    </w:p>
    <w:p>
      <w:pPr>
        <w:pStyle w:val="BodyText"/>
        <w:spacing w:line="309" w:lineRule="auto" w:before="76"/>
        <w:ind w:right="188"/>
        <w:jc w:val="both"/>
      </w:pPr>
      <w:r>
        <w:rPr>
          <w:spacing w:val="-2"/>
        </w:rPr>
        <w:t>争动态，加强推广策划，扩大市场宣传覆盖面，把握机会突破客户关系，积极开拓空白及薄弱市场，消灭国内市场空白；营</w:t>
      </w:r>
      <w:r>
        <w:rPr>
          <w:spacing w:val="-67"/>
        </w:rPr>
        <w:t> </w:t>
      </w:r>
      <w:r>
        <w:rPr>
          <w:spacing w:val="-67"/>
        </w:rPr>
      </w:r>
      <w:r>
        <w:rPr/>
        <w:t>销、研发密切配合，深挖客户需求，加大清分机、</w:t>
      </w:r>
      <w:r>
        <w:rPr>
          <w:rFonts w:ascii="Times New Roman" w:hAnsi="Times New Roman" w:cs="Times New Roman" w:eastAsia="Times New Roman" w:hint="default"/>
        </w:rPr>
        <w:t>VTM</w:t>
      </w:r>
      <w:r>
        <w:rPr/>
        <w:t>、</w:t>
      </w:r>
      <w:r>
        <w:rPr>
          <w:rFonts w:ascii="Times New Roman" w:hAnsi="Times New Roman" w:cs="Times New Roman" w:eastAsia="Times New Roman" w:hint="default"/>
        </w:rPr>
        <w:t>P2801</w:t>
      </w:r>
      <w:r>
        <w:rPr/>
        <w:t>、外币兑换机、</w:t>
      </w:r>
      <w:r>
        <w:rPr>
          <w:rFonts w:ascii="Times New Roman" w:hAnsi="Times New Roman" w:cs="Times New Roman" w:eastAsia="Times New Roman" w:hint="default"/>
        </w:rPr>
        <w:t>H90</w:t>
      </w:r>
      <w:r>
        <w:rPr/>
        <w:t>（夜间金库）、</w:t>
      </w:r>
      <w:r>
        <w:rPr>
          <w:rFonts w:ascii="Times New Roman" w:hAnsi="Times New Roman" w:cs="Times New Roman" w:eastAsia="Times New Roman" w:hint="default"/>
        </w:rPr>
        <w:t>H60</w:t>
      </w:r>
      <w:r>
        <w:rPr/>
        <w:t>（助农产品方案）</w:t>
      </w:r>
      <w:r>
        <w:rPr>
          <w:spacing w:val="-51"/>
        </w:rPr>
        <w:t> </w:t>
      </w:r>
      <w:r>
        <w:rPr>
          <w:spacing w:val="-51"/>
        </w:rPr>
      </w:r>
      <w:r>
        <w:rPr/>
        <w:t>等新产品宣传和推广力度，充分展现公司综合解决方案与产品创新实力，推动新业务市场的发展，巩固行业龙头地位。</w:t>
      </w:r>
    </w:p>
    <w:p>
      <w:pPr>
        <w:pStyle w:val="BodyText"/>
        <w:spacing w:line="240" w:lineRule="auto" w:before="64"/>
        <w:ind w:left="424" w:right="90"/>
        <w:jc w:val="left"/>
      </w:pPr>
      <w:r>
        <w:rPr/>
        <w:t>（</w:t>
      </w:r>
      <w:r>
        <w:rPr>
          <w:rFonts w:ascii="Times New Roman" w:hAnsi="Times New Roman" w:cs="Times New Roman" w:eastAsia="Times New Roman" w:hint="default"/>
        </w:rPr>
        <w:t>2</w:t>
      </w:r>
      <w:r>
        <w:rPr/>
        <w:t>）重点市场、重点突破，实现海外销售恢复性增长</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before="44"/>
        <w:ind w:left="153" w:right="188" w:firstLine="360"/>
        <w:jc w:val="both"/>
      </w:pPr>
      <w:r>
        <w:rPr>
          <w:spacing w:val="-2"/>
        </w:rPr>
        <w:t>在海外市场上，系统布局，认真落实</w:t>
      </w:r>
      <w:r>
        <w:rPr>
          <w:rFonts w:ascii="Times New Roman" w:hAnsi="Times New Roman" w:cs="Times New Roman" w:eastAsia="Times New Roman" w:hint="default"/>
          <w:spacing w:val="-2"/>
        </w:rPr>
        <w:t>“</w:t>
      </w:r>
      <w:r>
        <w:rPr>
          <w:spacing w:val="-2"/>
        </w:rPr>
        <w:t>重点市场、重点投入、重点突破</w:t>
      </w:r>
      <w:r>
        <w:rPr>
          <w:rFonts w:ascii="Times New Roman" w:hAnsi="Times New Roman" w:cs="Times New Roman" w:eastAsia="Times New Roman" w:hint="default"/>
          <w:spacing w:val="-2"/>
        </w:rPr>
        <w:t>”</w:t>
      </w:r>
      <w:r>
        <w:rPr>
          <w:spacing w:val="-2"/>
        </w:rPr>
        <w:t>的具体部署要求，着手于市场基础较好和潜力较</w:t>
      </w:r>
      <w:r>
        <w:rPr/>
        <w:t> </w:t>
      </w:r>
      <w:r>
        <w:rPr>
          <w:spacing w:val="-2"/>
        </w:rPr>
        <w:t>大的区域，强化区域项目组功能和职责，集中优势资源，建设好渠道、品牌推广、样板工程；结合信息化，完善服务支持体</w:t>
      </w:r>
      <w:r>
        <w:rPr>
          <w:spacing w:val="-65"/>
        </w:rPr>
        <w:t> </w:t>
      </w:r>
      <w:r>
        <w:rPr>
          <w:spacing w:val="-65"/>
        </w:rPr>
      </w:r>
      <w:r>
        <w:rPr>
          <w:spacing w:val="-2"/>
        </w:rPr>
        <w:t>系，有效贯彻本地化策略，在土耳其等重点市场建立技术支持团队，实现重点突破，以</w:t>
      </w:r>
      <w:r>
        <w:rPr>
          <w:rFonts w:ascii="Times New Roman" w:hAnsi="Times New Roman" w:cs="Times New Roman" w:eastAsia="Times New Roman" w:hint="default"/>
          <w:spacing w:val="-2"/>
        </w:rPr>
        <w:t>“</w:t>
      </w:r>
      <w:r>
        <w:rPr>
          <w:spacing w:val="-2"/>
        </w:rPr>
        <w:t>点</w:t>
      </w:r>
      <w:r>
        <w:rPr>
          <w:rFonts w:ascii="Times New Roman" w:hAnsi="Times New Roman" w:cs="Times New Roman" w:eastAsia="Times New Roman" w:hint="default"/>
          <w:spacing w:val="-2"/>
        </w:rPr>
        <w:t>”</w:t>
      </w:r>
      <w:r>
        <w:rPr>
          <w:spacing w:val="-2"/>
        </w:rPr>
        <w:t>带动全局面的突破。主推成熟产</w:t>
      </w:r>
      <w:r>
        <w:rPr>
          <w:spacing w:val="-41"/>
        </w:rPr>
        <w:t> </w:t>
      </w:r>
      <w:r>
        <w:rPr>
          <w:spacing w:val="-41"/>
        </w:rPr>
      </w:r>
      <w:r>
        <w:rPr/>
        <w:t>品，重点加强</w:t>
      </w:r>
      <w:r>
        <w:rPr>
          <w:rFonts w:ascii="Times New Roman" w:hAnsi="Times New Roman" w:cs="Times New Roman" w:eastAsia="Times New Roman" w:hint="default"/>
        </w:rPr>
        <w:t>H68N</w:t>
      </w:r>
      <w:r>
        <w:rPr/>
        <w:t>推广力度，把握新业务机会，着力推广</w:t>
      </w:r>
      <w:r>
        <w:rPr>
          <w:rFonts w:ascii="Times New Roman" w:hAnsi="Times New Roman" w:cs="Times New Roman" w:eastAsia="Times New Roman" w:hint="default"/>
        </w:rPr>
        <w:t>P2801</w:t>
      </w:r>
      <w:r>
        <w:rPr/>
        <w:t>、</w:t>
      </w:r>
      <w:r>
        <w:rPr>
          <w:rFonts w:ascii="Times New Roman" w:hAnsi="Times New Roman" w:cs="Times New Roman" w:eastAsia="Times New Roman" w:hint="default"/>
        </w:rPr>
        <w:t>VTM</w:t>
      </w:r>
      <w:r>
        <w:rPr/>
        <w:t>、清分机等新产品，实现海外销售恢复性增长。</w:t>
      </w:r>
    </w:p>
    <w:p>
      <w:pPr>
        <w:pStyle w:val="BodyText"/>
        <w:spacing w:line="338" w:lineRule="auto" w:before="46"/>
        <w:ind w:left="513" w:right="90" w:hanging="90"/>
        <w:jc w:val="left"/>
      </w:pPr>
      <w:r>
        <w:rPr/>
        <w:t>（</w:t>
      </w:r>
      <w:r>
        <w:rPr>
          <w:rFonts w:ascii="Times New Roman" w:hAnsi="Times New Roman" w:cs="Times New Roman" w:eastAsia="Times New Roman" w:hint="default"/>
        </w:rPr>
        <w:t>3</w:t>
      </w:r>
      <w:r>
        <w:rPr/>
        <w:t>）建设</w:t>
      </w:r>
      <w:r>
        <w:rPr>
          <w:rFonts w:ascii="Times New Roman" w:hAnsi="Times New Roman" w:cs="Times New Roman" w:eastAsia="Times New Roman" w:hint="default"/>
        </w:rPr>
        <w:t>AFC</w:t>
      </w:r>
      <w:r>
        <w:rPr/>
        <w:t>根据地市场，加速模块战略实施 </w:t>
      </w:r>
      <w:r>
        <w:rPr>
          <w:spacing w:val="-2"/>
        </w:rPr>
        <w:t>在</w:t>
      </w:r>
      <w:r>
        <w:rPr>
          <w:rFonts w:ascii="Times New Roman" w:hAnsi="Times New Roman" w:cs="Times New Roman" w:eastAsia="Times New Roman" w:hint="default"/>
          <w:spacing w:val="-2"/>
        </w:rPr>
        <w:t>AFC</w:t>
      </w:r>
      <w:r>
        <w:rPr>
          <w:spacing w:val="-2"/>
        </w:rPr>
        <w:t>市场上，利用公司的核心纸币识别技术，继续保持公司整机的高端可靠形象，巩固整机市场一线城市份额、加大</w:t>
      </w:r>
    </w:p>
    <w:p>
      <w:pPr>
        <w:pStyle w:val="BodyText"/>
        <w:spacing w:line="230" w:lineRule="exact"/>
        <w:ind w:left="153" w:right="0"/>
        <w:jc w:val="both"/>
      </w:pPr>
      <w:r>
        <w:rPr/>
        <w:t>二线城市开拓力度，采取灵活的整机销售模式在二线城市建立</w:t>
      </w:r>
      <w:r>
        <w:rPr>
          <w:rFonts w:ascii="Times New Roman" w:hAnsi="Times New Roman" w:cs="Times New Roman" w:eastAsia="Times New Roman" w:hint="default"/>
        </w:rPr>
        <w:t>2~3</w:t>
      </w:r>
      <w:r>
        <w:rPr/>
        <w:t>个根据地市场；模块销售利用代理快速切入市场，扩大模</w:t>
      </w:r>
    </w:p>
    <w:p>
      <w:pPr>
        <w:pStyle w:val="BodyText"/>
        <w:spacing w:line="319" w:lineRule="auto" w:before="63"/>
        <w:ind w:left="153" w:right="101"/>
        <w:jc w:val="both"/>
      </w:pPr>
      <w:r>
        <w:rPr>
          <w:spacing w:val="-4"/>
        </w:rPr>
        <w:t>块产品的批量销售；做好港铁项目实施工作，打造辐射东南亚的样板工程，为后续项目拓展打好基础；推进技术同心多元化，</w:t>
      </w:r>
      <w:r>
        <w:rPr>
          <w:spacing w:val="-46"/>
        </w:rPr>
        <w:t> </w:t>
      </w:r>
      <w:r>
        <w:rPr>
          <w:spacing w:val="-46"/>
        </w:rPr>
      </w:r>
      <w:r>
        <w:rPr/>
        <w:t>开拓新业务，重点开拓零售市场，适度开拓主题公园、景点等新市场。</w:t>
      </w:r>
    </w:p>
    <w:p>
      <w:pPr>
        <w:pStyle w:val="BodyText"/>
        <w:spacing w:line="338" w:lineRule="auto" w:before="56"/>
        <w:ind w:left="513" w:right="90" w:hanging="90"/>
        <w:jc w:val="left"/>
      </w:pPr>
      <w:r>
        <w:rPr/>
        <w:t>（</w:t>
      </w:r>
      <w:r>
        <w:rPr>
          <w:rFonts w:ascii="Times New Roman" w:hAnsi="Times New Roman" w:cs="Times New Roman" w:eastAsia="Times New Roman" w:hint="default"/>
        </w:rPr>
        <w:t>4</w:t>
      </w:r>
      <w:r>
        <w:rPr/>
        <w:t>）提升服务核心竞争力，加快金融服务重点市场布局 </w:t>
      </w:r>
      <w:r>
        <w:rPr>
          <w:spacing w:val="-2"/>
        </w:rPr>
        <w:t>以加快核心技术开发进程，积极推进全外包业务为主要目标，开展核心技术研发，探究高端服务新领域；统筹优化业务</w:t>
      </w:r>
    </w:p>
    <w:p>
      <w:pPr>
        <w:pStyle w:val="BodyText"/>
        <w:spacing w:line="312" w:lineRule="auto" w:before="2"/>
        <w:ind w:left="153" w:right="108"/>
        <w:jc w:val="left"/>
      </w:pPr>
      <w:r>
        <w:rPr/>
        <w:t>资源，加速全流程外包进程；深化分子公司监管，提高分子公司独立运作能力；统一服务运作标准，强化信息化管理优势； </w:t>
      </w:r>
      <w:r>
        <w:rPr>
          <w:spacing w:val="-2"/>
        </w:rPr>
        <w:t>整体提升金融服务专业水平，加快金融服务重点市场布局。①维保服务方面，加强深圳银通各分子公司技术力量，强化问题</w:t>
      </w:r>
      <w:r>
        <w:rPr>
          <w:spacing w:val="-66"/>
        </w:rPr>
        <w:t> </w:t>
      </w:r>
      <w:r>
        <w:rPr>
          <w:spacing w:val="-66"/>
        </w:rPr>
      </w:r>
      <w:r>
        <w:rPr/>
        <w:t>快速处理机制；建立</w:t>
      </w:r>
      <w:r>
        <w:rPr>
          <w:rFonts w:ascii="Times New Roman" w:hAnsi="Times New Roman" w:cs="Times New Roman" w:eastAsia="Times New Roman" w:hint="default"/>
        </w:rPr>
        <w:t>“</w:t>
      </w:r>
      <w:r>
        <w:rPr/>
        <w:t>客户</w:t>
      </w:r>
      <w:r>
        <w:rPr>
          <w:rFonts w:ascii="Times New Roman" w:hAnsi="Times New Roman" w:cs="Times New Roman" w:eastAsia="Times New Roman" w:hint="default"/>
        </w:rPr>
        <w:t>-</w:t>
      </w:r>
      <w:r>
        <w:rPr/>
        <w:t>总部管理</w:t>
      </w:r>
      <w:r>
        <w:rPr>
          <w:rFonts w:ascii="Times New Roman" w:hAnsi="Times New Roman" w:cs="Times New Roman" w:eastAsia="Times New Roman" w:hint="default"/>
        </w:rPr>
        <w:t>”</w:t>
      </w:r>
      <w:r>
        <w:rPr/>
        <w:t>双向服务评价体系，推动服务质量提升；积极筹备清分机维保服务。②全外包服务拓</w:t>
      </w:r>
      <w:r>
        <w:rPr>
          <w:spacing w:val="-44"/>
        </w:rPr>
        <w:t> </w:t>
      </w:r>
      <w:r>
        <w:rPr>
          <w:spacing w:val="-44"/>
        </w:rPr>
      </w:r>
      <w:r>
        <w:rPr/>
        <w:t>展方面，以点带面，建立外包样板工程；借助</w:t>
      </w:r>
      <w:r>
        <w:rPr>
          <w:rFonts w:ascii="Times New Roman" w:hAnsi="Times New Roman" w:cs="Times New Roman" w:eastAsia="Times New Roman" w:hint="default"/>
        </w:rPr>
        <w:t>AOC</w:t>
      </w:r>
      <w:r>
        <w:rPr/>
        <w:t>平台，优化作业流程，加强后台监管，与对手形成差异化竞争。</w:t>
      </w:r>
    </w:p>
    <w:p>
      <w:pPr>
        <w:pStyle w:val="BodyText"/>
        <w:spacing w:line="338" w:lineRule="auto" w:before="44"/>
        <w:ind w:left="514" w:right="90" w:hanging="90"/>
        <w:jc w:val="left"/>
      </w:pPr>
      <w:r>
        <w:rPr/>
        <w:t>（</w:t>
      </w:r>
      <w:r>
        <w:rPr>
          <w:rFonts w:ascii="Times New Roman" w:hAnsi="Times New Roman" w:cs="Times New Roman" w:eastAsia="Times New Roman" w:hint="default"/>
        </w:rPr>
        <w:t>5</w:t>
      </w:r>
      <w:r>
        <w:rPr/>
        <w:t>）巩固核心技术优势，推进新业务领域探索 </w:t>
      </w:r>
      <w:r>
        <w:rPr>
          <w:spacing w:val="-2"/>
        </w:rPr>
        <w:t>遵循</w:t>
      </w:r>
      <w:r>
        <w:rPr>
          <w:rFonts w:ascii="Times New Roman" w:hAnsi="Times New Roman" w:cs="Times New Roman" w:eastAsia="Times New Roman" w:hint="default"/>
          <w:spacing w:val="-2"/>
        </w:rPr>
        <w:t>“</w:t>
      </w:r>
      <w:r>
        <w:rPr>
          <w:spacing w:val="-2"/>
        </w:rPr>
        <w:t>细化考核提效率、讲究方法求开拓</w:t>
      </w:r>
      <w:r>
        <w:rPr>
          <w:rFonts w:ascii="Times New Roman" w:hAnsi="Times New Roman" w:cs="Times New Roman" w:eastAsia="Times New Roman" w:hint="default"/>
          <w:spacing w:val="-2"/>
        </w:rPr>
        <w:t>”</w:t>
      </w:r>
      <w:r>
        <w:rPr>
          <w:spacing w:val="-2"/>
        </w:rPr>
        <w:t>的主题，持续改进研究院内部结构，加强基础技术研究，完善研发项目管理体</w:t>
      </w:r>
    </w:p>
    <w:p>
      <w:pPr>
        <w:pStyle w:val="BodyText"/>
        <w:spacing w:line="217" w:lineRule="exact"/>
        <w:ind w:right="0"/>
        <w:jc w:val="both"/>
      </w:pPr>
      <w:r>
        <w:rPr/>
        <w:t>系，优化技术研发流程，建立技术评审体系，提升研发质量意识，创建并优化贴近一线的研发管理考核体系，进一步做好研</w:t>
      </w:r>
    </w:p>
    <w:p>
      <w:pPr>
        <w:pStyle w:val="BodyText"/>
        <w:spacing w:line="300" w:lineRule="auto" w:before="76"/>
        <w:ind w:right="188"/>
        <w:jc w:val="both"/>
      </w:pPr>
      <w:r>
        <w:rPr/>
        <w:t>发经验的积累、总结、传承，研发标准和规范的继续完善，注重创新方法的应用并落实到日常流程，巩固</w:t>
      </w:r>
      <w:r>
        <w:rPr>
          <w:rFonts w:ascii="Times New Roman" w:hAnsi="Times New Roman" w:cs="Times New Roman" w:eastAsia="Times New Roman" w:hint="default"/>
        </w:rPr>
        <w:t>ATM</w:t>
      </w:r>
      <w:r>
        <w:rPr/>
        <w:t>系列产品、</w:t>
      </w:r>
      <w:r>
        <w:rPr>
          <w:spacing w:val="-43"/>
        </w:rPr>
        <w:t> </w:t>
      </w:r>
      <w:r>
        <w:rPr>
          <w:spacing w:val="-43"/>
        </w:rPr>
      </w:r>
      <w:r>
        <w:rPr/>
        <w:t>模块产品、软件产品等核心技术的优势地位，推进清分系列产品、</w:t>
      </w:r>
      <w:r>
        <w:rPr>
          <w:rFonts w:ascii="Times New Roman" w:hAnsi="Times New Roman" w:cs="Times New Roman" w:eastAsia="Times New Roman" w:hint="default"/>
        </w:rPr>
        <w:t>VTM</w:t>
      </w:r>
      <w:r>
        <w:rPr/>
        <w:t>等新技术、新业务领域的探索，以实现研发技术的</w:t>
      </w:r>
      <w:r>
        <w:rPr>
          <w:spacing w:val="-42"/>
        </w:rPr>
        <w:t> </w:t>
      </w:r>
      <w:r>
        <w:rPr>
          <w:spacing w:val="-42"/>
        </w:rPr>
      </w:r>
      <w:r>
        <w:rPr/>
        <w:t>持续提升。</w:t>
      </w:r>
    </w:p>
    <w:p>
      <w:pPr>
        <w:pStyle w:val="BodyText"/>
        <w:spacing w:line="338" w:lineRule="auto" w:before="71"/>
        <w:ind w:left="514" w:right="90" w:hanging="90"/>
        <w:jc w:val="left"/>
      </w:pPr>
      <w:r>
        <w:rPr/>
        <w:t>（</w:t>
      </w:r>
      <w:r>
        <w:rPr>
          <w:rFonts w:ascii="Times New Roman" w:hAnsi="Times New Roman" w:cs="Times New Roman" w:eastAsia="Times New Roman" w:hint="default"/>
        </w:rPr>
        <w:t>6</w:t>
      </w:r>
      <w:r>
        <w:rPr/>
        <w:t>）以信息化促进精益化制造，持续提升生产效能 </w:t>
      </w:r>
      <w:r>
        <w:rPr>
          <w:spacing w:val="-2"/>
        </w:rPr>
        <w:t>着力打造五个体系，持续提升生产效能。①全方位打造有效的质量体系，重点关注设计源头质量，形成故障预防、控制</w:t>
      </w:r>
    </w:p>
    <w:p>
      <w:pPr>
        <w:pStyle w:val="BodyText"/>
        <w:spacing w:line="314" w:lineRule="auto" w:before="2"/>
        <w:ind w:right="189"/>
        <w:jc w:val="both"/>
      </w:pPr>
      <w:r>
        <w:rPr>
          <w:spacing w:val="-2"/>
        </w:rPr>
        <w:t>与纠正的系统方法；搭建质量信息管理平台，结合卓越绩效模式推进，逐步建立基于预防的质量管理体系。②打造日臻完善</w:t>
      </w:r>
      <w:r>
        <w:rPr>
          <w:spacing w:val="-66"/>
        </w:rPr>
        <w:t> </w:t>
      </w:r>
      <w:r>
        <w:rPr>
          <w:spacing w:val="-66"/>
        </w:rPr>
      </w:r>
      <w:r>
        <w:rPr>
          <w:spacing w:val="-2"/>
        </w:rPr>
        <w:t>的技术体系，优化产品设计与加工工艺，实施精细化管理。③建立灵活透明的供应链体系，优化采购分工，有效整合供应渠</w:t>
      </w:r>
      <w:r>
        <w:rPr>
          <w:spacing w:val="-66"/>
        </w:rPr>
        <w:t> </w:t>
      </w:r>
      <w:r>
        <w:rPr>
          <w:spacing w:val="-66"/>
        </w:rPr>
      </w:r>
      <w:r>
        <w:rPr>
          <w:spacing w:val="-2"/>
        </w:rPr>
        <w:t>道，完善供应商考核指标与动态管理，推进战略供应商策略实施。④打造科学合理的考核体系，建立适应制造系统的激励分</w:t>
      </w:r>
      <w:r>
        <w:rPr>
          <w:spacing w:val="-66"/>
        </w:rPr>
        <w:t> </w:t>
      </w:r>
      <w:r>
        <w:rPr>
          <w:spacing w:val="-66"/>
        </w:rPr>
      </w:r>
      <w:r>
        <w:rPr>
          <w:spacing w:val="-2"/>
        </w:rPr>
        <w:t>配机制，加强一线员工培训和骨干培养体系建设。⑤利用工具打造长远的生产体系，积极推进</w:t>
      </w:r>
      <w:r>
        <w:rPr>
          <w:rFonts w:ascii="Times New Roman" w:hAnsi="Times New Roman" w:cs="Times New Roman" w:eastAsia="Times New Roman" w:hint="default"/>
          <w:spacing w:val="-2"/>
        </w:rPr>
        <w:t>ERP</w:t>
      </w:r>
      <w:r>
        <w:rPr>
          <w:spacing w:val="-2"/>
        </w:rPr>
        <w:t>系统上线，以信息化促进</w:t>
      </w:r>
      <w:r>
        <w:rPr>
          <w:spacing w:val="-37"/>
        </w:rPr>
        <w:t> </w:t>
      </w:r>
      <w:r>
        <w:rPr>
          <w:spacing w:val="-37"/>
        </w:rPr>
      </w:r>
      <w:r>
        <w:rPr/>
        <w:t>制造管理精益化，建立分层级的计划管理模式与备货体系，开展瓶颈物料专项管理，以</w:t>
      </w:r>
      <w:r>
        <w:rPr>
          <w:rFonts w:ascii="Times New Roman" w:hAnsi="Times New Roman" w:cs="Times New Roman" w:eastAsia="Times New Roman" w:hint="default"/>
        </w:rPr>
        <w:t>IE</w:t>
      </w:r>
      <w:r>
        <w:rPr/>
        <w:t>手段提升仓储与物流效率。</w:t>
      </w:r>
    </w:p>
    <w:p>
      <w:pPr>
        <w:pStyle w:val="BodyText"/>
        <w:spacing w:line="338" w:lineRule="auto" w:before="40"/>
        <w:ind w:left="514" w:right="90" w:hanging="90"/>
        <w:jc w:val="left"/>
      </w:pPr>
      <w:r>
        <w:rPr/>
        <w:t>（</w:t>
      </w:r>
      <w:r>
        <w:rPr>
          <w:rFonts w:ascii="Times New Roman" w:hAnsi="Times New Roman" w:cs="Times New Roman" w:eastAsia="Times New Roman" w:hint="default"/>
        </w:rPr>
        <w:t>7</w:t>
      </w:r>
      <w:r>
        <w:rPr/>
        <w:t>）加速推进模拟独立核算，完善授权管理与监督考核 </w:t>
      </w:r>
      <w:r>
        <w:rPr>
          <w:spacing w:val="-2"/>
        </w:rPr>
        <w:t>继续建设模拟独立核算体系，重点推进、落实海外和轨道业务内部核算方案。正确定位、梳理公司总部与各业务系统的</w:t>
      </w:r>
    </w:p>
    <w:p>
      <w:pPr>
        <w:pStyle w:val="BodyText"/>
        <w:spacing w:line="319" w:lineRule="auto" w:before="2"/>
        <w:ind w:right="188"/>
        <w:jc w:val="both"/>
      </w:pPr>
      <w:r>
        <w:rPr>
          <w:spacing w:val="-2"/>
        </w:rPr>
        <w:t>管理分工，管理重心由总部向各业务系统下移；以辅导、协助、监督、考核等手段相结合，促进各业务系统构建完整的内部</w:t>
      </w:r>
      <w:r>
        <w:rPr>
          <w:spacing w:val="-67"/>
        </w:rPr>
        <w:t> </w:t>
      </w:r>
      <w:r>
        <w:rPr>
          <w:spacing w:val="-67"/>
        </w:rPr>
      </w:r>
      <w:r>
        <w:rPr>
          <w:spacing w:val="-2"/>
        </w:rPr>
        <w:t>管理体系、建设符合自身业务特点的管理平台。加快信息化建设，积极变革创新，建立行之有效的制度流程督查机制，促进</w:t>
      </w:r>
      <w:r>
        <w:rPr>
          <w:spacing w:val="-66"/>
        </w:rPr>
        <w:t> </w:t>
      </w:r>
      <w:r>
        <w:rPr>
          <w:spacing w:val="-66"/>
        </w:rPr>
      </w:r>
      <w:r>
        <w:rPr/>
        <w:t>公司运作更加高效、有序。</w:t>
      </w:r>
    </w:p>
    <w:p>
      <w:pPr>
        <w:pStyle w:val="BodyText"/>
        <w:spacing w:line="338" w:lineRule="auto" w:before="58"/>
        <w:ind w:left="514" w:right="90" w:firstLine="60"/>
        <w:jc w:val="left"/>
      </w:pPr>
      <w:r>
        <w:rPr>
          <w:rFonts w:ascii="Times New Roman" w:hAnsi="Times New Roman" w:cs="Times New Roman" w:eastAsia="Times New Roman" w:hint="default"/>
        </w:rPr>
        <w:t>4</w:t>
      </w:r>
      <w:r>
        <w:rPr/>
        <w:t>、资金需求及使用计划 </w:t>
      </w:r>
      <w:r>
        <w:rPr>
          <w:spacing w:val="-2"/>
        </w:rPr>
        <w:t>根据公司“十二五”规划部署及逐步实施，新项目的投入、产业链的整合、产能的扩张等都将会增加资金需求。目前公</w:t>
      </w:r>
    </w:p>
    <w:p>
      <w:pPr>
        <w:pStyle w:val="BodyText"/>
        <w:spacing w:line="319" w:lineRule="auto" w:before="2"/>
        <w:ind w:right="189"/>
        <w:jc w:val="both"/>
      </w:pPr>
      <w:r>
        <w:rPr>
          <w:spacing w:val="-2"/>
        </w:rPr>
        <w:t>司资产结构稳健、偿债能力较强、信贷资信良好，各种融资渠道畅通，公司及各子公司发展的资金来源有充足的保障。公司</w:t>
      </w:r>
      <w:r>
        <w:rPr>
          <w:spacing w:val="-66"/>
        </w:rPr>
        <w:t> </w:t>
      </w:r>
      <w:r>
        <w:rPr>
          <w:spacing w:val="-66"/>
        </w:rPr>
      </w:r>
      <w:r>
        <w:rPr>
          <w:spacing w:val="-2"/>
        </w:rPr>
        <w:t>将根据发展步伐及实际资金需求，结合自身财务状况，合理利用各种融资方式，确保未来发展的资金需求，促进公司持续健</w:t>
      </w:r>
      <w:r>
        <w:rPr>
          <w:spacing w:val="-66"/>
        </w:rPr>
        <w:t> </w:t>
      </w:r>
      <w:r>
        <w:rPr>
          <w:spacing w:val="-66"/>
        </w:rPr>
      </w:r>
      <w:r>
        <w:rPr/>
        <w:t>康发展。</w:t>
      </w:r>
    </w:p>
    <w:p>
      <w:pPr>
        <w:pStyle w:val="BodyText"/>
        <w:spacing w:line="240" w:lineRule="auto" w:before="56"/>
        <w:ind w:left="574" w:right="90"/>
        <w:jc w:val="left"/>
      </w:pPr>
      <w:r>
        <w:rPr>
          <w:rFonts w:ascii="Times New Roman" w:hAnsi="Times New Roman" w:cs="Times New Roman" w:eastAsia="Times New Roman" w:hint="default"/>
        </w:rPr>
        <w:t>5</w:t>
      </w:r>
      <w:r>
        <w:rPr/>
        <w:t>、风险因素</w:t>
      </w:r>
    </w:p>
    <w:p>
      <w:pPr>
        <w:pStyle w:val="BodyText"/>
        <w:spacing w:line="338" w:lineRule="auto" w:before="103"/>
        <w:ind w:left="514" w:right="90" w:hanging="90"/>
        <w:jc w:val="left"/>
      </w:pPr>
      <w:r>
        <w:rPr/>
        <w:t>（</w:t>
      </w:r>
      <w:r>
        <w:rPr>
          <w:rFonts w:ascii="Times New Roman" w:hAnsi="Times New Roman" w:cs="Times New Roman" w:eastAsia="Times New Roman" w:hint="default"/>
        </w:rPr>
        <w:t>1</w:t>
      </w:r>
      <w:r>
        <w:rPr/>
        <w:t>）市场竞争加剧风险 近年来，</w:t>
      </w:r>
      <w:r>
        <w:rPr>
          <w:rFonts w:ascii="Times New Roman" w:hAnsi="Times New Roman" w:cs="Times New Roman" w:eastAsia="Times New Roman" w:hint="default"/>
        </w:rPr>
        <w:t>ATM</w:t>
      </w:r>
      <w:r>
        <w:rPr/>
        <w:t>行业市场竞争日趋激烈，竞争不仅表现在处于一线品牌的实力强劲的老牌国外厂商和本公司之间，国内</w:t>
      </w:r>
    </w:p>
    <w:p>
      <w:pPr>
        <w:pStyle w:val="BodyText"/>
        <w:spacing w:line="230" w:lineRule="exact"/>
        <w:ind w:right="0"/>
        <w:jc w:val="both"/>
      </w:pPr>
      <w:r>
        <w:rPr/>
        <w:t>外二三线品牌厂商的不断崛起也侵蚀了传统</w:t>
      </w:r>
      <w:r>
        <w:rPr>
          <w:rFonts w:ascii="Times New Roman" w:hAnsi="Times New Roman" w:cs="Times New Roman" w:eastAsia="Times New Roman" w:hint="default"/>
        </w:rPr>
        <w:t>ATM</w:t>
      </w:r>
      <w:r>
        <w:rPr/>
        <w:t>业务的部分市场份额，激烈的竞争也使得产品价格面临着逐步下降的风险。</w:t>
      </w:r>
    </w:p>
    <w:p>
      <w:pPr>
        <w:spacing w:after="0" w:line="230" w:lineRule="exact"/>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08"/>
        <w:jc w:val="both"/>
      </w:pPr>
      <w:r>
        <w:rPr/>
        <w:t>如果行业竞争进一步加剧，公司的市场占有率和盈利能力可能存在下降的风险。因此，公司一是要充分发挥核心技术优势， 加快自主机芯产业化进程，进一步降低成本，提高产品竞争力；二是要加大市场拓展力度，努力抢占市场份额，扩大销量； 三是要顺应市场趋势，全力开拓新产品市场，挖掘新的利润增长点。</w:t>
      </w:r>
    </w:p>
    <w:p>
      <w:pPr>
        <w:pStyle w:val="BodyText"/>
        <w:spacing w:line="338" w:lineRule="auto" w:before="56"/>
        <w:ind w:left="514" w:right="90" w:hanging="90"/>
        <w:jc w:val="left"/>
      </w:pPr>
      <w:r>
        <w:rPr/>
        <w:t>（</w:t>
      </w:r>
      <w:r>
        <w:rPr>
          <w:rFonts w:ascii="Times New Roman" w:hAnsi="Times New Roman" w:cs="Times New Roman" w:eastAsia="Times New Roman" w:hint="default"/>
        </w:rPr>
        <w:t>2</w:t>
      </w:r>
      <w:r>
        <w:rPr/>
        <w:t>）经营成本上升风险 </w:t>
      </w:r>
      <w:r>
        <w:rPr>
          <w:spacing w:val="-2"/>
        </w:rPr>
        <w:t>由于通胀压力持续存在，导致国内原辅材料价格不断上升，运输费用、用工成本等快速上涨，随着公司规模的不断壮大</w:t>
      </w:r>
    </w:p>
    <w:p>
      <w:pPr>
        <w:pStyle w:val="BodyText"/>
        <w:spacing w:line="319" w:lineRule="auto" w:before="2"/>
        <w:ind w:right="90"/>
        <w:jc w:val="left"/>
      </w:pPr>
      <w:r>
        <w:rPr>
          <w:spacing w:val="-2"/>
        </w:rPr>
        <w:t>销售费用、研发费用也不断增加，进一步提高了企业的经营成本，而产品价格却在逐步下降，将会对公司的盈利能力造成一</w:t>
      </w:r>
      <w:r>
        <w:rPr>
          <w:spacing w:val="-66"/>
        </w:rPr>
        <w:t> </w:t>
      </w:r>
      <w:r>
        <w:rPr>
          <w:spacing w:val="-66"/>
        </w:rPr>
      </w:r>
      <w:r>
        <w:rPr>
          <w:spacing w:val="-2"/>
        </w:rPr>
        <w:t>定影响。因此，公司将进一步提升精细化管理水平，加强工艺与质量管理，提升精益制造水平，严格落实质量考核，降低质</w:t>
      </w:r>
      <w:r>
        <w:rPr>
          <w:spacing w:val="-68"/>
        </w:rPr>
        <w:t> </w:t>
      </w:r>
      <w:r>
        <w:rPr>
          <w:spacing w:val="-68"/>
        </w:rPr>
      </w:r>
      <w:r>
        <w:rPr/>
        <w:t>量成本；充分挖掘供应商资源，打造最具行业竞争力的供应体系，努力降低各项采购成本和生产成本；提高企业管理水平， 强化预算管控和监督考核机制，降低费用成本。</w:t>
      </w:r>
    </w:p>
    <w:p>
      <w:pPr>
        <w:pStyle w:val="BodyText"/>
        <w:spacing w:line="338" w:lineRule="auto" w:before="56"/>
        <w:ind w:left="513" w:right="90" w:hanging="90"/>
        <w:jc w:val="left"/>
      </w:pPr>
      <w:r>
        <w:rPr/>
        <w:t>（</w:t>
      </w:r>
      <w:r>
        <w:rPr>
          <w:rFonts w:ascii="Times New Roman" w:hAnsi="Times New Roman" w:cs="Times New Roman" w:eastAsia="Times New Roman" w:hint="default"/>
        </w:rPr>
        <w:t>3</w:t>
      </w:r>
      <w:r>
        <w:rPr/>
        <w:t>）海外业务不稳定风险 </w:t>
      </w:r>
      <w:r>
        <w:rPr>
          <w:spacing w:val="-4"/>
        </w:rPr>
        <w:t>受全球宏观经济持续低迷以及政治局势复杂多变的影响，公司的海外业务业绩波动较大，存在业绩不稳定的风险。为此，</w:t>
      </w:r>
    </w:p>
    <w:p>
      <w:pPr>
        <w:pStyle w:val="BodyText"/>
        <w:spacing w:line="319" w:lineRule="auto" w:before="2"/>
        <w:ind w:left="153" w:right="90"/>
        <w:jc w:val="left"/>
      </w:pPr>
      <w:r>
        <w:rPr>
          <w:spacing w:val="-4"/>
        </w:rPr>
        <w:t>公司将根据海外市场状况，灵活、系统布局，坚持本地化战略，强化品牌推广，集中优势资源，实现“重点市场、重点投入、</w:t>
      </w:r>
      <w:r>
        <w:rPr>
          <w:spacing w:val="-46"/>
        </w:rPr>
        <w:t> </w:t>
      </w:r>
      <w:r>
        <w:rPr>
          <w:spacing w:val="-46"/>
        </w:rPr>
      </w:r>
      <w:r>
        <w:rPr/>
        <w:t>重点突破”，促进海外销售的持续性增长。</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九、董事会对会计师事务所本报告期“非标准审计报告”的说明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公司年度财务报告未被会计师事务所出具非标准审计报告。</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公司本年度财务报告与上年度相比会计政策、会计估算和核算方法未发生变化。</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报告期内未发生重大会计差错更正而追溯重述的情形。</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报告期，公司新增加三家纳入合并报表范围的公司：</w:t>
      </w:r>
    </w:p>
    <w:p>
      <w:pPr>
        <w:pStyle w:val="BodyText"/>
        <w:spacing w:line="240" w:lineRule="auto" w:before="116"/>
        <w:ind w:left="513" w:right="90"/>
        <w:jc w:val="left"/>
      </w:pPr>
      <w:r>
        <w:rPr>
          <w:rFonts w:ascii="Times New Roman" w:hAnsi="Times New Roman" w:cs="Times New Roman" w:eastAsia="Times New Roman" w:hint="default"/>
        </w:rPr>
        <w:t>1</w:t>
      </w:r>
      <w:r>
        <w:rPr/>
        <w:t>、广州中智融通金融科技有限公司，注册资本</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万元，公司持有</w:t>
      </w:r>
      <w:r>
        <w:rPr>
          <w:spacing w:val="-46"/>
        </w:rPr>
        <w:t> </w:t>
      </w:r>
      <w:r>
        <w:rPr>
          <w:rFonts w:ascii="Times New Roman" w:hAnsi="Times New Roman" w:cs="Times New Roman" w:eastAsia="Times New Roman" w:hint="default"/>
        </w:rPr>
        <w:t>100%</w:t>
      </w:r>
      <w:r>
        <w:rPr/>
        <w:t>的股权，主要开展清分机业务；</w:t>
      </w:r>
    </w:p>
    <w:p>
      <w:pPr>
        <w:pStyle w:val="BodyText"/>
        <w:spacing w:line="302" w:lineRule="auto" w:before="102"/>
        <w:ind w:right="172" w:firstLine="360"/>
        <w:jc w:val="left"/>
      </w:pPr>
      <w:r>
        <w:rPr>
          <w:rFonts w:ascii="Times New Roman" w:hAnsi="Times New Roman" w:cs="Times New Roman" w:eastAsia="Times New Roman" w:hint="default"/>
        </w:rPr>
        <w:t>2</w:t>
      </w:r>
      <w:r>
        <w:rPr/>
        <w:t>、子公司深圳银通投资成立全资子公司上海欣辰通金融电子科技有限公司，注册资本</w:t>
      </w:r>
      <w:r>
        <w:rPr>
          <w:spacing w:val="-6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3"/>
        </w:rPr>
        <w:t> </w:t>
      </w:r>
      <w:r>
        <w:rPr>
          <w:spacing w:val="-3"/>
        </w:rPr>
        <w:t>万元，主要开展货币自动处</w:t>
      </w:r>
      <w:r>
        <w:rPr/>
        <w:t> 理设备的维护服务以及金融服务全外包业务；</w:t>
      </w:r>
    </w:p>
    <w:p>
      <w:pPr>
        <w:pStyle w:val="BodyText"/>
        <w:spacing w:line="302" w:lineRule="auto" w:before="68"/>
        <w:ind w:right="187" w:firstLine="360"/>
        <w:jc w:val="left"/>
      </w:pPr>
      <w:r>
        <w:rPr>
          <w:rFonts w:ascii="Times New Roman" w:hAnsi="Times New Roman" w:cs="Times New Roman" w:eastAsia="Times New Roman" w:hint="default"/>
        </w:rPr>
        <w:t>3</w:t>
      </w:r>
      <w:r>
        <w:rPr/>
        <w:t>、子公司运通国际投资成立全资子公司</w:t>
      </w:r>
      <w:r>
        <w:rPr>
          <w:spacing w:val="-48"/>
        </w:rPr>
        <w:t> </w:t>
      </w:r>
      <w:r>
        <w:rPr>
          <w:rFonts w:ascii="Times New Roman" w:hAnsi="Times New Roman" w:cs="Times New Roman" w:eastAsia="Times New Roman" w:hint="default"/>
        </w:rPr>
        <w:t>GRG</w:t>
      </w:r>
      <w:r>
        <w:rPr>
          <w:rFonts w:ascii="Times New Roman" w:hAnsi="Times New Roman" w:cs="Times New Roman" w:eastAsia="Times New Roman" w:hint="default"/>
          <w:spacing w:val="8"/>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7"/>
        </w:rPr>
        <w:t> </w:t>
      </w:r>
      <w:r>
        <w:rPr>
          <w:rFonts w:ascii="Times New Roman" w:hAnsi="Times New Roman" w:cs="Times New Roman" w:eastAsia="Times New Roman" w:hint="default"/>
        </w:rPr>
        <w:t>Equipment(HK)</w:t>
      </w:r>
      <w:r>
        <w:rPr>
          <w:rFonts w:ascii="Times New Roman" w:hAnsi="Times New Roman" w:cs="Times New Roman" w:eastAsia="Times New Roman" w:hint="default"/>
          <w:spacing w:val="7"/>
        </w:rPr>
        <w:t> </w:t>
      </w:r>
      <w:r>
        <w:rPr>
          <w:rFonts w:ascii="Times New Roman" w:hAnsi="Times New Roman" w:cs="Times New Roman" w:eastAsia="Times New Roman" w:hint="default"/>
        </w:rPr>
        <w:t>Europe</w:t>
      </w:r>
      <w:r>
        <w:rPr/>
        <w:t>，注册资本为立陶宛立特</w:t>
      </w:r>
      <w:r>
        <w:rPr>
          <w:spacing w:val="-48"/>
        </w:rPr>
        <w:t> </w:t>
      </w:r>
      <w:r>
        <w:rPr/>
        <w:t>1</w:t>
      </w:r>
      <w:r>
        <w:rPr>
          <w:spacing w:val="-48"/>
        </w:rPr>
        <w:t> </w:t>
      </w:r>
      <w:r>
        <w:rPr/>
        <w:t>万元，主要开</w:t>
      </w:r>
      <w:r>
        <w:rPr/>
        <w:t> 展柜员机销售与服务。</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十三、公司利润分配及分红派息情况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1" w:right="90" w:hanging="358"/>
        <w:jc w:val="left"/>
      </w:pPr>
      <w:r>
        <w:rPr/>
        <w:t>报告期内利润分配政策特别是现金分红政策的制定、执行或调整情况 </w:t>
      </w:r>
      <w:r>
        <w:rPr>
          <w:spacing w:val="-1"/>
        </w:rPr>
        <w:t>根据中国证监会《关于进一步落实上市公司现金分红有关事项的通知》（证监发</w:t>
      </w:r>
      <w:r>
        <w:rPr>
          <w:rFonts w:ascii="Times New Roman" w:hAnsi="Times New Roman" w:cs="Times New Roman" w:eastAsia="Times New Roman" w:hint="default"/>
          <w:spacing w:val="-1"/>
        </w:rPr>
        <w:t>[2012]37</w:t>
      </w:r>
      <w:r>
        <w:rPr>
          <w:spacing w:val="-1"/>
        </w:rPr>
        <w:t>号）及广东证监局发布的《关</w:t>
      </w:r>
    </w:p>
    <w:p>
      <w:pPr>
        <w:pStyle w:val="BodyText"/>
        <w:spacing w:line="214" w:lineRule="exact"/>
        <w:ind w:left="153" w:right="0"/>
        <w:jc w:val="both"/>
      </w:pPr>
      <w:r>
        <w:rPr/>
        <w:t>于进一步落实上市公司分红相关规定的通知》（广东证监</w:t>
      </w:r>
      <w:r>
        <w:rPr>
          <w:rFonts w:ascii="Times New Roman" w:hAnsi="Times New Roman" w:cs="Times New Roman" w:eastAsia="Times New Roman" w:hint="default"/>
        </w:rPr>
        <w:t>[2012]91</w:t>
      </w:r>
      <w:r>
        <w:rPr/>
        <w:t>号）的相关规定，公司于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日召开了第三届董</w:t>
      </w:r>
    </w:p>
    <w:p>
      <w:pPr>
        <w:pStyle w:val="BodyText"/>
        <w:spacing w:line="300" w:lineRule="auto" w:before="63"/>
        <w:ind w:right="188"/>
        <w:jc w:val="both"/>
      </w:pPr>
      <w:r>
        <w:rPr>
          <w:spacing w:val="-1"/>
        </w:rPr>
        <w:t>事会第四次（临时）会议，审议通过了《关于修改</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的议案》以及《关于制定</w:t>
      </w:r>
      <w:r>
        <w:rPr>
          <w:rFonts w:ascii="Times New Roman" w:hAnsi="Times New Roman" w:cs="Times New Roman" w:eastAsia="Times New Roman" w:hint="default"/>
          <w:spacing w:val="-1"/>
        </w:rPr>
        <w:t>&lt;</w:t>
      </w:r>
      <w:r>
        <w:rPr>
          <w:spacing w:val="-1"/>
        </w:rPr>
        <w:t>公司未来三年股东回报规划（</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&gt;</w:t>
      </w:r>
      <w:r>
        <w:rPr/>
        <w:t>的议案》，并于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2012</w:t>
      </w:r>
      <w:r>
        <w:rPr/>
        <w:t>年第二次临时股东大会审议通过。独立董事在上述制度和规划制定 过程中积极履行职责，认真分析目前公司的状况，切实发挥了应有的作用。</w:t>
      </w:r>
    </w:p>
    <w:p>
      <w:pPr>
        <w:pStyle w:val="BodyText"/>
        <w:spacing w:line="240" w:lineRule="auto" w:before="71"/>
        <w:ind w:left="511" w:right="90"/>
        <w:jc w:val="left"/>
        <w:rPr>
          <w:rFonts w:ascii="Times New Roman" w:hAnsi="Times New Roman" w:cs="Times New Roman" w:eastAsia="Times New Roman" w:hint="default"/>
        </w:rPr>
      </w:pPr>
      <w:r>
        <w:rPr>
          <w:spacing w:val="-5"/>
        </w:rPr>
        <w:t>上述议案对《公司章程》中利润分配政策进行更为合理的规定与调整，制定了明确的分红标准及分红比例，并对公司</w:t>
      </w:r>
      <w:r>
        <w:rPr>
          <w:rFonts w:ascii="Times New Roman" w:hAnsi="Times New Roman" w:cs="Times New Roman" w:eastAsia="Times New Roman" w:hint="default"/>
          <w:spacing w:val="-5"/>
        </w:rPr>
        <w:t>2012</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02" w:lineRule="auto" w:before="44"/>
        <w:ind w:left="233" w:right="0"/>
        <w:jc w:val="left"/>
      </w:pPr>
      <w:r>
        <w:rPr>
          <w:spacing w:val="-2"/>
        </w:rPr>
        <w:t>年至</w:t>
      </w:r>
      <w:r>
        <w:rPr>
          <w:rFonts w:ascii="Times New Roman" w:hAnsi="Times New Roman" w:cs="Times New Roman" w:eastAsia="Times New Roman" w:hint="default"/>
          <w:spacing w:val="-2"/>
        </w:rPr>
        <w:t>2014</w:t>
      </w:r>
      <w:r>
        <w:rPr>
          <w:spacing w:val="-2"/>
        </w:rPr>
        <w:t>年利润分配政策进行了详述，本次调整符合《公司章程》及相关法律法规的规定，并且更加体现公司对中小投资者</w:t>
      </w:r>
      <w:r>
        <w:rPr>
          <w:spacing w:val="-62"/>
        </w:rPr>
        <w:t> </w:t>
      </w:r>
      <w:r>
        <w:rPr>
          <w:spacing w:val="-62"/>
        </w:rPr>
      </w:r>
      <w:r>
        <w:rPr/>
        <w:t>利益的充分维护。</w:t>
      </w:r>
    </w:p>
    <w:p>
      <w:pPr>
        <w:spacing w:line="240" w:lineRule="auto" w:before="7"/>
        <w:rPr>
          <w:rFonts w:ascii="宋体" w:hAnsi="宋体" w:cs="宋体" w:eastAsia="宋体" w:hint="default"/>
          <w:sz w:val="20"/>
          <w:szCs w:val="20"/>
        </w:rPr>
      </w:pPr>
    </w:p>
    <w:p>
      <w:pPr>
        <w:pStyle w:val="BodyText"/>
        <w:spacing w:line="240" w:lineRule="auto"/>
        <w:ind w:left="233" w:right="0"/>
        <w:jc w:val="left"/>
      </w:pPr>
      <w:r>
        <w:rPr/>
        <w:t>本年度利润分配及资本公积金转增股本预案</w:t>
      </w:r>
    </w:p>
    <w:p>
      <w:pPr>
        <w:pStyle w:val="BodyText"/>
        <w:spacing w:line="240" w:lineRule="auto" w:before="117"/>
        <w:ind w:left="2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927"/>
        <w:gridCol w:w="4927"/>
      </w:tblGrid>
      <w:tr>
        <w:trPr>
          <w:trHeight w:val="407"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股送红股数（股）</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w:t>
            </w:r>
          </w:p>
        </w:tc>
      </w:tr>
      <w:tr>
        <w:trPr>
          <w:trHeight w:val="407"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股派息数（元）（含税）</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w:t>
            </w:r>
          </w:p>
        </w:tc>
      </w:tr>
      <w:tr>
        <w:trPr>
          <w:trHeight w:val="407"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股转增数（股）</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622,697,755</w:t>
            </w:r>
          </w:p>
        </w:tc>
      </w:tr>
      <w:tr>
        <w:trPr>
          <w:trHeight w:val="407"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186,809,326.50</w:t>
            </w:r>
          </w:p>
        </w:tc>
      </w:tr>
      <w:tr>
        <w:trPr>
          <w:trHeight w:val="416" w:hRule="exact"/>
        </w:trPr>
        <w:tc>
          <w:tcPr>
            <w:tcW w:w="492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1,820,919,867.99</w:t>
            </w:r>
          </w:p>
        </w:tc>
      </w:tr>
      <w:tr>
        <w:trPr>
          <w:trHeight w:val="398" w:hRule="exact"/>
        </w:trPr>
        <w:tc>
          <w:tcPr>
            <w:tcW w:w="9854"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4"/>
              <w:ind w:left="321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734" w:hRule="exact"/>
        </w:trPr>
        <w:tc>
          <w:tcPr>
            <w:tcW w:w="9854" w:type="dxa"/>
            <w:gridSpan w:val="2"/>
            <w:tcBorders>
              <w:top w:val="single" w:sz="6" w:space="0" w:color="000000"/>
              <w:left w:val="single" w:sz="6" w:space="0" w:color="000000"/>
              <w:bottom w:val="single" w:sz="6" w:space="0" w:color="000000"/>
              <w:right w:val="single" w:sz="6" w:space="0" w:color="000000"/>
            </w:tcBorders>
          </w:tcPr>
          <w:p>
            <w:pPr>
              <w:pStyle w:val="TableParagraph"/>
              <w:spacing w:line="338" w:lineRule="auto" w:before="52"/>
              <w:ind w:left="460" w:right="107" w:hanging="360"/>
              <w:jc w:val="left"/>
              <w:rPr>
                <w:rFonts w:ascii="宋体" w:hAnsi="宋体" w:cs="宋体" w:eastAsia="宋体" w:hint="default"/>
                <w:sz w:val="18"/>
                <w:szCs w:val="18"/>
              </w:rPr>
            </w:pPr>
            <w:r>
              <w:rPr>
                <w:rFonts w:ascii="宋体" w:hAnsi="宋体" w:cs="宋体" w:eastAsia="宋体" w:hint="default"/>
                <w:sz w:val="18"/>
                <w:szCs w:val="18"/>
              </w:rPr>
              <w:t>根据《公司章程</w:t>
            </w:r>
            <w:r>
              <w:rPr>
                <w:rFonts w:ascii="宋体" w:hAnsi="宋体" w:cs="宋体" w:eastAsia="宋体" w:hint="default"/>
                <w:spacing w:val="-90"/>
                <w:sz w:val="18"/>
                <w:szCs w:val="18"/>
              </w:rPr>
              <w:t>》、</w:t>
            </w:r>
            <w:r>
              <w:rPr>
                <w:rFonts w:ascii="宋体" w:hAnsi="宋体" w:cs="宋体" w:eastAsia="宋体" w:hint="default"/>
                <w:sz w:val="18"/>
                <w:szCs w:val="18"/>
              </w:rPr>
              <w:t>《未来三年股东回报规划（</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》及公司实际情况，公司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年度利润分配预案为： 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622,697,755</w:t>
            </w:r>
            <w:r>
              <w:rPr>
                <w:rFonts w:ascii="宋体" w:hAnsi="宋体" w:cs="宋体" w:eastAsia="宋体" w:hint="default"/>
                <w:spacing w:val="-2"/>
                <w:sz w:val="18"/>
                <w:szCs w:val="18"/>
              </w:rPr>
              <w:t>股</w:t>
            </w:r>
            <w:r>
              <w:rPr>
                <w:rFonts w:ascii="宋体" w:hAnsi="宋体" w:cs="宋体" w:eastAsia="宋体" w:hint="default"/>
                <w:sz w:val="18"/>
                <w:szCs w:val="18"/>
              </w:rPr>
              <w:t>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股送</w:t>
            </w:r>
            <w:r>
              <w:rPr>
                <w:rFonts w:ascii="Times New Roman" w:hAnsi="Times New Roman" w:cs="Times New Roman" w:eastAsia="Times New Roman" w:hint="default"/>
                <w:sz w:val="18"/>
                <w:szCs w:val="18"/>
              </w:rPr>
              <w:t>2</w:t>
            </w:r>
            <w:r>
              <w:rPr>
                <w:rFonts w:ascii="宋体" w:hAnsi="宋体" w:cs="宋体" w:eastAsia="宋体" w:hint="default"/>
                <w:sz w:val="18"/>
                <w:szCs w:val="18"/>
              </w:rPr>
              <w:t>股红股，派发现金红利</w:t>
            </w:r>
            <w:r>
              <w:rPr>
                <w:rFonts w:ascii="Times New Roman" w:hAnsi="Times New Roman" w:cs="Times New Roman" w:eastAsia="Times New Roman" w:hint="default"/>
                <w:sz w:val="18"/>
                <w:szCs w:val="18"/>
              </w:rPr>
              <w:t>3</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，本次分</w:t>
            </w:r>
          </w:p>
          <w:p>
            <w:pPr>
              <w:pStyle w:val="TableParagraph"/>
              <w:spacing w:line="23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配送出红股</w:t>
            </w:r>
            <w:r>
              <w:rPr>
                <w:rFonts w:ascii="Times New Roman" w:hAnsi="Times New Roman" w:cs="Times New Roman" w:eastAsia="Times New Roman" w:hint="default"/>
                <w:spacing w:val="-3"/>
                <w:sz w:val="18"/>
                <w:szCs w:val="18"/>
              </w:rPr>
              <w:t>124,539,551</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186,809,326.50</w:t>
            </w:r>
            <w:r>
              <w:rPr>
                <w:rFonts w:ascii="宋体" w:hAnsi="宋体" w:cs="宋体" w:eastAsia="宋体" w:hint="default"/>
                <w:spacing w:val="-3"/>
                <w:sz w:val="18"/>
                <w:szCs w:val="18"/>
              </w:rPr>
              <w:t>元，共计分配利润</w:t>
            </w:r>
            <w:r>
              <w:rPr>
                <w:rFonts w:ascii="Times New Roman" w:hAnsi="Times New Roman" w:cs="Times New Roman" w:eastAsia="Times New Roman" w:hint="default"/>
                <w:spacing w:val="-3"/>
                <w:sz w:val="18"/>
                <w:szCs w:val="18"/>
              </w:rPr>
              <w:t>311,348,877.50</w:t>
            </w:r>
            <w:r>
              <w:rPr>
                <w:rFonts w:ascii="宋体" w:hAnsi="宋体" w:cs="宋体" w:eastAsia="宋体" w:hint="default"/>
                <w:spacing w:val="-3"/>
                <w:sz w:val="18"/>
                <w:szCs w:val="18"/>
              </w:rPr>
              <w:t>元，剩余未分配利润</w:t>
            </w:r>
            <w:r>
              <w:rPr>
                <w:rFonts w:ascii="Times New Roman" w:hAnsi="Times New Roman" w:cs="Times New Roman" w:eastAsia="Times New Roman" w:hint="default"/>
                <w:spacing w:val="-3"/>
                <w:sz w:val="18"/>
                <w:szCs w:val="18"/>
              </w:rPr>
              <w:t>1,509,570,990.49</w:t>
            </w:r>
          </w:p>
          <w:p>
            <w:pPr>
              <w:pStyle w:val="TableParagraph"/>
              <w:spacing w:line="240" w:lineRule="auto" w:before="64"/>
              <w:ind w:left="100" w:right="0"/>
              <w:jc w:val="left"/>
              <w:rPr>
                <w:rFonts w:ascii="宋体" w:hAnsi="宋体" w:cs="宋体" w:eastAsia="宋体" w:hint="default"/>
                <w:sz w:val="18"/>
                <w:szCs w:val="18"/>
              </w:rPr>
            </w:pPr>
            <w:r>
              <w:rPr>
                <w:rFonts w:ascii="宋体" w:hAnsi="宋体" w:cs="宋体" w:eastAsia="宋体" w:hint="default"/>
                <w:sz w:val="18"/>
                <w:szCs w:val="18"/>
              </w:rPr>
              <w:t>元结转至下一年度，送红股后公司总股本变更为</w:t>
            </w:r>
            <w:r>
              <w:rPr>
                <w:rFonts w:ascii="Times New Roman" w:hAnsi="Times New Roman" w:cs="Times New Roman" w:eastAsia="Times New Roman" w:hint="default"/>
                <w:sz w:val="18"/>
                <w:szCs w:val="18"/>
              </w:rPr>
              <w:t>747,237,306</w:t>
            </w:r>
            <w:r>
              <w:rPr>
                <w:rFonts w:ascii="宋体" w:hAnsi="宋体" w:cs="宋体" w:eastAsia="宋体" w:hint="default"/>
                <w:sz w:val="18"/>
                <w:szCs w:val="18"/>
              </w:rPr>
              <w:t>股。</w:t>
            </w:r>
          </w:p>
          <w:p>
            <w:pPr>
              <w:pStyle w:val="TableParagraph"/>
              <w:spacing w:line="240" w:lineRule="auto" w:before="103"/>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年度，公司不进行资本公积转增股本。</w:t>
            </w:r>
          </w:p>
        </w:tc>
      </w:tr>
    </w:tbl>
    <w:p>
      <w:pPr>
        <w:pStyle w:val="BodyText"/>
        <w:spacing w:line="340" w:lineRule="auto" w:before="52"/>
        <w:ind w:left="654" w:right="4092" w:hanging="42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 1、公司2010年利润分配方案</w:t>
      </w:r>
    </w:p>
    <w:p>
      <w:pPr>
        <w:pStyle w:val="BodyText"/>
        <w:spacing w:line="319" w:lineRule="auto" w:before="39"/>
        <w:ind w:left="234" w:right="141" w:firstLine="420"/>
        <w:jc w:val="both"/>
      </w:pPr>
      <w:r>
        <w:rPr/>
        <w:t>以2010年12月31日公司总股本342,141,624股为基数，向全体股东每10股送3股红股，派发现金股利2元（含税），本次 </w:t>
      </w:r>
      <w:r>
        <w:rPr>
          <w:spacing w:val="15"/>
        </w:rPr>
        <w:t>分配送出红股</w:t>
      </w:r>
      <w:r>
        <w:rPr>
          <w:spacing w:val="-68"/>
        </w:rPr>
        <w:t> </w:t>
      </w:r>
      <w:r>
        <w:rPr>
          <w:spacing w:val="8"/>
        </w:rPr>
        <w:t>102,642,487股，派发现金红利</w:t>
      </w:r>
      <w:r>
        <w:rPr>
          <w:spacing w:val="-69"/>
        </w:rPr>
        <w:t> </w:t>
      </w:r>
      <w:r>
        <w:rPr>
          <w:spacing w:val="7"/>
        </w:rPr>
        <w:t>68,428,324.80元，共计分配利润</w:t>
      </w:r>
      <w:r>
        <w:rPr>
          <w:spacing w:val="-69"/>
        </w:rPr>
        <w:t> </w:t>
      </w:r>
      <w:r>
        <w:rPr>
          <w:spacing w:val="7"/>
        </w:rPr>
        <w:t>171,070,811.80元，剩余未分配利润</w:t>
      </w:r>
      <w:r>
        <w:rPr>
          <w:spacing w:val="-76"/>
        </w:rPr>
        <w:t> </w:t>
      </w:r>
      <w:r>
        <w:rPr>
          <w:spacing w:val="-76"/>
        </w:rPr>
      </w:r>
      <w:r>
        <w:rPr>
          <w:spacing w:val="-2"/>
        </w:rPr>
        <w:t>924,156,652.06元结转至下一年度。送红股后公司总股本变更为444,784,111股。2010年度，公司不进行资本公积转增股本。</w:t>
      </w:r>
    </w:p>
    <w:p>
      <w:pPr>
        <w:pStyle w:val="BodyText"/>
        <w:spacing w:line="357" w:lineRule="auto" w:before="56"/>
        <w:ind w:left="654" w:right="0"/>
        <w:jc w:val="left"/>
      </w:pPr>
      <w:r>
        <w:rPr/>
        <w:t>2、公司2011年利润分配方案及资本公积金转增股份方案 </w:t>
      </w:r>
      <w:r>
        <w:rPr>
          <w:spacing w:val="3"/>
        </w:rPr>
        <w:t>以2011年12月31日公司总股本444,784,111股为基数，向全体股东每10股派发现金红利1元（含税），共计分配利润</w:t>
      </w:r>
      <w:r>
        <w:rPr/>
      </w:r>
    </w:p>
    <w:p>
      <w:pPr>
        <w:pStyle w:val="BodyText"/>
        <w:spacing w:line="224" w:lineRule="exact"/>
        <w:ind w:left="234" w:right="0"/>
        <w:jc w:val="left"/>
      </w:pPr>
      <w:r>
        <w:rPr/>
        <w:t>44,478,411.10元，剩余未分配利润1,338,709,541.92元结转至下一年度。同时，以2011年12月31日公司总股本444,784,111</w:t>
      </w:r>
    </w:p>
    <w:p>
      <w:pPr>
        <w:pStyle w:val="BodyText"/>
        <w:spacing w:line="357" w:lineRule="auto" w:before="77"/>
        <w:ind w:left="654" w:right="120" w:hanging="420"/>
        <w:jc w:val="left"/>
      </w:pPr>
      <w:r>
        <w:rPr/>
        <w:t>股为基数，以资本公积金转增股本，向全体股东每10</w:t>
      </w:r>
      <w:r>
        <w:rPr>
          <w:spacing w:val="-40"/>
        </w:rPr>
        <w:t> </w:t>
      </w:r>
      <w:r>
        <w:rPr/>
        <w:t>股转增4股，合计转增177,913,644</w:t>
      </w:r>
      <w:r>
        <w:rPr>
          <w:spacing w:val="-40"/>
        </w:rPr>
        <w:t> </w:t>
      </w:r>
      <w:r>
        <w:rPr/>
        <w:t>股，转增后股本为622,697,755股。</w:t>
      </w:r>
      <w:r>
        <w:rPr/>
        <w:t> 3、公司2012年利润分配方案</w:t>
      </w:r>
    </w:p>
    <w:p>
      <w:pPr>
        <w:pStyle w:val="BodyText"/>
        <w:spacing w:line="240" w:lineRule="auto" w:before="26"/>
        <w:ind w:left="594" w:right="0"/>
        <w:jc w:val="left"/>
      </w:pPr>
      <w:r>
        <w:rPr/>
        <w:t>以</w:t>
      </w:r>
      <w:r>
        <w:rPr>
          <w:spacing w:val="-45"/>
        </w:rPr>
        <w:t> </w:t>
      </w:r>
      <w:r>
        <w:rPr/>
        <w:t>2012</w:t>
      </w:r>
      <w:r>
        <w:rPr>
          <w:spacing w:val="-45"/>
        </w:rPr>
        <w:t> </w:t>
      </w:r>
      <w:r>
        <w:rPr/>
        <w:t>年</w:t>
      </w:r>
      <w:r>
        <w:rPr>
          <w:spacing w:val="-45"/>
        </w:rPr>
        <w:t> </w:t>
      </w:r>
      <w:r>
        <w:rPr/>
        <w:t>12</w:t>
      </w:r>
      <w:r>
        <w:rPr>
          <w:spacing w:val="-44"/>
        </w:rPr>
        <w:t> </w:t>
      </w:r>
      <w:r>
        <w:rPr/>
        <w:t>月</w:t>
      </w:r>
      <w:r>
        <w:rPr>
          <w:spacing w:val="-45"/>
        </w:rPr>
        <w:t> </w:t>
      </w:r>
      <w:r>
        <w:rPr/>
        <w:t>31</w:t>
      </w:r>
      <w:r>
        <w:rPr>
          <w:spacing w:val="-45"/>
        </w:rPr>
        <w:t> </w:t>
      </w:r>
      <w:r>
        <w:rPr/>
        <w:t>日公司总股本</w:t>
      </w:r>
      <w:r>
        <w:rPr>
          <w:spacing w:val="-45"/>
        </w:rPr>
        <w:t> </w:t>
      </w:r>
      <w:r>
        <w:rPr/>
        <w:t>622,697,755</w:t>
      </w:r>
      <w:r>
        <w:rPr>
          <w:spacing w:val="-45"/>
        </w:rPr>
        <w:t> </w:t>
      </w:r>
      <w:r>
        <w:rPr>
          <w:spacing w:val="-4"/>
        </w:rPr>
        <w:t>股为基数，向全体股东每</w:t>
      </w:r>
      <w:r>
        <w:rPr>
          <w:spacing w:val="-45"/>
        </w:rPr>
        <w:t> </w:t>
      </w:r>
      <w:r>
        <w:rPr/>
        <w:t>10</w:t>
      </w:r>
      <w:r>
        <w:rPr>
          <w:spacing w:val="-45"/>
        </w:rPr>
        <w:t> </w:t>
      </w:r>
      <w:r>
        <w:rPr/>
        <w:t>股送</w:t>
      </w:r>
      <w:r>
        <w:rPr>
          <w:spacing w:val="-45"/>
        </w:rPr>
        <w:t> </w:t>
      </w:r>
      <w:r>
        <w:rPr/>
        <w:t>2</w:t>
      </w:r>
      <w:r>
        <w:rPr>
          <w:spacing w:val="-45"/>
        </w:rPr>
        <w:t> </w:t>
      </w:r>
      <w:r>
        <w:rPr>
          <w:spacing w:val="-5"/>
        </w:rPr>
        <w:t>股红股，派发现金红利</w:t>
      </w:r>
      <w:r>
        <w:rPr>
          <w:spacing w:val="-45"/>
        </w:rPr>
        <w:t> </w:t>
      </w:r>
      <w:r>
        <w:rPr/>
        <w:t>3</w:t>
      </w:r>
      <w:r>
        <w:rPr>
          <w:spacing w:val="-45"/>
        </w:rPr>
        <w:t> </w:t>
      </w:r>
      <w:r>
        <w:rPr>
          <w:spacing w:val="-15"/>
        </w:rPr>
        <w:t>元（含税），</w:t>
      </w:r>
    </w:p>
    <w:p>
      <w:pPr>
        <w:pStyle w:val="BodyText"/>
        <w:spacing w:line="240" w:lineRule="auto" w:before="76"/>
        <w:ind w:left="234" w:right="0"/>
        <w:jc w:val="left"/>
      </w:pPr>
      <w:r>
        <w:rPr/>
        <w:t>本次分配送出红股</w:t>
      </w:r>
      <w:r>
        <w:rPr>
          <w:spacing w:val="-45"/>
        </w:rPr>
        <w:t> </w:t>
      </w:r>
      <w:r>
        <w:rPr/>
        <w:t>124,539,551</w:t>
      </w:r>
      <w:r>
        <w:rPr>
          <w:spacing w:val="-45"/>
        </w:rPr>
        <w:t> </w:t>
      </w:r>
      <w:r>
        <w:rPr>
          <w:spacing w:val="-4"/>
        </w:rPr>
        <w:t>股，派发现金红利</w:t>
      </w:r>
      <w:r>
        <w:rPr>
          <w:spacing w:val="-45"/>
        </w:rPr>
        <w:t> </w:t>
      </w:r>
      <w:r>
        <w:rPr/>
        <w:t>186,809,326.50</w:t>
      </w:r>
      <w:r>
        <w:rPr>
          <w:spacing w:val="-45"/>
        </w:rPr>
        <w:t> </w:t>
      </w:r>
      <w:r>
        <w:rPr>
          <w:spacing w:val="-4"/>
        </w:rPr>
        <w:t>元，共计分配利润</w:t>
      </w:r>
      <w:r>
        <w:rPr>
          <w:spacing w:val="-45"/>
        </w:rPr>
        <w:t> </w:t>
      </w:r>
      <w:r>
        <w:rPr/>
        <w:t>311,348,877.50</w:t>
      </w:r>
      <w:r>
        <w:rPr>
          <w:spacing w:val="-45"/>
        </w:rPr>
        <w:t> </w:t>
      </w:r>
      <w:r>
        <w:rPr>
          <w:spacing w:val="-3"/>
        </w:rPr>
        <w:t>元，剩余未分配利润</w:t>
      </w:r>
    </w:p>
    <w:p>
      <w:pPr>
        <w:pStyle w:val="BodyText"/>
        <w:spacing w:line="319" w:lineRule="auto" w:before="76"/>
        <w:ind w:left="234" w:right="224"/>
        <w:jc w:val="left"/>
      </w:pPr>
      <w:r>
        <w:rPr/>
        <w:t>1,509,570,990.49</w:t>
      </w:r>
      <w:r>
        <w:rPr>
          <w:spacing w:val="-46"/>
        </w:rPr>
        <w:t> </w:t>
      </w:r>
      <w:r>
        <w:rPr/>
        <w:t>元结转至下一年度，送红股后公司总股本变更为</w:t>
      </w:r>
      <w:r>
        <w:rPr>
          <w:spacing w:val="-46"/>
        </w:rPr>
        <w:t> </w:t>
      </w:r>
      <w:r>
        <w:rPr/>
        <w:t>747,237,306</w:t>
      </w:r>
      <w:r>
        <w:rPr>
          <w:spacing w:val="-46"/>
        </w:rPr>
        <w:t> </w:t>
      </w:r>
      <w:r>
        <w:rPr/>
        <w:t>股。2012</w:t>
      </w:r>
      <w:r>
        <w:rPr>
          <w:spacing w:val="-46"/>
        </w:rPr>
        <w:t> </w:t>
      </w:r>
      <w:r>
        <w:rPr/>
        <w:t>年度，公司不进行资本公积转增</w:t>
      </w:r>
      <w:r>
        <w:rPr/>
        <w:t> 股本。</w:t>
      </w:r>
    </w:p>
    <w:p>
      <w:pPr>
        <w:spacing w:line="240" w:lineRule="auto" w:before="3"/>
        <w:rPr>
          <w:rFonts w:ascii="宋体" w:hAnsi="宋体" w:cs="宋体" w:eastAsia="宋体" w:hint="default"/>
          <w:sz w:val="16"/>
          <w:szCs w:val="16"/>
        </w:rPr>
      </w:pPr>
    </w:p>
    <w:p>
      <w:pPr>
        <w:pStyle w:val="BodyText"/>
        <w:spacing w:line="240" w:lineRule="auto" w:before="44"/>
        <w:ind w:left="234" w:right="0"/>
        <w:jc w:val="left"/>
      </w:pPr>
      <w:r>
        <w:rPr/>
        <w:t>公司近三年现金分红情况表</w:t>
      </w:r>
    </w:p>
    <w:p>
      <w:pPr>
        <w:pStyle w:val="BodyText"/>
        <w:spacing w:line="240" w:lineRule="auto" w:before="117"/>
        <w:ind w:left="0" w:right="499"/>
        <w:jc w:val="right"/>
      </w:pPr>
      <w:r>
        <w:rPr/>
        <w:t>单位：元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2369"/>
        <w:gridCol w:w="2404"/>
        <w:gridCol w:w="2392"/>
        <w:gridCol w:w="2392"/>
      </w:tblGrid>
      <w:tr>
        <w:trPr>
          <w:trHeight w:val="160"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5" w:right="65" w:firstLine="4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2"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186,809,326.50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578,631,983.99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44,478,411.10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506,533,839.64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68,428,324.80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475,131,689.63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14.40%</w:t>
            </w:r>
          </w:p>
        </w:tc>
      </w:tr>
    </w:tbl>
    <w:p>
      <w:pPr>
        <w:spacing w:after="0" w:line="240" w:lineRule="auto"/>
        <w:jc w:val="right"/>
        <w:rPr>
          <w:rFonts w:ascii="宋体" w:hAnsi="宋体" w:cs="宋体" w:eastAsia="宋体" w:hint="default"/>
          <w:sz w:val="18"/>
          <w:szCs w:val="18"/>
        </w:rPr>
        <w:sectPr>
          <w:pgSz w:w="11910" w:h="16840"/>
          <w:pgMar w:header="747" w:footer="982" w:top="1060" w:bottom="1180" w:left="900" w:right="90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公司报告期内盈利且母公司未分配利润为正但未提出现金红利分配预案</w:t>
      </w:r>
    </w:p>
    <w:p>
      <w:pPr>
        <w:pStyle w:val="BodyText"/>
        <w:spacing w:line="240" w:lineRule="auto" w:before="116"/>
        <w:ind w:left="153"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250" w:firstLine="360"/>
        <w:jc w:val="left"/>
      </w:pPr>
      <w:r>
        <w:rPr>
          <w:spacing w:val="-2"/>
        </w:rPr>
        <w:t>作为一家上市公司，公司在发展壮大的过程中，始终坚持积极履行社会责任，在实践中追求企业与员工、社会、自然的</w:t>
      </w:r>
      <w:r>
        <w:rPr/>
        <w:t> 和谐发展，以实际行动回报社会，创建和谐的企业发展环境，践行社会责任。公司在追求经济效益、保护股东利益的同时， 积极维护公司债权人及公司员工的合法权益，诚信对待供应商、客户，积极从事环境保护、社区建设。</w:t>
      </w:r>
    </w:p>
    <w:p>
      <w:pPr>
        <w:pStyle w:val="BodyText"/>
        <w:spacing w:line="338" w:lineRule="auto" w:before="58"/>
        <w:ind w:left="513" w:right="336"/>
        <w:jc w:val="left"/>
      </w:pPr>
      <w:r>
        <w:rPr>
          <w:rFonts w:ascii="Times New Roman" w:hAnsi="Times New Roman" w:cs="Times New Roman" w:eastAsia="Times New Roman" w:hint="default"/>
        </w:rPr>
        <w:t>1</w:t>
      </w:r>
      <w:r>
        <w:rPr/>
        <w:t>、股东权益责任 </w:t>
      </w:r>
      <w:r>
        <w:rPr>
          <w:spacing w:val="-5"/>
        </w:rPr>
        <w:t>保障股东特别是中小股东的权益，是公司最基本的社会责任。公司严格按照《公司章程》、《股东大会议事规则》的规定</w:t>
      </w:r>
    </w:p>
    <w:p>
      <w:pPr>
        <w:pStyle w:val="BodyText"/>
        <w:spacing w:line="319" w:lineRule="auto" w:before="2"/>
        <w:ind w:left="153" w:right="250"/>
        <w:jc w:val="left"/>
      </w:pPr>
      <w:r>
        <w:rPr>
          <w:spacing w:val="-2"/>
        </w:rPr>
        <w:t>和要求，规范股东大会的召集、召开、表决程序，通过合法有效的方式，让更多的股东能够参加股东大会，确保股东对公司</w:t>
      </w:r>
      <w:r>
        <w:rPr>
          <w:spacing w:val="-68"/>
        </w:rPr>
        <w:t> </w:t>
      </w:r>
      <w:r>
        <w:rPr>
          <w:spacing w:val="-68"/>
        </w:rPr>
      </w:r>
      <w:r>
        <w:rPr>
          <w:spacing w:val="-4"/>
        </w:rPr>
        <w:t>重大事项的知情权、参与权和表决权；在履行信息披露的职责时，始终坚持真实、准确、及时、完整、公平的信息披露原则，</w:t>
      </w:r>
      <w:r>
        <w:rPr>
          <w:spacing w:val="-48"/>
        </w:rPr>
        <w:t> </w:t>
      </w:r>
      <w:r>
        <w:rPr>
          <w:spacing w:val="-48"/>
        </w:rPr>
      </w:r>
      <w:r>
        <w:rPr/>
        <w:t>认真履行信息披露义务，秉持公平、公正、公开的原则对待全体投资者。</w:t>
      </w:r>
    </w:p>
    <w:p>
      <w:pPr>
        <w:pStyle w:val="BodyText"/>
        <w:spacing w:line="338" w:lineRule="auto" w:before="56"/>
        <w:ind w:left="513" w:right="250"/>
        <w:jc w:val="left"/>
      </w:pPr>
      <w:r>
        <w:rPr>
          <w:rFonts w:ascii="Times New Roman" w:hAnsi="Times New Roman" w:cs="Times New Roman" w:eastAsia="Times New Roman" w:hint="default"/>
        </w:rPr>
        <w:t>2</w:t>
      </w:r>
      <w:r>
        <w:rPr/>
        <w:t>、债权人权益责任 </w:t>
      </w:r>
      <w:r>
        <w:rPr>
          <w:spacing w:val="-2"/>
        </w:rPr>
        <w:t>公司一贯奉行稳健诚信的经营策略，充分尊重公司债权人对其债权权益相关的重大信息的知情权，高度重视债权人的合</w:t>
      </w:r>
    </w:p>
    <w:p>
      <w:pPr>
        <w:pStyle w:val="BodyText"/>
        <w:spacing w:line="319" w:lineRule="auto" w:before="2"/>
        <w:ind w:left="153" w:right="250"/>
        <w:jc w:val="left"/>
      </w:pPr>
      <w:r>
        <w:rPr>
          <w:spacing w:val="-2"/>
        </w:rPr>
        <w:t>法权益。在公司的经营决策过程中，公司严格遵守相关合同及制度，充分考虑债权人的合法权益，及时向债权人通报与债权</w:t>
      </w:r>
      <w:r>
        <w:rPr>
          <w:spacing w:val="-66"/>
        </w:rPr>
        <w:t> </w:t>
      </w:r>
      <w:r>
        <w:rPr>
          <w:spacing w:val="-66"/>
        </w:rPr>
      </w:r>
      <w:r>
        <w:rPr/>
        <w:t>人权益相关的重大信息；债权人为维护自身利益需要了解公司有关经营、管理等情况时，公司全力予以配合和支持。</w:t>
      </w:r>
    </w:p>
    <w:p>
      <w:pPr>
        <w:pStyle w:val="BodyText"/>
        <w:spacing w:line="338" w:lineRule="auto" w:before="56"/>
        <w:ind w:left="514" w:right="250"/>
        <w:jc w:val="left"/>
      </w:pPr>
      <w:r>
        <w:rPr>
          <w:rFonts w:ascii="Times New Roman" w:hAnsi="Times New Roman" w:cs="Times New Roman" w:eastAsia="Times New Roman" w:hint="default"/>
        </w:rPr>
        <w:t>3</w:t>
      </w:r>
      <w:r>
        <w:rPr/>
        <w:t>、员工权益责任 </w:t>
      </w:r>
      <w:r>
        <w:rPr>
          <w:spacing w:val="-2"/>
        </w:rPr>
        <w:t>公司坚持以人为本，把对员工负责视为自身的责任，把为员工创造未来当成长期坚持的重要使命。公司严格遵守《劳动</w:t>
      </w:r>
    </w:p>
    <w:p>
      <w:pPr>
        <w:pStyle w:val="BodyText"/>
        <w:spacing w:line="319" w:lineRule="auto" w:before="2"/>
        <w:ind w:right="348"/>
        <w:jc w:val="both"/>
      </w:pPr>
      <w:r>
        <w:rPr>
          <w:spacing w:val="-5"/>
        </w:rPr>
        <w:t>法》、《劳动合同法》等法律法规的要求，构建和谐的劳资关系，为员工提供良好的工作、生活环境和各种内部、外部培训机</w:t>
      </w:r>
      <w:r>
        <w:rPr>
          <w:spacing w:val="-81"/>
        </w:rPr>
        <w:t> </w:t>
      </w:r>
      <w:r>
        <w:rPr>
          <w:spacing w:val="-81"/>
        </w:rPr>
      </w:r>
      <w:r>
        <w:rPr>
          <w:spacing w:val="-2"/>
        </w:rPr>
        <w:t>会；公司注重对员工职业发展进行规划，为员工提供平等的发展机会和晋升渠道，尊重和维护员工的个人利益，努力使员工</w:t>
      </w:r>
      <w:r>
        <w:rPr>
          <w:spacing w:val="-66"/>
        </w:rPr>
        <w:t> </w:t>
      </w:r>
      <w:r>
        <w:rPr>
          <w:spacing w:val="-66"/>
        </w:rPr>
      </w:r>
      <w:r>
        <w:rPr/>
        <w:t>在公司的发展中也得到快速成长。</w:t>
      </w:r>
    </w:p>
    <w:p>
      <w:pPr>
        <w:pStyle w:val="BodyText"/>
        <w:spacing w:line="338" w:lineRule="auto" w:before="58"/>
        <w:ind w:left="514" w:right="250"/>
        <w:jc w:val="left"/>
      </w:pPr>
      <w:r>
        <w:rPr>
          <w:rFonts w:ascii="Times New Roman" w:hAnsi="Times New Roman" w:cs="Times New Roman" w:eastAsia="Times New Roman" w:hint="default"/>
        </w:rPr>
        <w:t>4</w:t>
      </w:r>
      <w:r>
        <w:rPr/>
        <w:t>、商品质量责任 </w:t>
      </w:r>
      <w:r>
        <w:rPr>
          <w:spacing w:val="-2"/>
        </w:rPr>
        <w:t>公司坚持“质量是我们的自尊心”原则，为客户提供优质的产品；加强与供应商的沟通合作，实现互惠共赢；严格把控</w:t>
      </w:r>
    </w:p>
    <w:p>
      <w:pPr>
        <w:pStyle w:val="BodyText"/>
        <w:spacing w:line="240" w:lineRule="auto" w:before="4"/>
        <w:ind w:right="0"/>
        <w:jc w:val="both"/>
      </w:pPr>
      <w:r>
        <w:rPr/>
        <w:t>产品质量，注重产品安全，保护消费者利益。</w:t>
      </w:r>
    </w:p>
    <w:p>
      <w:pPr>
        <w:pStyle w:val="BodyText"/>
        <w:spacing w:line="338" w:lineRule="auto" w:before="116"/>
        <w:ind w:left="514" w:right="250"/>
        <w:jc w:val="left"/>
      </w:pPr>
      <w:r>
        <w:rPr>
          <w:rFonts w:ascii="Times New Roman" w:hAnsi="Times New Roman" w:cs="Times New Roman" w:eastAsia="Times New Roman" w:hint="default"/>
        </w:rPr>
        <w:t>5</w:t>
      </w:r>
      <w:r>
        <w:rPr/>
        <w:t>、社会公益责任 </w:t>
      </w:r>
      <w:r>
        <w:rPr>
          <w:spacing w:val="-2"/>
        </w:rPr>
        <w:t>公司一直热心于公益事业发展，围绕着“个人·企业·国家共同发展”的价值观和“以创新的科技便利人类生活”的核</w:t>
      </w:r>
    </w:p>
    <w:p>
      <w:pPr>
        <w:pStyle w:val="BodyText"/>
        <w:spacing w:line="309" w:lineRule="auto" w:before="2"/>
        <w:ind w:left="153" w:right="347"/>
        <w:jc w:val="both"/>
      </w:pPr>
      <w:r>
        <w:rPr/>
        <w:t>心使命，开展了一系列富有企业特色的志愿服务、爱心捐赠、志愿扶贫等公益活动。例如在</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年携手中国社会福利基金 </w:t>
      </w:r>
      <w:r>
        <w:rPr>
          <w:spacing w:val="-2"/>
        </w:rPr>
        <w:t>会“免费午餐基金”在湖北省鹤峰县开展了“星语星愿·传递爱的力量”公益“暖心行”等活动；为鄂西贫困留守儿童捐赠</w:t>
      </w:r>
      <w:r>
        <w:rPr>
          <w:spacing w:val="-67"/>
        </w:rPr>
        <w:t> </w:t>
      </w:r>
      <w:r>
        <w:rPr>
          <w:spacing w:val="-67"/>
        </w:rPr>
      </w:r>
      <w:r>
        <w:rPr/>
        <w:t>了首批</w:t>
      </w:r>
      <w:r>
        <w:rPr>
          <w:spacing w:val="7"/>
        </w:rPr>
        <w:t> </w:t>
      </w:r>
      <w:r>
        <w:rPr/>
        <w:t>“想妈妈”爱心视频机与爱心物资，为他们送温暖、献爱心；全资子公司深圳银通组织“汇聚心与爱，你我‘益’</w:t>
      </w:r>
      <w:r>
        <w:rPr/>
        <w:t> 起来</w:t>
      </w:r>
      <w:r>
        <w:rPr>
          <w:rFonts w:ascii="Times New Roman" w:hAnsi="Times New Roman" w:cs="Times New Roman" w:eastAsia="Times New Roman" w:hint="default"/>
        </w:rPr>
        <w:t>!</w:t>
      </w:r>
      <w:r>
        <w:rPr/>
        <w:t>”爱心队伍，将书包、文具、电脑等物资作为新年礼物送到了广东省清远市连南三排镇牛栏洞小学贫困学生的手中。</w:t>
      </w:r>
      <w:r>
        <w:rPr>
          <w:spacing w:val="-57"/>
        </w:rPr>
        <w:t> </w:t>
      </w:r>
      <w:r>
        <w:rPr>
          <w:spacing w:val="-57"/>
        </w:rPr>
      </w:r>
      <w:r>
        <w:rPr/>
        <w:t>公司积极履行社会责任，注重并强调爱心活动的社会性和持久性，</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月公司成立了社会公益志愿服务队，志愿服务 </w:t>
      </w:r>
      <w:r>
        <w:rPr>
          <w:spacing w:val="-2"/>
        </w:rPr>
        <w:t>队成立后，引导全体职工积极参与社会公益与学雷锋志愿服务等活动，传播公司作为“企业公民”的社会责任，通过系统持</w:t>
      </w:r>
      <w:r>
        <w:rPr>
          <w:spacing w:val="-66"/>
        </w:rPr>
        <w:t> </w:t>
      </w:r>
      <w:r>
        <w:rPr>
          <w:spacing w:val="-66"/>
        </w:rPr>
      </w:r>
      <w:r>
        <w:rPr/>
        <w:t>续的公益活动，让大家心手相连，更把关爱、感恩融入到公司文化精神，让关爱成为共识，实现企业与社会和谐发展。</w:t>
      </w:r>
    </w:p>
    <w:p>
      <w:pPr>
        <w:pStyle w:val="BodyText"/>
        <w:spacing w:line="319" w:lineRule="auto" w:before="62"/>
        <w:ind w:left="153" w:right="250" w:firstLine="360"/>
        <w:jc w:val="left"/>
      </w:pPr>
      <w:r>
        <w:rPr>
          <w:spacing w:val="-2"/>
        </w:rPr>
        <w:t>未来，公司将积极履行社会责任，在兼顾环境保护的同时，致力于打造广受客户青睐、赢得社会信赖的知名品牌，实现</w:t>
      </w:r>
      <w:r>
        <w:rPr/>
        <w:t> 商业利益与社会责任的高度统一。</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十五、报告期内接待调研、沟通、采访等活动登记表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846"/>
        <w:gridCol w:w="956"/>
        <w:gridCol w:w="1315"/>
        <w:gridCol w:w="2228"/>
        <w:gridCol w:w="3032"/>
      </w:tblGrid>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广州证券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780"/>
        </w:sectPr>
      </w:pPr>
    </w:p>
    <w:p>
      <w:pPr>
        <w:spacing w:line="240" w:lineRule="auto" w:before="0"/>
        <w:rPr>
          <w:rFonts w:ascii="Times New Roman" w:hAnsi="Times New Roman" w:cs="Times New Roman" w:eastAsia="Times New Roman" w:hint="default"/>
          <w:sz w:val="20"/>
          <w:szCs w:val="20"/>
        </w:rPr>
      </w:pPr>
      <w:r>
        <w:rPr/>
        <w:pict>
          <v:group style="position:absolute;margin-left:398.940002pt;margin-top:379.600006pt;width:151.15pt;height:28.9pt;mso-position-horizontal-relative:page;mso-position-vertical-relative:page;z-index:-1105840" coordorigin="7979,7592" coordsize="3023,578">
            <v:group style="position:absolute;left:7990;top:7766;width:2;height:392" coordorigin="7990,7766" coordsize="2,392">
              <v:shape style="position:absolute;left:7990;top:7766;width:2;height:392" coordorigin="7990,7766" coordsize="0,392" path="m7990,7766l7990,8158e" filled="false" stroked="true" strokeweight="1.140pt" strokecolor="#ffffff">
                <v:path arrowok="t"/>
              </v:shape>
            </v:group>
            <v:group style="position:absolute;left:7979;top:7592;width:3023;height:174" coordorigin="7979,7592" coordsize="3023,174">
              <v:shape style="position:absolute;left:7979;top:7592;width:3023;height:174" coordorigin="7979,7592" coordsize="3023,174" path="m7979,7766l11002,7766,11002,7592,7979,7592,7979,7766xe" filled="true" fillcolor="#ffffff" stroked="false">
                <v:path arrowok="t"/>
                <v:fill type="solid"/>
              </v:shape>
            </v:group>
            <v:group style="position:absolute;left:8002;top:7766;width:2976;height:393" coordorigin="8002,7766" coordsize="2976,393">
              <v:shape style="position:absolute;left:8002;top:7766;width:2976;height:393" coordorigin="8002,7766" coordsize="2976,393" path="m8002,7766l10978,7766,10978,8159,8002,8159,8002,776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846"/>
        <w:gridCol w:w="956"/>
        <w:gridCol w:w="1315"/>
        <w:gridCol w:w="2228"/>
        <w:gridCol w:w="3032"/>
      </w:tblGrid>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广发基金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毕盛（上海）投资咨询公司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中信证券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国金证券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华夏基金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49" w:right="26" w:hanging="720"/>
              <w:jc w:val="left"/>
              <w:rPr>
                <w:rFonts w:ascii="宋体" w:hAnsi="宋体" w:cs="宋体" w:eastAsia="宋体" w:hint="default"/>
                <w:sz w:val="18"/>
                <w:szCs w:val="18"/>
              </w:rPr>
            </w:pPr>
            <w:r>
              <w:rPr>
                <w:rFonts w:ascii="宋体" w:hAnsi="宋体" w:cs="宋体" w:eastAsia="宋体" w:hint="default"/>
                <w:sz w:val="18"/>
                <w:szCs w:val="18"/>
              </w:rPr>
              <w:t>广发证券、中银国际证券、 德邦证券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75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69" w:right="206" w:hanging="360"/>
              <w:jc w:val="left"/>
              <w:rPr>
                <w:rFonts w:ascii="宋体" w:hAnsi="宋体" w:cs="宋体" w:eastAsia="宋体" w:hint="default"/>
                <w:sz w:val="18"/>
                <w:szCs w:val="18"/>
              </w:rPr>
            </w:pPr>
            <w:r>
              <w:rPr>
                <w:rFonts w:ascii="宋体" w:hAnsi="宋体" w:cs="宋体" w:eastAsia="宋体" w:hint="default"/>
                <w:sz w:val="18"/>
                <w:szCs w:val="18"/>
              </w:rPr>
              <w:t>华安基金、中国人寿、 中银国际证券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75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3" w:right="32" w:firstLine="276"/>
              <w:jc w:val="left"/>
              <w:rPr>
                <w:rFonts w:ascii="宋体" w:hAnsi="宋体" w:cs="宋体" w:eastAsia="宋体" w:hint="default"/>
                <w:sz w:val="18"/>
                <w:szCs w:val="18"/>
              </w:rPr>
            </w:pPr>
            <w:r>
              <w:rPr>
                <w:rFonts w:ascii="宋体" w:hAnsi="宋体" w:cs="宋体" w:eastAsia="宋体" w:hint="default"/>
                <w:sz w:val="18"/>
                <w:szCs w:val="18"/>
              </w:rPr>
              <w:t>毕盛资产管理公司、 毕盛（上海）投资咨询公司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2" w:right="22"/>
              <w:jc w:val="left"/>
              <w:rPr>
                <w:rFonts w:ascii="宋体" w:hAnsi="宋体" w:cs="宋体" w:eastAsia="宋体" w:hint="default"/>
                <w:sz w:val="18"/>
                <w:szCs w:val="18"/>
              </w:rPr>
            </w:pPr>
            <w:r>
              <w:rPr>
                <w:rFonts w:ascii="宋体" w:hAnsi="宋体" w:cs="宋体" w:eastAsia="宋体" w:hint="default"/>
                <w:spacing w:val="-5"/>
                <w:sz w:val="18"/>
                <w:szCs w:val="18"/>
              </w:rPr>
              <w:t>参观公司展厅及生产线、了解公司日常</w:t>
            </w:r>
            <w:r>
              <w:rPr>
                <w:rFonts w:ascii="宋体" w:hAnsi="宋体" w:cs="宋体" w:eastAsia="宋体" w:hint="default"/>
                <w:sz w:val="18"/>
                <w:szCs w:val="18"/>
              </w:rPr>
              <w:t> 经营情况</w:t>
            </w:r>
          </w:p>
        </w:tc>
      </w:tr>
      <w:tr>
        <w:trPr>
          <w:trHeight w:val="75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749" w:right="206" w:hanging="540"/>
              <w:jc w:val="left"/>
              <w:rPr>
                <w:rFonts w:ascii="宋体" w:hAnsi="宋体" w:cs="宋体" w:eastAsia="宋体" w:hint="default"/>
                <w:sz w:val="18"/>
                <w:szCs w:val="18"/>
              </w:rPr>
            </w:pPr>
            <w:r>
              <w:rPr>
                <w:rFonts w:ascii="宋体" w:hAnsi="宋体" w:cs="宋体" w:eastAsia="宋体" w:hint="default"/>
                <w:sz w:val="18"/>
                <w:szCs w:val="18"/>
              </w:rPr>
              <w:t>兴业证券、安信证券、 广发基金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75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749" w:right="296" w:hanging="450"/>
              <w:jc w:val="left"/>
              <w:rPr>
                <w:rFonts w:ascii="宋体" w:hAnsi="宋体" w:cs="宋体" w:eastAsia="宋体" w:hint="default"/>
                <w:sz w:val="18"/>
                <w:szCs w:val="18"/>
              </w:rPr>
            </w:pPr>
            <w:r>
              <w:rPr>
                <w:rFonts w:ascii="宋体" w:hAnsi="宋体" w:cs="宋体" w:eastAsia="宋体" w:hint="default"/>
                <w:sz w:val="18"/>
                <w:szCs w:val="18"/>
              </w:rPr>
              <w:t>国海富兰克林基金、 国海证券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华安基金、鹏华基金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75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09" w:right="110" w:hanging="186"/>
              <w:jc w:val="left"/>
              <w:rPr>
                <w:rFonts w:ascii="宋体" w:hAnsi="宋体" w:cs="宋体" w:eastAsia="宋体" w:hint="default"/>
                <w:sz w:val="18"/>
                <w:szCs w:val="18"/>
              </w:rPr>
            </w:pPr>
            <w:r>
              <w:rPr>
                <w:rFonts w:ascii="宋体" w:hAnsi="宋体" w:cs="宋体" w:eastAsia="宋体" w:hint="default"/>
                <w:spacing w:val="-7"/>
                <w:sz w:val="18"/>
                <w:szCs w:val="18"/>
              </w:rPr>
              <w:t>首域投资（香港）有限公司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美林（亚太）有限公司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110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9" w:right="26"/>
              <w:jc w:val="center"/>
              <w:rPr>
                <w:rFonts w:ascii="宋体" w:hAnsi="宋体" w:cs="宋体" w:eastAsia="宋体" w:hint="default"/>
                <w:sz w:val="18"/>
                <w:szCs w:val="18"/>
              </w:rPr>
            </w:pPr>
            <w:r>
              <w:rPr>
                <w:rFonts w:ascii="宋体" w:hAnsi="宋体" w:cs="宋体" w:eastAsia="宋体" w:hint="default"/>
                <w:sz w:val="18"/>
                <w:szCs w:val="18"/>
              </w:rPr>
              <w:t>广证恒生、华夏基金、 太平养老保险、南方基金、 中信证券、第一创业证券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光大证券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瑞银证券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博时基金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银河基金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r>
        <w:trPr>
          <w:trHeight w:val="403"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广发基金</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参观公司展厅</w:t>
            </w:r>
            <w:r>
              <w:rPr>
                <w:rFonts w:ascii="宋体" w:hAnsi="宋体" w:cs="宋体" w:eastAsia="宋体" w:hint="default"/>
                <w:spacing w:val="-84"/>
                <w:sz w:val="18"/>
                <w:szCs w:val="18"/>
              </w:rPr>
              <w:t>、</w:t>
            </w:r>
            <w:r>
              <w:rPr>
                <w:rFonts w:ascii="宋体" w:hAnsi="宋体" w:cs="宋体" w:eastAsia="宋体" w:hint="default"/>
                <w:sz w:val="18"/>
                <w:szCs w:val="18"/>
              </w:rPr>
              <w:t>了解公司日常经营情况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before="1"/>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5"/>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60" w:lineRule="auto"/>
        <w:ind w:left="153" w:right="6891"/>
        <w:jc w:val="left"/>
      </w:pPr>
      <w:r>
        <w:rPr/>
        <w:t>□ 适用 √ 不适用 本年度公司无重大诉讼、仲裁事项。</w:t>
      </w:r>
    </w:p>
    <w:p>
      <w:pPr>
        <w:spacing w:line="240" w:lineRule="auto" w:before="3"/>
        <w:rPr>
          <w:rFonts w:ascii="宋体" w:hAnsi="宋体" w:cs="宋体" w:eastAsia="宋体" w:hint="default"/>
          <w:sz w:val="17"/>
          <w:szCs w:val="17"/>
        </w:rPr>
      </w:pPr>
    </w:p>
    <w:p>
      <w:pPr>
        <w:pStyle w:val="BodyText"/>
        <w:spacing w:line="240" w:lineRule="auto"/>
        <w:ind w:left="153" w:right="0"/>
        <w:jc w:val="left"/>
      </w:pPr>
      <w:r>
        <w:rPr/>
        <w:t>媒体质疑情况</w:t>
      </w:r>
    </w:p>
    <w:p>
      <w:pPr>
        <w:pStyle w:val="BodyText"/>
        <w:spacing w:line="357" w:lineRule="auto" w:before="117"/>
        <w:ind w:left="153" w:right="7431"/>
        <w:jc w:val="left"/>
      </w:pPr>
      <w:r>
        <w:rPr/>
        <w:t>□ 适用 √ 不适用 本年度公司无媒体质疑事项。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4"/>
        <w:gridCol w:w="970"/>
        <w:gridCol w:w="945"/>
        <w:gridCol w:w="740"/>
        <w:gridCol w:w="1187"/>
        <w:gridCol w:w="1153"/>
        <w:gridCol w:w="760"/>
        <w:gridCol w:w="956"/>
        <w:gridCol w:w="957"/>
        <w:gridCol w:w="957"/>
      </w:tblGrid>
      <w:tr>
        <w:trPr>
          <w:trHeight w:val="162" w:hRule="exact"/>
        </w:trPr>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91" w:right="1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945" w:type="dxa"/>
            <w:tcBorders>
              <w:top w:val="single" w:sz="4" w:space="0" w:color="000000"/>
              <w:left w:val="single" w:sz="4" w:space="0" w:color="000000"/>
              <w:bottom w:val="nil" w:sz="6" w:space="0" w:color="auto"/>
              <w:right w:val="single" w:sz="4" w:space="0" w:color="000000"/>
            </w:tcBorders>
            <w:shd w:val="clear" w:color="auto" w:fill="D3D3D3"/>
          </w:tcPr>
          <w:p>
            <w:pPr/>
          </w:p>
        </w:tc>
        <w:tc>
          <w:tcPr>
            <w:tcW w:w="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77"/>
              <w:ind w:left="35" w:right="-26"/>
              <w:jc w:val="left"/>
              <w:rPr>
                <w:rFonts w:ascii="宋体" w:hAnsi="宋体" w:cs="宋体" w:eastAsia="宋体" w:hint="default"/>
                <w:sz w:val="18"/>
                <w:szCs w:val="18"/>
              </w:rPr>
            </w:pPr>
            <w:r>
              <w:rPr>
                <w:rFonts w:ascii="宋体" w:hAnsi="宋体" w:cs="宋体" w:eastAsia="宋体" w:hint="default"/>
                <w:sz w:val="18"/>
                <w:szCs w:val="18"/>
              </w:rPr>
              <w:t>（万元）</w:t>
            </w:r>
          </w:p>
        </w:tc>
        <w:tc>
          <w:tcPr>
            <w:tcW w:w="118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47" w:firstLine="25"/>
              <w:jc w:val="left"/>
              <w:rPr>
                <w:rFonts w:ascii="宋体" w:hAnsi="宋体" w:cs="宋体" w:eastAsia="宋体" w:hint="default"/>
                <w:sz w:val="18"/>
                <w:szCs w:val="18"/>
              </w:rPr>
            </w:pPr>
            <w:r>
              <w:rPr>
                <w:rFonts w:ascii="宋体" w:hAnsi="宋体" w:cs="宋体" w:eastAsia="宋体" w:hint="default"/>
                <w:sz w:val="18"/>
                <w:szCs w:val="18"/>
              </w:rPr>
              <w:t>报告期新增占 </w:t>
            </w:r>
            <w:r>
              <w:rPr>
                <w:rFonts w:ascii="宋体" w:hAnsi="宋体" w:cs="宋体" w:eastAsia="宋体" w:hint="default"/>
                <w:spacing w:val="-7"/>
                <w:sz w:val="18"/>
                <w:szCs w:val="18"/>
              </w:rPr>
              <w:t>用金额（万元</w:t>
            </w:r>
          </w:p>
        </w:tc>
        <w:tc>
          <w:tcPr>
            <w:tcW w:w="11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报告期偿还总</w:t>
            </w:r>
          </w:p>
          <w:p>
            <w:pPr>
              <w:pStyle w:val="TableParagraph"/>
              <w:spacing w:line="240" w:lineRule="auto" w:before="77"/>
              <w:ind w:left="-98" w:right="29"/>
              <w:jc w:val="center"/>
              <w:rPr>
                <w:rFonts w:ascii="宋体" w:hAnsi="宋体" w:cs="宋体" w:eastAsia="宋体" w:hint="default"/>
                <w:sz w:val="18"/>
                <w:szCs w:val="18"/>
              </w:rPr>
            </w:pPr>
            <w:r>
              <w:rPr>
                <w:rFonts w:ascii="宋体" w:hAnsi="宋体" w:cs="宋体" w:eastAsia="宋体" w:hint="default"/>
                <w:spacing w:val="-8"/>
                <w:sz w:val="18"/>
                <w:szCs w:val="18"/>
              </w:rPr>
              <w:t>）金额（万元）</w:t>
            </w:r>
          </w:p>
        </w:tc>
        <w:tc>
          <w:tcPr>
            <w:tcW w:w="7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83"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2" w:hRule="exact"/>
        </w:trPr>
        <w:tc>
          <w:tcPr>
            <w:tcW w:w="934" w:type="dxa"/>
            <w:vMerge/>
            <w:tcBorders>
              <w:left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740" w:type="dxa"/>
            <w:vMerge/>
            <w:tcBorders>
              <w:left w:val="single" w:sz="4" w:space="0" w:color="000000"/>
              <w:right w:val="single" w:sz="4" w:space="0" w:color="000000"/>
            </w:tcBorders>
            <w:shd w:val="clear" w:color="auto" w:fill="D3D3D3"/>
          </w:tcPr>
          <w:p>
            <w:pPr/>
          </w:p>
        </w:tc>
        <w:tc>
          <w:tcPr>
            <w:tcW w:w="1187" w:type="dxa"/>
            <w:vMerge/>
            <w:tcBorders>
              <w:left w:val="single" w:sz="4" w:space="0" w:color="000000"/>
              <w:right w:val="single" w:sz="4" w:space="0" w:color="000000"/>
            </w:tcBorders>
            <w:shd w:val="clear" w:color="auto" w:fill="D3D3D3"/>
          </w:tcPr>
          <w:p>
            <w:pPr/>
          </w:p>
        </w:tc>
        <w:tc>
          <w:tcPr>
            <w:tcW w:w="1153" w:type="dxa"/>
            <w:vMerge/>
            <w:tcBorders>
              <w:left w:val="single" w:sz="4" w:space="0" w:color="000000"/>
              <w:right w:val="single" w:sz="4" w:space="0" w:color="000000"/>
            </w:tcBorders>
            <w:shd w:val="clear" w:color="auto" w:fill="D3D3D3"/>
          </w:tcPr>
          <w:p>
            <w:pPr/>
          </w:p>
        </w:tc>
        <w:tc>
          <w:tcPr>
            <w:tcW w:w="760"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r>
      <w:tr>
        <w:trPr>
          <w:trHeight w:val="160" w:hRule="exact"/>
        </w:trPr>
        <w:tc>
          <w:tcPr>
            <w:tcW w:w="934" w:type="dxa"/>
            <w:vMerge/>
            <w:tcBorders>
              <w:left w:val="single" w:sz="4" w:space="0" w:color="000000"/>
              <w:bottom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945" w:type="dxa"/>
            <w:tcBorders>
              <w:top w:val="nil" w:sz="6" w:space="0" w:color="auto"/>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1187" w:type="dxa"/>
            <w:vMerge/>
            <w:tcBorders>
              <w:left w:val="single" w:sz="4" w:space="0" w:color="000000"/>
              <w:bottom w:val="single" w:sz="4" w:space="0" w:color="000000"/>
              <w:right w:val="single" w:sz="4" w:space="0" w:color="000000"/>
            </w:tcBorders>
            <w:shd w:val="clear" w:color="auto" w:fill="D3D3D3"/>
          </w:tcPr>
          <w:p>
            <w:pPr/>
          </w:p>
        </w:tc>
        <w:tc>
          <w:tcPr>
            <w:tcW w:w="1153" w:type="dxa"/>
            <w:vMerge/>
            <w:tcBorders>
              <w:left w:val="single" w:sz="4" w:space="0" w:color="000000"/>
              <w:bottom w:val="single" w:sz="4" w:space="0" w:color="000000"/>
              <w:right w:val="single" w:sz="4" w:space="0" w:color="000000"/>
            </w:tcBorders>
            <w:shd w:val="clear" w:color="auto" w:fill="D3D3D3"/>
          </w:tcPr>
          <w:p>
            <w:pPr/>
          </w:p>
        </w:tc>
        <w:tc>
          <w:tcPr>
            <w:tcW w:w="760"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302" w:lineRule="auto" w:before="51"/>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日刊载于巨潮资讯网</w:t>
            </w:r>
            <w:r>
              <w:rPr>
                <w:rFonts w:ascii="宋体" w:hAnsi="宋体" w:cs="宋体" w:eastAsia="宋体" w:hint="default"/>
                <w:spacing w:val="-49"/>
                <w:sz w:val="18"/>
                <w:szCs w:val="18"/>
              </w:rPr>
              <w:t>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上的公告名称《关于对 </w:t>
            </w:r>
            <w:r>
              <w:rPr>
                <w:rFonts w:ascii="宋体" w:hAnsi="宋体" w:cs="宋体" w:eastAsia="宋体" w:hint="default"/>
                <w:spacing w:val="-4"/>
                <w:sz w:val="18"/>
                <w:szCs w:val="18"/>
              </w:rPr>
              <w:t>公司控股股东及其他关联方占用资金情况的专项审计说明》。</w:t>
            </w:r>
          </w:p>
        </w:tc>
      </w:tr>
    </w:tbl>
    <w:p>
      <w:pPr>
        <w:spacing w:line="240" w:lineRule="auto" w:before="0"/>
        <w:rPr>
          <w:rFonts w:ascii="宋体" w:hAnsi="宋体" w:cs="宋体" w:eastAsia="宋体" w:hint="default"/>
          <w:b/>
          <w:bCs/>
          <w:sz w:val="25"/>
          <w:szCs w:val="25"/>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报告期内，公司未发生破产重整相关事项。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□适用√不适用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□适用√不适用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□适用√不适用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354" w:right="0"/>
        <w:jc w:val="left"/>
        <w:rPr>
          <w:b w:val="0"/>
          <w:bCs w:val="0"/>
        </w:rPr>
      </w:pP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54" w:right="0"/>
        <w:jc w:val="left"/>
      </w:pPr>
      <w:r>
        <w:rPr/>
        <w:t>□适用√不适用</w:t>
      </w:r>
    </w:p>
    <w:p>
      <w:pPr>
        <w:spacing w:line="240" w:lineRule="auto" w:before="2"/>
        <w:rPr>
          <w:rFonts w:ascii="宋体" w:hAnsi="宋体" w:cs="宋体" w:eastAsia="宋体" w:hint="default"/>
          <w:sz w:val="25"/>
          <w:szCs w:val="25"/>
        </w:rPr>
      </w:pPr>
    </w:p>
    <w:p>
      <w:pPr>
        <w:pStyle w:val="Heading2"/>
        <w:spacing w:line="240" w:lineRule="auto"/>
        <w:ind w:left="354"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54"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769"/>
        <w:gridCol w:w="1080"/>
        <w:gridCol w:w="720"/>
        <w:gridCol w:w="720"/>
        <w:gridCol w:w="264"/>
        <w:gridCol w:w="456"/>
        <w:gridCol w:w="720"/>
        <w:gridCol w:w="900"/>
        <w:gridCol w:w="900"/>
        <w:gridCol w:w="720"/>
        <w:gridCol w:w="432"/>
        <w:gridCol w:w="672"/>
        <w:gridCol w:w="1771"/>
      </w:tblGrid>
      <w:tr>
        <w:trPr>
          <w:trHeight w:val="1654" w:hRule="exact"/>
        </w:trPr>
        <w:tc>
          <w:tcPr>
            <w:tcW w:w="76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93" w:right="10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10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72" w:right="170"/>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72" w:right="170"/>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20" w:type="dxa"/>
            <w:gridSpan w:val="2"/>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1"/>
              <w:ind w:left="172" w:right="170"/>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7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7"/>
              <w:ind w:left="172" w:right="17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172" w:right="17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72"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1"/>
              <w:ind w:left="172" w:right="170"/>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1"/>
              <w:ind w:left="118" w:right="116"/>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67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47" w:right="14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77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4" w:hRule="exact"/>
        </w:trPr>
        <w:tc>
          <w:tcPr>
            <w:tcW w:w="7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海格</w:t>
            </w:r>
          </w:p>
          <w:p>
            <w:pPr>
              <w:pStyle w:val="TableParagraph"/>
              <w:spacing w:line="240" w:lineRule="auto" w:before="117"/>
              <w:ind w:left="193" w:right="0"/>
              <w:jc w:val="left"/>
              <w:rPr>
                <w:rFonts w:ascii="宋体" w:hAnsi="宋体" w:cs="宋体" w:eastAsia="宋体" w:hint="default"/>
                <w:sz w:val="18"/>
                <w:szCs w:val="18"/>
              </w:rPr>
            </w:pPr>
            <w:r>
              <w:rPr>
                <w:rFonts w:ascii="宋体" w:hAnsi="宋体" w:cs="宋体" w:eastAsia="宋体" w:hint="default"/>
                <w:sz w:val="18"/>
                <w:szCs w:val="18"/>
              </w:rPr>
              <w:t>机械</w:t>
            </w:r>
          </w:p>
        </w:tc>
        <w:tc>
          <w:tcPr>
            <w:tcW w:w="1080" w:type="dxa"/>
            <w:tcBorders>
              <w:top w:val="single" w:sz="6" w:space="0" w:color="000000"/>
              <w:left w:val="single" w:sz="6" w:space="0" w:color="000000"/>
              <w:bottom w:val="nil" w:sz="6" w:space="0" w:color="auto"/>
              <w:right w:val="single" w:sz="6" w:space="0" w:color="000000"/>
            </w:tcBorders>
          </w:tcPr>
          <w:p>
            <w:pPr>
              <w:pStyle w:val="TableParagraph"/>
              <w:spacing w:line="319" w:lineRule="auto" w:before="52"/>
              <w:ind w:left="100" w:right="50"/>
              <w:jc w:val="left"/>
              <w:rPr>
                <w:rFonts w:ascii="宋体" w:hAnsi="宋体" w:cs="宋体" w:eastAsia="宋体" w:hint="default"/>
                <w:sz w:val="18"/>
                <w:szCs w:val="18"/>
              </w:rPr>
            </w:pPr>
            <w:r>
              <w:rPr>
                <w:rFonts w:ascii="宋体" w:hAnsi="宋体" w:cs="宋体" w:eastAsia="宋体" w:hint="default"/>
                <w:spacing w:val="36"/>
                <w:sz w:val="18"/>
                <w:szCs w:val="18"/>
              </w:rPr>
              <w:t>同一最终</w:t>
            </w:r>
            <w:r>
              <w:rPr>
                <w:rFonts w:ascii="宋体" w:hAnsi="宋体" w:cs="宋体" w:eastAsia="宋体" w:hint="default"/>
                <w:spacing w:val="-42"/>
                <w:sz w:val="18"/>
                <w:szCs w:val="18"/>
              </w:rPr>
              <w:t> </w:t>
            </w:r>
            <w:r>
              <w:rPr>
                <w:rFonts w:ascii="宋体" w:hAnsi="宋体" w:cs="宋体" w:eastAsia="宋体" w:hint="default"/>
                <w:sz w:val="18"/>
                <w:szCs w:val="18"/>
              </w:rPr>
              <w:t>母公司</w:t>
            </w:r>
          </w:p>
        </w:tc>
        <w:tc>
          <w:tcPr>
            <w:tcW w:w="7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720" w:type="dxa"/>
            <w:gridSpan w:val="2"/>
            <w:tcBorders>
              <w:top w:val="single" w:sz="6" w:space="0" w:color="000000"/>
              <w:left w:val="single" w:sz="6" w:space="0" w:color="000000"/>
              <w:bottom w:val="nil" w:sz="6" w:space="0" w:color="auto"/>
              <w:right w:val="single" w:sz="6" w:space="0" w:color="000000"/>
            </w:tcBorders>
          </w:tcPr>
          <w:p>
            <w:pPr>
              <w:pStyle w:val="TableParagraph"/>
              <w:spacing w:line="316" w:lineRule="auto" w:before="11"/>
              <w:ind w:left="172" w:right="170"/>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7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3,603.94</w:t>
            </w:r>
          </w:p>
        </w:tc>
        <w:tc>
          <w:tcPr>
            <w:tcW w:w="9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3.48%</w:t>
            </w:r>
          </w:p>
        </w:tc>
        <w:tc>
          <w:tcPr>
            <w:tcW w:w="720" w:type="dxa"/>
            <w:tcBorders>
              <w:top w:val="single" w:sz="6" w:space="0" w:color="000000"/>
              <w:left w:val="single" w:sz="6" w:space="0" w:color="000000"/>
              <w:bottom w:val="nil" w:sz="6" w:space="0" w:color="auto"/>
              <w:right w:val="single" w:sz="6" w:space="0" w:color="000000"/>
            </w:tcBorders>
          </w:tcPr>
          <w:p>
            <w:pPr>
              <w:pStyle w:val="TableParagraph"/>
              <w:spacing w:line="319" w:lineRule="auto" w:before="52"/>
              <w:ind w:left="172" w:right="170"/>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43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03</w:t>
            </w:r>
          </w:p>
        </w:tc>
        <w:tc>
          <w:tcPr>
            <w:tcW w:w="1771" w:type="dxa"/>
            <w:tcBorders>
              <w:top w:val="single" w:sz="6" w:space="0" w:color="000000"/>
              <w:left w:val="single" w:sz="6" w:space="0" w:color="000000"/>
              <w:bottom w:val="nil" w:sz="6" w:space="0" w:color="auto"/>
              <w:right w:val="single" w:sz="6" w:space="0" w:color="000000"/>
            </w:tcBorders>
          </w:tcPr>
          <w:p>
            <w:pPr>
              <w:pStyle w:val="TableParagraph"/>
              <w:spacing w:line="316" w:lineRule="auto" w:before="52"/>
              <w:ind w:left="100" w:right="-2"/>
              <w:jc w:val="left"/>
              <w:rPr>
                <w:rFonts w:ascii="宋体" w:hAnsi="宋体" w:cs="宋体" w:eastAsia="宋体" w:hint="default"/>
                <w:sz w:val="18"/>
                <w:szCs w:val="18"/>
              </w:rPr>
            </w:pPr>
            <w:r>
              <w:rPr>
                <w:rFonts w:ascii="宋体" w:hAnsi="宋体" w:cs="宋体" w:eastAsia="宋体" w:hint="default"/>
                <w:sz w:val="18"/>
                <w:szCs w:val="18"/>
              </w:rPr>
              <w:t>刊登在《证券时报》 </w:t>
            </w:r>
            <w:r>
              <w:rPr>
                <w:rFonts w:ascii="宋体" w:hAnsi="宋体" w:cs="宋体" w:eastAsia="宋体" w:hint="default"/>
                <w:spacing w:val="6"/>
                <w:sz w:val="18"/>
                <w:szCs w:val="18"/>
              </w:rPr>
              <w:t>及 巨 潮 </w:t>
            </w:r>
            <w:r>
              <w:rPr>
                <w:rFonts w:ascii="宋体" w:hAnsi="宋体" w:cs="宋体" w:eastAsia="宋体" w:hint="default"/>
                <w:sz w:val="18"/>
                <w:szCs w:val="18"/>
              </w:rPr>
              <w:t>资 </w:t>
            </w:r>
            <w:r>
              <w:rPr>
                <w:rFonts w:ascii="宋体" w:hAnsi="宋体" w:cs="宋体" w:eastAsia="宋体" w:hint="default"/>
                <w:spacing w:val="6"/>
                <w:sz w:val="18"/>
                <w:szCs w:val="18"/>
              </w:rPr>
              <w:t>讯</w:t>
            </w:r>
            <w:r>
              <w:rPr>
                <w:rFonts w:ascii="宋体" w:hAnsi="宋体" w:cs="宋体" w:eastAsia="宋体" w:hint="default"/>
                <w:spacing w:val="-12"/>
                <w:sz w:val="18"/>
                <w:szCs w:val="18"/>
              </w:rPr>
              <w:t> </w:t>
            </w:r>
            <w:r>
              <w:rPr>
                <w:rFonts w:ascii="宋体" w:hAnsi="宋体" w:cs="宋体" w:eastAsia="宋体" w:hint="default"/>
                <w:sz w:val="18"/>
                <w:szCs w:val="18"/>
              </w:rPr>
              <w:t>网</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66" w:hRule="exact"/>
        </w:trPr>
        <w:tc>
          <w:tcPr>
            <w:tcW w:w="769"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20" w:type="dxa"/>
            <w:gridSpan w:val="2"/>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432" w:type="dxa"/>
            <w:tcBorders>
              <w:top w:val="nil" w:sz="6" w:space="0" w:color="auto"/>
              <w:left w:val="single" w:sz="6" w:space="0" w:color="000000"/>
              <w:bottom w:val="single" w:sz="6" w:space="0" w:color="000000"/>
              <w:right w:val="single" w:sz="6" w:space="0" w:color="000000"/>
            </w:tcBorders>
          </w:tcPr>
          <w:p>
            <w:pPr/>
          </w:p>
        </w:tc>
        <w:tc>
          <w:tcPr>
            <w:tcW w:w="672" w:type="dxa"/>
            <w:vMerge w:val="restart"/>
            <w:tcBorders>
              <w:top w:val="nil" w:sz="6" w:space="0" w:color="auto"/>
              <w:left w:val="single" w:sz="6" w:space="0" w:color="000000"/>
              <w:right w:val="single" w:sz="6" w:space="0" w:color="000000"/>
            </w:tcBorders>
          </w:tcPr>
          <w:p>
            <w:pPr>
              <w:pStyle w:val="TableParagraph"/>
              <w:spacing w:line="239"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71" w:type="dxa"/>
            <w:vMerge w:val="restart"/>
            <w:tcBorders>
              <w:top w:val="nil" w:sz="6" w:space="0" w:color="auto"/>
              <w:left w:val="single" w:sz="6" w:space="0" w:color="000000"/>
              <w:right w:val="single" w:sz="6" w:space="0" w:color="000000"/>
            </w:tcBorders>
          </w:tcPr>
          <w:p>
            <w:pPr>
              <w:pStyle w:val="TableParagraph"/>
              <w:spacing w:line="300" w:lineRule="auto"/>
              <w:ind w:left="100" w:right="9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4"/>
                <w:sz w:val="18"/>
                <w:szCs w:val="18"/>
              </w:rPr>
              <w:t>com.cn</w:t>
            </w:r>
            <w:r>
              <w:rPr>
                <w:rFonts w:ascii="宋体" w:hAnsi="宋体" w:cs="宋体" w:eastAsia="宋体" w:hint="default"/>
                <w:spacing w:val="-4"/>
                <w:sz w:val="18"/>
                <w:szCs w:val="18"/>
              </w:rPr>
              <w:t>）上的《</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5"/>
                <w:sz w:val="18"/>
                <w:szCs w:val="18"/>
              </w:rPr>
              <w:t> </w:t>
            </w:r>
            <w:r>
              <w:rPr>
                <w:rFonts w:ascii="宋体" w:hAnsi="宋体" w:cs="宋体" w:eastAsia="宋体" w:hint="default"/>
                <w:spacing w:val="15"/>
                <w:sz w:val="18"/>
                <w:szCs w:val="18"/>
              </w:rPr>
              <w:t>年度日常关联交易</w:t>
            </w:r>
          </w:p>
        </w:tc>
      </w:tr>
      <w:tr>
        <w:trPr>
          <w:trHeight w:val="758" w:hRule="exact"/>
        </w:trPr>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2"/>
              <w:ind w:left="193" w:right="198"/>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100" w:right="50"/>
              <w:jc w:val="left"/>
              <w:rPr>
                <w:rFonts w:ascii="宋体" w:hAnsi="宋体" w:cs="宋体" w:eastAsia="宋体" w:hint="default"/>
                <w:sz w:val="18"/>
                <w:szCs w:val="18"/>
              </w:rPr>
            </w:pPr>
            <w:r>
              <w:rPr>
                <w:rFonts w:ascii="宋体" w:hAnsi="宋体" w:cs="宋体" w:eastAsia="宋体" w:hint="default"/>
                <w:spacing w:val="36"/>
                <w:sz w:val="18"/>
                <w:szCs w:val="18"/>
              </w:rPr>
              <w:t>同一最终</w:t>
            </w:r>
            <w:r>
              <w:rPr>
                <w:rFonts w:ascii="宋体" w:hAnsi="宋体" w:cs="宋体" w:eastAsia="宋体" w:hint="default"/>
                <w:spacing w:val="-42"/>
                <w:sz w:val="18"/>
                <w:szCs w:val="18"/>
              </w:rPr>
              <w:t> </w:t>
            </w:r>
            <w:r>
              <w:rPr>
                <w:rFonts w:ascii="宋体" w:hAnsi="宋体" w:cs="宋体" w:eastAsia="宋体" w:hint="default"/>
                <w:sz w:val="18"/>
                <w:szCs w:val="18"/>
              </w:rPr>
              <w:t>母公司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2" w:right="170"/>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2" w:right="170"/>
              <w:jc w:val="left"/>
              <w:rPr>
                <w:rFonts w:ascii="宋体" w:hAnsi="宋体" w:cs="宋体" w:eastAsia="宋体" w:hint="default"/>
                <w:sz w:val="18"/>
                <w:szCs w:val="18"/>
              </w:rPr>
            </w:pPr>
            <w:r>
              <w:rPr>
                <w:rFonts w:ascii="宋体" w:hAnsi="宋体" w:cs="宋体" w:eastAsia="宋体" w:hint="default"/>
                <w:sz w:val="18"/>
                <w:szCs w:val="18"/>
              </w:rPr>
              <w:t>软件 测试</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72" w:right="170"/>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172" w:right="170"/>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672" w:type="dxa"/>
            <w:vMerge/>
            <w:tcBorders>
              <w:left w:val="single" w:sz="6" w:space="0" w:color="000000"/>
              <w:right w:val="single" w:sz="6" w:space="0" w:color="000000"/>
            </w:tcBorders>
          </w:tcPr>
          <w:p>
            <w:pPr/>
          </w:p>
        </w:tc>
        <w:tc>
          <w:tcPr>
            <w:tcW w:w="1771" w:type="dxa"/>
            <w:vMerge/>
            <w:tcBorders>
              <w:left w:val="single" w:sz="6" w:space="0" w:color="000000"/>
              <w:right w:val="single" w:sz="6" w:space="0" w:color="000000"/>
            </w:tcBorders>
          </w:tcPr>
          <w:p>
            <w:pPr/>
          </w:p>
        </w:tc>
      </w:tr>
      <w:tr>
        <w:trPr>
          <w:trHeight w:val="70" w:hRule="exact"/>
        </w:trPr>
        <w:tc>
          <w:tcPr>
            <w:tcW w:w="769"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20" w:type="dxa"/>
            <w:gridSpan w:val="2"/>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432" w:type="dxa"/>
            <w:tcBorders>
              <w:top w:val="single" w:sz="6" w:space="0" w:color="000000"/>
              <w:left w:val="single" w:sz="6" w:space="0" w:color="000000"/>
              <w:bottom w:val="nil" w:sz="6" w:space="0" w:color="auto"/>
              <w:right w:val="single" w:sz="6" w:space="0" w:color="000000"/>
            </w:tcBorders>
          </w:tcPr>
          <w:p>
            <w:pPr/>
          </w:p>
        </w:tc>
        <w:tc>
          <w:tcPr>
            <w:tcW w:w="672" w:type="dxa"/>
            <w:vMerge/>
            <w:tcBorders>
              <w:left w:val="single" w:sz="6" w:space="0" w:color="000000"/>
              <w:bottom w:val="nil" w:sz="6" w:space="0" w:color="auto"/>
              <w:right w:val="single" w:sz="6" w:space="0" w:color="000000"/>
            </w:tcBorders>
          </w:tcPr>
          <w:p>
            <w:pPr/>
          </w:p>
        </w:tc>
        <w:tc>
          <w:tcPr>
            <w:tcW w:w="1771" w:type="dxa"/>
            <w:vMerge/>
            <w:tcBorders>
              <w:left w:val="single" w:sz="6" w:space="0" w:color="000000"/>
              <w:bottom w:val="nil" w:sz="6" w:space="0" w:color="auto"/>
              <w:right w:val="single" w:sz="6" w:space="0" w:color="000000"/>
            </w:tcBorders>
          </w:tcPr>
          <w:p>
            <w:pPr/>
          </w:p>
        </w:tc>
      </w:tr>
      <w:tr>
        <w:trPr>
          <w:trHeight w:val="692" w:hRule="exact"/>
        </w:trPr>
        <w:tc>
          <w:tcPr>
            <w:tcW w:w="769" w:type="dxa"/>
            <w:tcBorders>
              <w:top w:val="nil" w:sz="6" w:space="0" w:color="auto"/>
              <w:left w:val="single" w:sz="6" w:space="0" w:color="000000"/>
              <w:bottom w:val="single" w:sz="6" w:space="0" w:color="000000"/>
              <w:right w:val="single" w:sz="6" w:space="0" w:color="000000"/>
            </w:tcBorders>
          </w:tcPr>
          <w:p>
            <w:pPr>
              <w:pStyle w:val="TableParagraph"/>
              <w:spacing w:line="360" w:lineRule="auto"/>
              <w:ind w:left="193" w:right="198"/>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1080" w:type="dxa"/>
            <w:tcBorders>
              <w:top w:val="nil" w:sz="6" w:space="0" w:color="auto"/>
              <w:left w:val="single" w:sz="6" w:space="0" w:color="000000"/>
              <w:bottom w:val="single" w:sz="6" w:space="0" w:color="000000"/>
              <w:right w:val="single" w:sz="6" w:space="0" w:color="000000"/>
            </w:tcBorders>
          </w:tcPr>
          <w:p>
            <w:pPr>
              <w:pStyle w:val="TableParagraph"/>
              <w:spacing w:line="319" w:lineRule="auto" w:before="10"/>
              <w:ind w:left="100" w:right="50"/>
              <w:jc w:val="left"/>
              <w:rPr>
                <w:rFonts w:ascii="宋体" w:hAnsi="宋体" w:cs="宋体" w:eastAsia="宋体" w:hint="default"/>
                <w:sz w:val="18"/>
                <w:szCs w:val="18"/>
              </w:rPr>
            </w:pPr>
            <w:r>
              <w:rPr>
                <w:rFonts w:ascii="宋体" w:hAnsi="宋体" w:cs="宋体" w:eastAsia="宋体" w:hint="default"/>
                <w:spacing w:val="36"/>
                <w:sz w:val="18"/>
                <w:szCs w:val="18"/>
              </w:rPr>
              <w:t>同一最终</w:t>
            </w:r>
            <w:r>
              <w:rPr>
                <w:rFonts w:ascii="宋体" w:hAnsi="宋体" w:cs="宋体" w:eastAsia="宋体" w:hint="default"/>
                <w:spacing w:val="-42"/>
                <w:sz w:val="18"/>
                <w:szCs w:val="18"/>
              </w:rPr>
              <w:t> </w:t>
            </w:r>
            <w:r>
              <w:rPr>
                <w:rFonts w:ascii="宋体" w:hAnsi="宋体" w:cs="宋体" w:eastAsia="宋体" w:hint="default"/>
                <w:sz w:val="18"/>
                <w:szCs w:val="18"/>
              </w:rPr>
              <w:t>母公司</w:t>
            </w:r>
          </w:p>
        </w:tc>
        <w:tc>
          <w:tcPr>
            <w:tcW w:w="72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8"/>
              <w:ind w:left="172" w:right="170"/>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720"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8"/>
              <w:ind w:left="172" w:right="170"/>
              <w:jc w:val="left"/>
              <w:rPr>
                <w:rFonts w:ascii="宋体" w:hAnsi="宋体" w:cs="宋体" w:eastAsia="宋体" w:hint="default"/>
                <w:sz w:val="18"/>
                <w:szCs w:val="18"/>
              </w:rPr>
            </w:pPr>
            <w:r>
              <w:rPr>
                <w:rFonts w:ascii="宋体" w:hAnsi="宋体" w:cs="宋体" w:eastAsia="宋体" w:hint="default"/>
                <w:sz w:val="18"/>
                <w:szCs w:val="18"/>
              </w:rPr>
              <w:t>计量 检测</w:t>
            </w:r>
          </w:p>
        </w:tc>
        <w:tc>
          <w:tcPr>
            <w:tcW w:w="720" w:type="dxa"/>
            <w:gridSpan w:val="2"/>
            <w:tcBorders>
              <w:top w:val="nil" w:sz="6" w:space="0" w:color="auto"/>
              <w:left w:val="single" w:sz="6" w:space="0" w:color="000000"/>
              <w:bottom w:val="single" w:sz="6" w:space="0" w:color="000000"/>
              <w:right w:val="single" w:sz="6" w:space="0" w:color="000000"/>
            </w:tcBorders>
          </w:tcPr>
          <w:p>
            <w:pPr>
              <w:pStyle w:val="TableParagraph"/>
              <w:spacing w:line="319" w:lineRule="auto" w:before="10"/>
              <w:ind w:left="172" w:right="170"/>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7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15.11</w:t>
            </w:r>
          </w:p>
        </w:tc>
        <w:tc>
          <w:tcPr>
            <w:tcW w:w="9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33.01%</w:t>
            </w:r>
          </w:p>
        </w:tc>
        <w:tc>
          <w:tcPr>
            <w:tcW w:w="720" w:type="dxa"/>
            <w:tcBorders>
              <w:top w:val="nil" w:sz="6" w:space="0" w:color="auto"/>
              <w:left w:val="single" w:sz="6" w:space="0" w:color="000000"/>
              <w:bottom w:val="single" w:sz="6" w:space="0" w:color="000000"/>
              <w:right w:val="single" w:sz="6" w:space="0" w:color="000000"/>
            </w:tcBorders>
          </w:tcPr>
          <w:p>
            <w:pPr>
              <w:pStyle w:val="TableParagraph"/>
              <w:spacing w:line="319" w:lineRule="auto" w:before="10"/>
              <w:ind w:left="172" w:right="170"/>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43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6" w:space="0" w:color="000000"/>
              <w:bottom w:val="single" w:sz="6" w:space="0" w:color="000000"/>
              <w:right w:val="single" w:sz="6" w:space="0" w:color="000000"/>
            </w:tcBorders>
          </w:tcPr>
          <w:p>
            <w:pPr/>
          </w:p>
        </w:tc>
        <w:tc>
          <w:tcPr>
            <w:tcW w:w="1771" w:type="dxa"/>
            <w:tcBorders>
              <w:top w:val="nil" w:sz="6" w:space="0" w:color="auto"/>
              <w:left w:val="single" w:sz="6" w:space="0" w:color="000000"/>
              <w:bottom w:val="single" w:sz="6" w:space="0" w:color="000000"/>
              <w:right w:val="single" w:sz="6" w:space="0" w:color="000000"/>
            </w:tcBorders>
          </w:tcPr>
          <w:p>
            <w:pPr>
              <w:pStyle w:val="TableParagraph"/>
              <w:spacing w:line="319" w:lineRule="auto" w:before="31"/>
              <w:ind w:left="100" w:right="88"/>
              <w:jc w:val="left"/>
              <w:rPr>
                <w:rFonts w:ascii="宋体" w:hAnsi="宋体" w:cs="宋体" w:eastAsia="宋体" w:hint="default"/>
                <w:sz w:val="18"/>
                <w:szCs w:val="18"/>
              </w:rPr>
            </w:pPr>
            <w:r>
              <w:rPr>
                <w:rFonts w:ascii="宋体" w:hAnsi="宋体" w:cs="宋体" w:eastAsia="宋体" w:hint="default"/>
                <w:spacing w:val="-7"/>
                <w:sz w:val="18"/>
                <w:szCs w:val="18"/>
              </w:rPr>
              <w:t>预计公告》（公告编</w:t>
            </w:r>
            <w:r>
              <w:rPr>
                <w:rFonts w:ascii="宋体" w:hAnsi="宋体" w:cs="宋体" w:eastAsia="宋体" w:hint="default"/>
                <w:spacing w:val="3"/>
                <w:sz w:val="18"/>
                <w:szCs w:val="18"/>
              </w:rPr>
              <w:t> </w:t>
            </w:r>
            <w:r>
              <w:rPr>
                <w:rFonts w:ascii="宋体" w:hAnsi="宋体" w:cs="宋体" w:eastAsia="宋体" w:hint="default"/>
                <w:sz w:val="18"/>
                <w:szCs w:val="18"/>
              </w:rPr>
              <w:t>号：临</w:t>
            </w:r>
            <w:r>
              <w:rPr>
                <w:rFonts w:ascii="Times New Roman" w:hAnsi="Times New Roman" w:cs="Times New Roman" w:eastAsia="Times New Roman" w:hint="default"/>
                <w:sz w:val="18"/>
                <w:szCs w:val="18"/>
              </w:rPr>
              <w:t>2012-011</w:t>
            </w:r>
            <w:r>
              <w:rPr>
                <w:rFonts w:ascii="宋体" w:hAnsi="宋体" w:cs="宋体" w:eastAsia="宋体" w:hint="default"/>
                <w:sz w:val="18"/>
                <w:szCs w:val="18"/>
              </w:rPr>
              <w:t>）</w:t>
            </w:r>
          </w:p>
        </w:tc>
      </w:tr>
      <w:tr>
        <w:trPr>
          <w:trHeight w:val="407" w:hRule="exact"/>
        </w:trPr>
        <w:tc>
          <w:tcPr>
            <w:tcW w:w="328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3,621.18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553" w:type="dxa"/>
            <w:gridSpan w:val="5"/>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57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1" w:hRule="exact"/>
        </w:trPr>
        <w:tc>
          <w:tcPr>
            <w:tcW w:w="3553" w:type="dxa"/>
            <w:gridSpan w:val="5"/>
            <w:tcBorders>
              <w:top w:val="single" w:sz="6" w:space="0" w:color="000000"/>
              <w:left w:val="single" w:sz="6" w:space="0" w:color="000000"/>
              <w:bottom w:val="nil" w:sz="6" w:space="0" w:color="auto"/>
              <w:right w:val="single" w:sz="6"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pacing w:val="-5"/>
                <w:sz w:val="18"/>
                <w:szCs w:val="18"/>
              </w:rPr>
              <w:t>关联交易的必要性、持续性、选择与关联方</w:t>
            </w:r>
          </w:p>
        </w:tc>
        <w:tc>
          <w:tcPr>
            <w:tcW w:w="6571" w:type="dxa"/>
            <w:gridSpan w:val="8"/>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上述关联交易系本公司正常的生产经营所需，主要是向关联方采购生产所需原材</w:t>
            </w:r>
          </w:p>
        </w:tc>
      </w:tr>
      <w:tr>
        <w:trPr>
          <w:trHeight w:val="358" w:hRule="exact"/>
        </w:trPr>
        <w:tc>
          <w:tcPr>
            <w:tcW w:w="3553" w:type="dxa"/>
            <w:gridSpan w:val="5"/>
            <w:tcBorders>
              <w:top w:val="nil" w:sz="6" w:space="0" w:color="auto"/>
              <w:left w:val="single" w:sz="6" w:space="0" w:color="000000"/>
              <w:bottom w:val="single" w:sz="6" w:space="0" w:color="000000"/>
              <w:right w:val="single" w:sz="6" w:space="0" w:color="000000"/>
            </w:tcBorders>
            <w:shd w:val="clear" w:color="auto" w:fill="D3D3D3"/>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（而非市场其他交易方）进行交易的原因</w:t>
            </w:r>
          </w:p>
        </w:tc>
        <w:tc>
          <w:tcPr>
            <w:tcW w:w="6571" w:type="dxa"/>
            <w:gridSpan w:val="8"/>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料、接受劳务等；上述关联交易为持续的、经常性关联交易。</w:t>
            </w:r>
          </w:p>
        </w:tc>
      </w:tr>
      <w:tr>
        <w:trPr>
          <w:trHeight w:val="361" w:hRule="exact"/>
        </w:trPr>
        <w:tc>
          <w:tcPr>
            <w:tcW w:w="3553" w:type="dxa"/>
            <w:gridSpan w:val="5"/>
            <w:tcBorders>
              <w:top w:val="single" w:sz="6" w:space="0" w:color="000000"/>
              <w:left w:val="single" w:sz="6" w:space="0" w:color="000000"/>
              <w:bottom w:val="nil" w:sz="6" w:space="0" w:color="auto"/>
              <w:right w:val="single" w:sz="6" w:space="0" w:color="000000"/>
            </w:tcBorders>
            <w:shd w:val="clear" w:color="auto" w:fill="D3D3D3"/>
          </w:tcPr>
          <w:p>
            <w:pPr/>
          </w:p>
        </w:tc>
        <w:tc>
          <w:tcPr>
            <w:tcW w:w="6571" w:type="dxa"/>
            <w:gridSpan w:val="8"/>
            <w:tcBorders>
              <w:top w:val="single" w:sz="6" w:space="0" w:color="000000"/>
              <w:left w:val="single" w:sz="6" w:space="0" w:color="000000"/>
              <w:bottom w:val="nil" w:sz="6" w:space="0" w:color="auto"/>
              <w:right w:val="single" w:sz="6"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关联交易价格依据市场公允价格公平、合理确定，不存在损害公司和全体股东利</w:t>
            </w:r>
          </w:p>
        </w:tc>
      </w:tr>
      <w:tr>
        <w:trPr>
          <w:trHeight w:val="312" w:hRule="exact"/>
        </w:trPr>
        <w:tc>
          <w:tcPr>
            <w:tcW w:w="3553" w:type="dxa"/>
            <w:gridSpan w:val="5"/>
            <w:tcBorders>
              <w:top w:val="nil" w:sz="6" w:space="0" w:color="auto"/>
              <w:left w:val="single" w:sz="6" w:space="0" w:color="000000"/>
              <w:bottom w:val="nil" w:sz="6" w:space="0" w:color="auto"/>
              <w:right w:val="single" w:sz="6" w:space="0" w:color="000000"/>
            </w:tcBorders>
            <w:shd w:val="clear" w:color="auto" w:fill="D3D3D3"/>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571" w:type="dxa"/>
            <w:gridSpan w:val="8"/>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益的行为。公司与关联企业均为独立法人，独立经营，在资产、财务、人员等方</w:t>
            </w:r>
          </w:p>
        </w:tc>
      </w:tr>
      <w:tr>
        <w:trPr>
          <w:trHeight w:val="358" w:hRule="exact"/>
        </w:trPr>
        <w:tc>
          <w:tcPr>
            <w:tcW w:w="3553" w:type="dxa"/>
            <w:gridSpan w:val="5"/>
            <w:tcBorders>
              <w:top w:val="nil" w:sz="6" w:space="0" w:color="auto"/>
              <w:left w:val="single" w:sz="6" w:space="0" w:color="000000"/>
              <w:bottom w:val="single" w:sz="6" w:space="0" w:color="000000"/>
              <w:right w:val="single" w:sz="6" w:space="0" w:color="000000"/>
            </w:tcBorders>
            <w:shd w:val="clear" w:color="auto" w:fill="D3D3D3"/>
          </w:tcPr>
          <w:p>
            <w:pPr/>
          </w:p>
        </w:tc>
        <w:tc>
          <w:tcPr>
            <w:tcW w:w="6571" w:type="dxa"/>
            <w:gridSpan w:val="8"/>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面均独立，关联交易不会对公司的独立性产生不利影响。</w:t>
            </w:r>
          </w:p>
        </w:tc>
      </w:tr>
      <w:tr>
        <w:trPr>
          <w:trHeight w:val="640" w:hRule="exact"/>
        </w:trPr>
        <w:tc>
          <w:tcPr>
            <w:tcW w:w="3553" w:type="dxa"/>
            <w:gridSpan w:val="5"/>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1"/>
              <w:ind w:left="107" w:right="98"/>
              <w:jc w:val="left"/>
              <w:rPr>
                <w:rFonts w:ascii="宋体" w:hAnsi="宋体" w:cs="宋体" w:eastAsia="宋体" w:hint="default"/>
                <w:sz w:val="18"/>
                <w:szCs w:val="18"/>
              </w:rPr>
            </w:pPr>
            <w:r>
              <w:rPr>
                <w:rFonts w:ascii="宋体" w:hAnsi="宋体" w:cs="宋体" w:eastAsia="宋体" w:hint="default"/>
                <w:spacing w:val="-5"/>
                <w:sz w:val="18"/>
                <w:szCs w:val="18"/>
              </w:rPr>
              <w:t>公司对关联方的依赖程度，以及相关解决措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施（如有）</w:t>
            </w:r>
          </w:p>
        </w:tc>
        <w:tc>
          <w:tcPr>
            <w:tcW w:w="657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不存在对关联方的依赖</w:t>
            </w:r>
          </w:p>
        </w:tc>
      </w:tr>
      <w:tr>
        <w:trPr>
          <w:trHeight w:val="950" w:hRule="exact"/>
        </w:trPr>
        <w:tc>
          <w:tcPr>
            <w:tcW w:w="3553" w:type="dxa"/>
            <w:gridSpan w:val="5"/>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11"/>
              <w:ind w:left="107" w:right="96"/>
              <w:jc w:val="left"/>
              <w:rPr>
                <w:rFonts w:ascii="宋体" w:hAnsi="宋体" w:cs="宋体" w:eastAsia="宋体" w:hint="default"/>
                <w:sz w:val="18"/>
                <w:szCs w:val="18"/>
              </w:rPr>
            </w:pPr>
            <w:r>
              <w:rPr>
                <w:rFonts w:ascii="宋体" w:hAnsi="宋体" w:cs="宋体" w:eastAsia="宋体" w:hint="default"/>
                <w:spacing w:val="4"/>
                <w:sz w:val="18"/>
                <w:szCs w:val="18"/>
              </w:rPr>
              <w:t>按类别对本期将发生的日常关联交易进行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总金额预计的，在报告期内的实际履行情况</w:t>
            </w:r>
          </w:p>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57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00" w:lineRule="auto"/>
              <w:ind w:left="100" w:right="106"/>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年将发生的日常关联交易进行总金额预计，详见上述公告，实</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际执行情况列示于上表中，均在预计范围内。</w:t>
            </w:r>
          </w:p>
        </w:tc>
      </w:tr>
      <w:tr>
        <w:trPr>
          <w:trHeight w:val="326" w:hRule="exact"/>
        </w:trPr>
        <w:tc>
          <w:tcPr>
            <w:tcW w:w="3553" w:type="dxa"/>
            <w:gridSpan w:val="5"/>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57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b/>
          <w:bCs/>
          <w:sz w:val="19"/>
          <w:szCs w:val="19"/>
        </w:rPr>
      </w:pPr>
    </w:p>
    <w:p>
      <w:pPr>
        <w:spacing w:before="35"/>
        <w:ind w:left="3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354" w:right="0"/>
        <w:jc w:val="left"/>
      </w:pPr>
      <w:r>
        <w:rPr/>
        <w:t>公司报告期无资产收购、出售方式的关联交易情况。</w:t>
      </w:r>
    </w:p>
    <w:p>
      <w:pPr>
        <w:spacing w:line="240" w:lineRule="auto" w:before="12"/>
        <w:rPr>
          <w:rFonts w:ascii="宋体" w:hAnsi="宋体" w:cs="宋体" w:eastAsia="宋体" w:hint="default"/>
          <w:sz w:val="26"/>
          <w:szCs w:val="26"/>
        </w:rPr>
      </w:pPr>
    </w:p>
    <w:p>
      <w:pPr>
        <w:pStyle w:val="Heading3"/>
        <w:spacing w:line="240" w:lineRule="auto"/>
        <w:ind w:left="354"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54" w:right="0"/>
        <w:jc w:val="left"/>
      </w:pPr>
      <w:r>
        <w:rPr/>
        <w:t>公司报告期无共同对外投资的重大关联交易情况。</w:t>
      </w:r>
    </w:p>
    <w:p>
      <w:pPr>
        <w:spacing w:after="0" w:line="240" w:lineRule="auto"/>
        <w:jc w:val="left"/>
        <w:sectPr>
          <w:pgSz w:w="11910" w:h="16840"/>
          <w:pgMar w:header="747" w:footer="982" w:top="1060" w:bottom="1180" w:left="780" w:right="76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b w:val="0"/>
          <w:bCs w:val="0"/>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公司报告期无关联债权债务往来情况。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pStyle w:val="BodyText"/>
        <w:spacing w:line="430" w:lineRule="atLeast" w:before="152"/>
        <w:ind w:left="573" w:right="0" w:hanging="420"/>
        <w:jc w:val="left"/>
      </w:pPr>
      <w:r>
        <w:rPr/>
        <w:t>与广电集团和广电物业发生的场地租赁和物业管理费 报告期，公司全资子公司深圳银通及其子公司广州银通、控股子公司广州穗通部分生产经营用房继续向公司控股股东</w:t>
      </w:r>
    </w:p>
    <w:p>
      <w:pPr>
        <w:pStyle w:val="BodyText"/>
        <w:spacing w:line="316" w:lineRule="auto" w:before="76"/>
        <w:ind w:right="0"/>
        <w:jc w:val="left"/>
      </w:pPr>
      <w:r>
        <w:rPr>
          <w:spacing w:val="-2"/>
        </w:rPr>
        <w:t>广电集团租用，同时将从广电集团租赁而来的场地物业继续委托给广电集团参股公司广电物业及其子公司广州鑫广电物业服</w:t>
      </w:r>
      <w:r>
        <w:rPr>
          <w:spacing w:val="-64"/>
        </w:rPr>
        <w:t> </w:t>
      </w:r>
      <w:r>
        <w:rPr>
          <w:spacing w:val="-64"/>
        </w:rPr>
      </w:r>
      <w:r>
        <w:rPr/>
        <w:t>务有限公司进行管理；本公司将位于广州市萝岗区科学城科林路</w:t>
      </w:r>
      <w:r>
        <w:rPr>
          <w:rFonts w:ascii="Times New Roman" w:hAnsi="Times New Roman" w:cs="Times New Roman" w:eastAsia="Times New Roman" w:hint="default"/>
        </w:rPr>
        <w:t>9</w:t>
      </w:r>
      <w:r>
        <w:rPr/>
        <w:t>号广电运通产业园的物业委托给广电物业进行管理。</w:t>
      </w:r>
    </w:p>
    <w:p>
      <w:pPr>
        <w:pStyle w:val="BodyText"/>
        <w:spacing w:line="240" w:lineRule="auto" w:before="119"/>
        <w:ind w:left="573" w:right="0"/>
        <w:jc w:val="left"/>
      </w:pP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年度的租金情况列示如下：</w:t>
      </w:r>
    </w:p>
    <w:p>
      <w:pPr>
        <w:spacing w:line="240" w:lineRule="auto" w:before="13"/>
        <w:rPr>
          <w:rFonts w:ascii="宋体" w:hAnsi="宋体" w:cs="宋体" w:eastAsia="宋体" w:hint="default"/>
          <w:sz w:val="13"/>
          <w:szCs w:val="13"/>
        </w:rPr>
      </w:pPr>
    </w:p>
    <w:p>
      <w:pPr>
        <w:pStyle w:val="BodyText"/>
        <w:spacing w:line="240" w:lineRule="auto"/>
        <w:ind w:left="0" w:right="510"/>
        <w:jc w:val="right"/>
      </w:pPr>
      <w:r>
        <w:rPr/>
        <w:t>单位：元</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22"/>
        <w:gridCol w:w="1400"/>
        <w:gridCol w:w="1402"/>
        <w:gridCol w:w="1195"/>
        <w:gridCol w:w="1427"/>
        <w:gridCol w:w="1352"/>
      </w:tblGrid>
      <w:tr>
        <w:trPr>
          <w:trHeight w:val="653" w:hRule="exact"/>
        </w:trPr>
        <w:tc>
          <w:tcPr>
            <w:tcW w:w="27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512" w:right="332"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11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230" w:right="228" w:firstLine="90"/>
              <w:jc w:val="left"/>
              <w:rPr>
                <w:rFonts w:ascii="宋体" w:hAnsi="宋体" w:cs="宋体" w:eastAsia="宋体" w:hint="default"/>
                <w:sz w:val="18"/>
                <w:szCs w:val="18"/>
              </w:rPr>
            </w:pPr>
            <w:r>
              <w:rPr>
                <w:rFonts w:ascii="宋体" w:hAnsi="宋体" w:cs="宋体" w:eastAsia="宋体" w:hint="default"/>
                <w:sz w:val="18"/>
                <w:szCs w:val="18"/>
              </w:rPr>
              <w:t>租赁费 定价依据</w:t>
            </w:r>
          </w:p>
        </w:tc>
        <w:tc>
          <w:tcPr>
            <w:tcW w:w="1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6"/>
              <w:ind w:left="436" w:right="343"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 租赁费</w:t>
            </w:r>
          </w:p>
        </w:tc>
        <w:tc>
          <w:tcPr>
            <w:tcW w:w="1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16"/>
              <w:ind w:left="398" w:right="307"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 租赁费</w:t>
            </w:r>
          </w:p>
        </w:tc>
      </w:tr>
      <w:tr>
        <w:trPr>
          <w:trHeight w:val="34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深圳银通</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通讯大楼</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760,641.95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982,353.74</w:t>
            </w:r>
          </w:p>
        </w:tc>
      </w:tr>
      <w:tr>
        <w:trPr>
          <w:trHeight w:val="348"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广州穗通</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通讯大楼</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360,003.70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212,461.20</w:t>
            </w:r>
          </w:p>
        </w:tc>
      </w:tr>
      <w:tr>
        <w:trPr>
          <w:trHeight w:val="34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广州银通</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通讯大楼</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414,032.00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1,534,677.65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1,194,814.94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rFonts w:ascii="Times New Roman" w:hAnsi="Times New Roman" w:cs="Times New Roman" w:eastAsia="Times New Roman" w:hint="default"/>
        </w:rPr>
        <w:t>2011</w:t>
      </w:r>
      <w:r>
        <w:rPr/>
        <w:t>度、</w:t>
      </w:r>
      <w:r>
        <w:rPr>
          <w:rFonts w:ascii="Times New Roman" w:hAnsi="Times New Roman" w:cs="Times New Roman" w:eastAsia="Times New Roman" w:hint="default"/>
        </w:rPr>
        <w:t>2012</w:t>
      </w:r>
      <w:r>
        <w:rPr/>
        <w:t>年度的物业管理费情况列示如下：</w:t>
      </w:r>
    </w:p>
    <w:p>
      <w:pPr>
        <w:spacing w:line="240" w:lineRule="auto" w:before="8"/>
        <w:rPr>
          <w:rFonts w:ascii="宋体" w:hAnsi="宋体" w:cs="宋体" w:eastAsia="宋体" w:hint="default"/>
          <w:sz w:val="10"/>
          <w:szCs w:val="10"/>
        </w:rPr>
      </w:pPr>
    </w:p>
    <w:p>
      <w:pPr>
        <w:pStyle w:val="BodyText"/>
        <w:spacing w:line="240" w:lineRule="auto" w:before="44"/>
        <w:ind w:left="0" w:right="511"/>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47"/>
        <w:gridCol w:w="2102"/>
        <w:gridCol w:w="2057"/>
        <w:gridCol w:w="2057"/>
      </w:tblGrid>
      <w:tr>
        <w:trPr>
          <w:trHeight w:val="331" w:hRule="exact"/>
        </w:trPr>
        <w:tc>
          <w:tcPr>
            <w:tcW w:w="33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1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20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0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64" w:hRule="exact"/>
        </w:trPr>
        <w:tc>
          <w:tcPr>
            <w:tcW w:w="33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1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20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3,015,354.40</w:t>
            </w:r>
          </w:p>
        </w:tc>
        <w:tc>
          <w:tcPr>
            <w:tcW w:w="20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2,284,533.50</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648,633.69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526,979.08</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02"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3,663,988.09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2,811,512.58</w:t>
            </w:r>
          </w:p>
        </w:tc>
      </w:tr>
    </w:tbl>
    <w:p>
      <w:pPr>
        <w:spacing w:line="240" w:lineRule="auto" w:before="8"/>
        <w:rPr>
          <w:rFonts w:ascii="宋体" w:hAnsi="宋体" w:cs="宋体" w:eastAsia="宋体" w:hint="default"/>
          <w:sz w:val="6"/>
          <w:szCs w:val="6"/>
        </w:rPr>
      </w:pPr>
    </w:p>
    <w:p>
      <w:pPr>
        <w:pStyle w:val="BodyText"/>
        <w:spacing w:line="316" w:lineRule="auto" w:before="44"/>
        <w:ind w:right="146" w:firstLine="420"/>
        <w:jc w:val="both"/>
      </w:pPr>
      <w:r>
        <w:rPr/>
        <w:t>上述关联交易的定价是根据租赁房屋所在地的市场价格，双方在自愿、平等、协商一致的基础上确定的，价格公允合</w:t>
      </w:r>
      <w:r>
        <w:rPr>
          <w:spacing w:val="1"/>
        </w:rPr>
        <w:t> </w:t>
      </w:r>
      <w:r>
        <w:rPr>
          <w:spacing w:val="-2"/>
        </w:rPr>
        <w:t>理，没有损害非关联方股东的利益，有利于公司的正常生产、办公和长期稳定发展。对于上述关联交易，公司严格履行必要</w:t>
      </w:r>
      <w:r>
        <w:rPr>
          <w:spacing w:val="-66"/>
        </w:rPr>
        <w:t> </w:t>
      </w:r>
      <w:r>
        <w:rPr>
          <w:spacing w:val="-66"/>
        </w:rPr>
      </w:r>
      <w:r>
        <w:rPr/>
        <w:t>的决策程序和审批手续，符合《深圳证券交易所股票上市规则》、《公司章程》和《关联交易管理制度》的有关规定。</w:t>
      </w:r>
    </w:p>
    <w:p>
      <w:pPr>
        <w:pStyle w:val="BodyText"/>
        <w:spacing w:line="240" w:lineRule="auto" w:before="140"/>
        <w:ind w:right="0"/>
        <w:jc w:val="left"/>
      </w:pPr>
      <w:r>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第二届董事会第十二次会议决议公告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spacing w:line="506" w:lineRule="auto" w:before="26"/>
        <w:ind w:left="154" w:right="6350" w:firstLine="0"/>
        <w:jc w:val="left"/>
        <w:rPr>
          <w:rFonts w:ascii="宋体" w:hAnsi="宋体" w:cs="宋体" w:eastAsia="宋体" w:hint="default"/>
          <w:sz w:val="18"/>
          <w:szCs w:val="18"/>
        </w:rPr>
      </w:pPr>
      <w:r>
        <w:rPr>
          <w:rFonts w:ascii="宋体" w:hAnsi="宋体" w:cs="宋体" w:eastAsia="宋体" w:hint="default"/>
          <w:b/>
          <w:bCs/>
          <w:sz w:val="24"/>
          <w:szCs w:val="24"/>
        </w:rPr>
        <w:t>七、重大合同及其履行情况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spacing w:val="1"/>
          <w:w w:val="99"/>
          <w:sz w:val="21"/>
          <w:szCs w:val="21"/>
        </w:rPr>
        <w:t> </w:t>
      </w:r>
      <w:r>
        <w:rPr>
          <w:rFonts w:ascii="宋体" w:hAnsi="宋体" w:cs="宋体" w:eastAsia="宋体" w:hint="default"/>
          <w:sz w:val="18"/>
          <w:szCs w:val="18"/>
        </w:rPr>
        <w:t>本年度公司无托管、承包、租赁事项情况。</w:t>
      </w:r>
    </w:p>
    <w:p>
      <w:pPr>
        <w:spacing w:after="0" w:line="50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421"/>
        <w:jc w:val="right"/>
      </w:pPr>
      <w:r>
        <w:rPr/>
        <w:t>单位：万元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249"/>
        <w:gridCol w:w="1076"/>
        <w:gridCol w:w="1235"/>
        <w:gridCol w:w="1217"/>
        <w:gridCol w:w="972"/>
        <w:gridCol w:w="1280"/>
        <w:gridCol w:w="1031"/>
        <w:gridCol w:w="569"/>
        <w:gridCol w:w="1019"/>
      </w:tblGrid>
      <w:tr>
        <w:trPr>
          <w:trHeight w:val="402" w:hRule="exact"/>
        </w:trPr>
        <w:tc>
          <w:tcPr>
            <w:tcW w:w="96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1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7" w:right="15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7" w:right="32"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是否为关联 方担保（是 或否）</w:t>
            </w:r>
          </w:p>
        </w:tc>
      </w:tr>
      <w:tr>
        <w:trPr>
          <w:trHeight w:val="402" w:hRule="exact"/>
        </w:trPr>
        <w:tc>
          <w:tcPr>
            <w:tcW w:w="96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0"/>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1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4"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0" w:right="2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8"/>
              <w:jc w:val="right"/>
              <w:rPr>
                <w:rFonts w:ascii="宋体" w:hAnsi="宋体" w:cs="宋体" w:eastAsia="宋体" w:hint="default"/>
                <w:sz w:val="18"/>
                <w:szCs w:val="18"/>
              </w:rPr>
            </w:pPr>
            <w:r>
              <w:rPr>
                <w:rFonts w:ascii="宋体" w:hAnsi="宋体" w:cs="宋体" w:eastAsia="宋体" w:hint="default"/>
                <w:sz w:val="18"/>
                <w:szCs w:val="18"/>
              </w:rPr>
              <w:t>担保期</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 w:right="49"/>
              <w:jc w:val="center"/>
              <w:rPr>
                <w:rFonts w:ascii="宋体" w:hAnsi="宋体" w:cs="宋体" w:eastAsia="宋体" w:hint="default"/>
                <w:sz w:val="18"/>
                <w:szCs w:val="18"/>
              </w:rPr>
            </w:pPr>
            <w:r>
              <w:rPr>
                <w:rFonts w:ascii="宋体" w:hAnsi="宋体" w:cs="宋体" w:eastAsia="宋体" w:hint="default"/>
                <w:sz w:val="18"/>
                <w:szCs w:val="18"/>
              </w:rPr>
              <w:t>是否为关联 方担保（是 或否）</w:t>
            </w: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运通国际</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2012-3-29</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54"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运通国际</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2011-3-25</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2011-06-27</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2011.6.27-</w:t>
            </w:r>
          </w:p>
          <w:p>
            <w:pPr>
              <w:pStyle w:val="TableParagraph"/>
              <w:spacing w:line="240" w:lineRule="auto" w:before="144"/>
              <w:ind w:left="43" w:right="0"/>
              <w:jc w:val="left"/>
              <w:rPr>
                <w:rFonts w:ascii="Times New Roman" w:hAnsi="Times New Roman" w:cs="Times New Roman" w:eastAsia="Times New Roman" w:hint="default"/>
                <w:sz w:val="18"/>
                <w:szCs w:val="18"/>
              </w:rPr>
            </w:pPr>
            <w:r>
              <w:rPr>
                <w:rFonts w:ascii="Times New Roman"/>
                <w:sz w:val="18"/>
              </w:rPr>
              <w:t>2014.5.24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3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1"/>
              <w:jc w:val="left"/>
              <w:rPr>
                <w:rFonts w:ascii="宋体" w:hAnsi="宋体" w:cs="宋体" w:eastAsia="宋体" w:hint="default"/>
                <w:sz w:val="18"/>
                <w:szCs w:val="18"/>
              </w:rPr>
            </w:pPr>
            <w:r>
              <w:rPr>
                <w:rFonts w:ascii="宋体" w:hAnsi="宋体" w:cs="宋体" w:eastAsia="宋体" w:hint="default"/>
                <w:sz w:val="18"/>
                <w:szCs w:val="18"/>
              </w:rPr>
              <w:t>报告期内审批对子公司担保 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52"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2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1"/>
              <w:jc w:val="left"/>
              <w:rPr>
                <w:rFonts w:ascii="宋体" w:hAnsi="宋体" w:cs="宋体" w:eastAsia="宋体" w:hint="default"/>
                <w:sz w:val="18"/>
                <w:szCs w:val="18"/>
              </w:rPr>
            </w:pPr>
            <w:r>
              <w:rPr>
                <w:rFonts w:ascii="宋体" w:hAnsi="宋体" w:cs="宋体" w:eastAsia="宋体" w:hint="default"/>
                <w:sz w:val="18"/>
                <w:szCs w:val="18"/>
              </w:rPr>
              <w:t>报告期末已审批的对子公司 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52"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2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2" w:hRule="exact"/>
        </w:trPr>
        <w:tc>
          <w:tcPr>
            <w:tcW w:w="96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3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52"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2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1"/>
              <w:jc w:val="left"/>
              <w:rPr>
                <w:rFonts w:ascii="宋体" w:hAnsi="宋体" w:cs="宋体" w:eastAsia="宋体" w:hint="default"/>
                <w:sz w:val="18"/>
                <w:szCs w:val="18"/>
              </w:rPr>
            </w:pPr>
            <w:r>
              <w:rPr>
                <w:rFonts w:ascii="宋体" w:hAnsi="宋体" w:cs="宋体" w:eastAsia="宋体" w:hint="default"/>
                <w:sz w:val="18"/>
                <w:szCs w:val="18"/>
              </w:rPr>
              <w:t>报告期末已审批的担保额度 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52"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2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2" w:hRule="exact"/>
        </w:trPr>
        <w:tc>
          <w:tcPr>
            <w:tcW w:w="47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0"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96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702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2619"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pStyle w:val="BodyText"/>
        <w:spacing w:line="240" w:lineRule="auto" w:before="116"/>
        <w:ind w:left="153" w:right="0"/>
        <w:jc w:val="left"/>
      </w:pPr>
      <w:r>
        <w:rPr/>
        <w:t>□适用√不适用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r>
        <w:rPr/>
        <w:pict>
          <v:group style="position:absolute;margin-left:219.419998pt;margin-top:332.279999pt;width:195.2pt;height:33.25pt;mso-position-horizontal-relative:page;mso-position-vertical-relative:page;z-index:-1105816" coordorigin="4388,6646" coordsize="3904,665">
            <v:group style="position:absolute;left:4388;top:6646;width:3904;height:353" coordorigin="4388,6646" coordsize="3904,353">
              <v:shape style="position:absolute;left:4388;top:6646;width:3904;height:353" coordorigin="4388,6646" coordsize="3904,353" path="m4388,6998l8292,6998,8292,6646,4388,6646,4388,6998xe" filled="true" fillcolor="#ffffff" stroked="false">
                <v:path arrowok="t"/>
                <v:fill type="solid"/>
              </v:shape>
            </v:group>
            <v:group style="position:absolute;left:4388;top:6998;width:3904;height:312" coordorigin="4388,6998" coordsize="3904,312">
              <v:shape style="position:absolute;left:4388;top:6998;width:3904;height:312" coordorigin="4388,6998" coordsize="3904,312" path="m4388,7310l8292,7310,8292,6998,4388,6998,4388,7310xe" filled="true" fillcolor="#ffffff" stroked="false">
                <v:path arrowok="t"/>
                <v:fill type="solid"/>
              </v:shape>
            </v:group>
            <w10:wrap type="none"/>
          </v:group>
        </w:pict>
      </w:r>
    </w:p>
    <w:tbl>
      <w:tblPr>
        <w:tblW w:w="0" w:type="auto"/>
        <w:jc w:val="left"/>
        <w:tblInd w:w="30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338"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firstLine="46"/>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评估机构 名称（如</w:t>
            </w:r>
          </w:p>
          <w:p>
            <w:pPr>
              <w:pStyle w:val="TableParagraph"/>
              <w:spacing w:line="196" w:lineRule="exact" w:before="20"/>
              <w:ind w:right="1"/>
              <w:jc w:val="center"/>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7"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196" w:lineRule="exact"/>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广电运通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47,000.00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2"/>
        <w:rPr>
          <w:rFonts w:ascii="宋体" w:hAnsi="宋体" w:cs="宋体" w:eastAsia="宋体" w:hint="default"/>
          <w:b/>
          <w:bCs/>
          <w:sz w:val="18"/>
          <w:szCs w:val="18"/>
        </w:rPr>
      </w:pPr>
    </w:p>
    <w:p>
      <w:pPr>
        <w:spacing w:before="26"/>
        <w:ind w:left="314" w:right="0" w:firstLine="0"/>
        <w:jc w:val="left"/>
        <w:rPr>
          <w:rFonts w:ascii="宋体" w:hAnsi="宋体" w:cs="宋体" w:eastAsia="宋体" w:hint="default"/>
          <w:sz w:val="24"/>
          <w:szCs w:val="24"/>
        </w:rPr>
      </w:pP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3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2160"/>
        <w:gridCol w:w="1272"/>
        <w:gridCol w:w="3948"/>
        <w:gridCol w:w="900"/>
        <w:gridCol w:w="900"/>
        <w:gridCol w:w="846"/>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8"/>
              <w:ind w:left="23" w:right="14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27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25"/>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监事及高级管 </w:t>
            </w:r>
            <w:r>
              <w:rPr>
                <w:rFonts w:ascii="宋体" w:hAnsi="宋体" w:cs="宋体" w:eastAsia="宋体" w:hint="default"/>
                <w:spacing w:val="-22"/>
                <w:sz w:val="18"/>
                <w:szCs w:val="18"/>
              </w:rPr>
              <w:t>理人员；（</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司控股股东广</w:t>
            </w:r>
            <w:r>
              <w:rPr>
                <w:rFonts w:ascii="宋体" w:hAnsi="宋体" w:cs="宋体" w:eastAsia="宋体" w:hint="default"/>
                <w:sz w:val="18"/>
                <w:szCs w:val="18"/>
              </w:rPr>
              <w:t> 电集团和其他 三名发起人股 东梅州敬基实 </w:t>
            </w:r>
            <w:r>
              <w:rPr>
                <w:rFonts w:ascii="宋体" w:hAnsi="宋体" w:cs="宋体" w:eastAsia="宋体" w:hint="default"/>
                <w:spacing w:val="-9"/>
                <w:sz w:val="18"/>
                <w:szCs w:val="18"/>
              </w:rPr>
              <w:t>业有限公司、盈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富泰克创业投 </w:t>
            </w:r>
            <w:r>
              <w:rPr>
                <w:rFonts w:ascii="宋体" w:hAnsi="宋体" w:cs="宋体" w:eastAsia="宋体" w:hint="default"/>
                <w:spacing w:val="-9"/>
                <w:sz w:val="18"/>
                <w:szCs w:val="18"/>
              </w:rPr>
              <w:t>资有限公司、广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州藤川科技有 限公司。</w:t>
            </w:r>
          </w:p>
        </w:tc>
        <w:tc>
          <w:tcPr>
            <w:tcW w:w="3948" w:type="dxa"/>
            <w:tcBorders>
              <w:top w:val="single" w:sz="4" w:space="0" w:color="000000"/>
              <w:left w:val="single" w:sz="10" w:space="0" w:color="FFFFFF"/>
              <w:bottom w:val="single" w:sz="4" w:space="0" w:color="000000"/>
              <w:right w:val="single" w:sz="4" w:space="0" w:color="000000"/>
            </w:tcBorders>
          </w:tcPr>
          <w:p>
            <w:pPr>
              <w:pStyle w:val="TableParagraph"/>
              <w:spacing w:line="203" w:lineRule="exact" w:before="5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）担任公司董事、监事及高级管理人员承诺，</w:t>
            </w:r>
          </w:p>
          <w:p>
            <w:pPr>
              <w:pStyle w:val="TableParagraph"/>
              <w:spacing w:line="14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在其任职期间每年转让的股份不超过其所持有本</w:t>
            </w:r>
          </w:p>
          <w:p>
            <w:pPr>
              <w:pStyle w:val="TableParagraph"/>
              <w:spacing w:line="312" w:lineRule="auto" w:before="76"/>
              <w:ind w:left="4" w:right="19"/>
              <w:jc w:val="left"/>
              <w:rPr>
                <w:rFonts w:ascii="宋体" w:hAnsi="宋体" w:cs="宋体" w:eastAsia="宋体" w:hint="default"/>
                <w:sz w:val="18"/>
                <w:szCs w:val="18"/>
              </w:rPr>
            </w:pPr>
            <w:r>
              <w:rPr>
                <w:rFonts w:ascii="宋体" w:hAnsi="宋体" w:cs="宋体" w:eastAsia="宋体" w:hint="default"/>
                <w:sz w:val="18"/>
                <w:szCs w:val="18"/>
              </w:rPr>
              <w:t>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个月内，不转让其</w:t>
            </w:r>
            <w:r>
              <w:rPr>
                <w:rFonts w:ascii="宋体" w:hAnsi="宋体" w:cs="宋体" w:eastAsia="宋体" w:hint="default"/>
                <w:sz w:val="18"/>
                <w:szCs w:val="18"/>
              </w:rPr>
              <w:t> 所持有的本公司股份；离职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通过证券交易所挂牌交易出售本公司股票数量占 </w:t>
            </w:r>
            <w:r>
              <w:rPr>
                <w:rFonts w:ascii="宋体" w:hAnsi="宋体" w:cs="宋体" w:eastAsia="宋体" w:hint="default"/>
                <w:spacing w:val="-3"/>
                <w:sz w:val="18"/>
                <w:szCs w:val="18"/>
              </w:rPr>
              <w:t>其所持有本公司股票总数（包括有限售条件和无限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售条件的股份）的比例不超过</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50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）为避免</w:t>
            </w:r>
            <w:r>
              <w:rPr>
                <w:rFonts w:ascii="宋体" w:hAnsi="宋体" w:cs="宋体" w:eastAsia="宋体" w:hint="default"/>
                <w:sz w:val="18"/>
                <w:szCs w:val="18"/>
              </w:rPr>
              <w:t> </w:t>
            </w:r>
            <w:r>
              <w:rPr>
                <w:rFonts w:ascii="宋体" w:hAnsi="宋体" w:cs="宋体" w:eastAsia="宋体" w:hint="default"/>
                <w:spacing w:val="-3"/>
                <w:sz w:val="18"/>
                <w:szCs w:val="18"/>
              </w:rPr>
              <w:t>在以后的经营中产生同业竞争，公司控股股东广电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集团和其他三名发起人股东梅州敬基实业有限公 </w:t>
            </w:r>
            <w:r>
              <w:rPr>
                <w:rFonts w:ascii="宋体" w:hAnsi="宋体" w:cs="宋体" w:eastAsia="宋体" w:hint="default"/>
                <w:spacing w:val="-3"/>
                <w:sz w:val="18"/>
                <w:szCs w:val="18"/>
              </w:rPr>
              <w:t>司、盈富泰克创业投资有限公司、广州藤川科技有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限公司向公司出具了《关于避免与广州广电运通金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融电子股份有限公司同业竞争的承诺函》，承诺其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以后不从事与本公司业务相同或相近的业务。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66"/>
              <w:jc w:val="center"/>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8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820" w:right="82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40"/>
        <w:gridCol w:w="5428"/>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王建民、蔡洁瑜</w:t>
            </w:r>
          </w:p>
        </w:tc>
      </w:tr>
    </w:tbl>
    <w:p>
      <w:pPr>
        <w:pStyle w:val="BodyText"/>
        <w:spacing w:line="240" w:lineRule="auto" w:before="51"/>
        <w:ind w:right="0"/>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报告期，公司不存在处罚及整改情况。</w:t>
      </w:r>
    </w:p>
    <w:p>
      <w:pPr>
        <w:pStyle w:val="BodyText"/>
        <w:spacing w:line="240" w:lineRule="auto" w:before="117"/>
        <w:ind w:left="153" w:right="0"/>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2"/>
        <w:ind w:left="153"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十三、其他重大事项的说明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99" w:type="dxa"/>
        <w:tblLayout w:type="fixed"/>
        <w:tblCellMar>
          <w:top w:w="0" w:type="dxa"/>
          <w:left w:w="0" w:type="dxa"/>
          <w:bottom w:w="0" w:type="dxa"/>
          <w:right w:w="0" w:type="dxa"/>
        </w:tblCellMar>
        <w:tblLook w:val="01E0"/>
      </w:tblPr>
      <w:tblGrid>
        <w:gridCol w:w="1813"/>
        <w:gridCol w:w="1091"/>
        <w:gridCol w:w="719"/>
        <w:gridCol w:w="446"/>
        <w:gridCol w:w="587"/>
        <w:gridCol w:w="1080"/>
        <w:gridCol w:w="833"/>
        <w:gridCol w:w="992"/>
        <w:gridCol w:w="974"/>
        <w:gridCol w:w="814"/>
      </w:tblGrid>
      <w:tr>
        <w:trPr>
          <w:trHeight w:val="402" w:hRule="exact"/>
        </w:trPr>
        <w:tc>
          <w:tcPr>
            <w:tcW w:w="1813"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8"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813" w:type="dxa"/>
            <w:vMerge w:val="restart"/>
            <w:tcBorders>
              <w:top w:val="nil" w:sz="6" w:space="0" w:color="auto"/>
              <w:left w:val="single" w:sz="4" w:space="0" w:color="000000"/>
              <w:right w:val="single" w:sz="4" w:space="0" w:color="000000"/>
            </w:tcBorders>
            <w:shd w:val="clear" w:color="auto" w:fill="DCDCDC"/>
          </w:tcPr>
          <w:p>
            <w:pPr/>
          </w:p>
        </w:tc>
        <w:tc>
          <w:tcPr>
            <w:tcW w:w="10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19" w:type="dxa"/>
            <w:tcBorders>
              <w:top w:val="single" w:sz="4" w:space="0" w:color="000000"/>
              <w:left w:val="single" w:sz="4" w:space="0" w:color="000000"/>
              <w:bottom w:val="nil" w:sz="6" w:space="0" w:color="auto"/>
              <w:right w:val="single" w:sz="4" w:space="0" w:color="000000"/>
            </w:tcBorders>
            <w:shd w:val="clear" w:color="auto" w:fill="DCDCDC"/>
          </w:tcPr>
          <w:p>
            <w:pPr/>
          </w:p>
        </w:tc>
        <w:tc>
          <w:tcPr>
            <w:tcW w:w="446"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1"/>
              <w:ind w:left="38" w:right="3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33" w:type="dxa"/>
            <w:tcBorders>
              <w:top w:val="single" w:sz="4" w:space="0" w:color="000000"/>
              <w:left w:val="single" w:sz="4" w:space="0" w:color="000000"/>
              <w:bottom w:val="nil" w:sz="6" w:space="0" w:color="auto"/>
              <w:right w:val="single" w:sz="4" w:space="0" w:color="000000"/>
            </w:tcBorders>
            <w:shd w:val="clear" w:color="auto" w:fill="DCDCDC"/>
          </w:tcPr>
          <w:p>
            <w:pPr/>
          </w:p>
        </w:tc>
        <w:tc>
          <w:tcPr>
            <w:tcW w:w="992" w:type="dxa"/>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tcBorders>
              <w:top w:val="single" w:sz="4" w:space="0" w:color="000000"/>
              <w:left w:val="single" w:sz="4" w:space="0" w:color="000000"/>
              <w:bottom w:val="nil" w:sz="6" w:space="0" w:color="auto"/>
              <w:right w:val="single" w:sz="4" w:space="0" w:color="000000"/>
            </w:tcBorders>
            <w:shd w:val="clear" w:color="auto" w:fill="DCDCDC"/>
          </w:tcPr>
          <w:p>
            <w:pPr/>
          </w:p>
        </w:tc>
        <w:tc>
          <w:tcPr>
            <w:tcW w:w="81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86" w:hRule="exact"/>
        </w:trPr>
        <w:tc>
          <w:tcPr>
            <w:tcW w:w="1813" w:type="dxa"/>
            <w:vMerge/>
            <w:tcBorders>
              <w:left w:val="single" w:sz="4" w:space="0" w:color="000000"/>
              <w:bottom w:val="nil" w:sz="6" w:space="0" w:color="auto"/>
              <w:right w:val="single" w:sz="4" w:space="0" w:color="000000"/>
            </w:tcBorders>
            <w:shd w:val="clear" w:color="auto" w:fill="DCDCDC"/>
          </w:tcPr>
          <w:p>
            <w:pPr/>
          </w:p>
        </w:tc>
        <w:tc>
          <w:tcPr>
            <w:tcW w:w="10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46"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3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13" w:type="dxa"/>
            <w:vMerge w:val="restart"/>
            <w:tcBorders>
              <w:top w:val="nil" w:sz="6" w:space="0" w:color="auto"/>
              <w:left w:val="single" w:sz="4" w:space="0" w:color="000000"/>
              <w:right w:val="single" w:sz="4" w:space="0" w:color="000000"/>
            </w:tcBorders>
            <w:shd w:val="clear" w:color="auto" w:fill="DCDCDC"/>
          </w:tcPr>
          <w:p>
            <w:pPr/>
          </w:p>
        </w:tc>
        <w:tc>
          <w:tcPr>
            <w:tcW w:w="1091" w:type="dxa"/>
            <w:vMerge/>
            <w:tcBorders>
              <w:left w:val="single" w:sz="4" w:space="0" w:color="000000"/>
              <w:bottom w:val="nil" w:sz="6" w:space="0" w:color="auto"/>
              <w:right w:val="single" w:sz="4" w:space="0" w:color="000000"/>
            </w:tcBorders>
            <w:shd w:val="clear" w:color="auto" w:fill="DCDCDC"/>
          </w:tcPr>
          <w:p>
            <w:pPr/>
          </w:p>
        </w:tc>
        <w:tc>
          <w:tcPr>
            <w:tcW w:w="719" w:type="dxa"/>
            <w:vMerge/>
            <w:tcBorders>
              <w:left w:val="single" w:sz="4" w:space="0" w:color="000000"/>
              <w:bottom w:val="nil" w:sz="6" w:space="0" w:color="auto"/>
              <w:right w:val="single" w:sz="4" w:space="0" w:color="000000"/>
            </w:tcBorders>
            <w:shd w:val="clear" w:color="auto" w:fill="DCDCDC"/>
          </w:tcPr>
          <w:p>
            <w:pPr/>
          </w:p>
        </w:tc>
        <w:tc>
          <w:tcPr>
            <w:tcW w:w="44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833" w:type="dxa"/>
            <w:vMerge/>
            <w:tcBorders>
              <w:left w:val="single" w:sz="4" w:space="0" w:color="000000"/>
              <w:bottom w:val="nil" w:sz="6" w:space="0" w:color="auto"/>
              <w:right w:val="single" w:sz="4" w:space="0" w:color="000000"/>
            </w:tcBorders>
            <w:shd w:val="clear" w:color="auto" w:fill="DCDCDC"/>
          </w:tcPr>
          <w:p>
            <w:pPr/>
          </w:p>
        </w:tc>
        <w:tc>
          <w:tcPr>
            <w:tcW w:w="992" w:type="dxa"/>
            <w:vMerge/>
            <w:tcBorders>
              <w:left w:val="single" w:sz="4" w:space="0" w:color="000000"/>
              <w:bottom w:val="nil" w:sz="6" w:space="0" w:color="auto"/>
              <w:right w:val="single" w:sz="4" w:space="0" w:color="000000"/>
            </w:tcBorders>
            <w:shd w:val="clear" w:color="auto" w:fill="DCDCDC"/>
          </w:tcPr>
          <w:p>
            <w:pPr/>
          </w:p>
        </w:tc>
        <w:tc>
          <w:tcPr>
            <w:tcW w:w="974" w:type="dxa"/>
            <w:vMerge/>
            <w:tcBorders>
              <w:left w:val="single" w:sz="4" w:space="0" w:color="000000"/>
              <w:bottom w:val="nil" w:sz="6" w:space="0" w:color="auto"/>
              <w:right w:val="single" w:sz="4" w:space="0" w:color="000000"/>
            </w:tcBorders>
            <w:shd w:val="clear" w:color="auto" w:fill="DCDCDC"/>
          </w:tcPr>
          <w:p>
            <w:pPr/>
          </w:p>
        </w:tc>
        <w:tc>
          <w:tcPr>
            <w:tcW w:w="814"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813" w:type="dxa"/>
            <w:vMerge/>
            <w:tcBorders>
              <w:left w:val="single" w:sz="4" w:space="0" w:color="000000"/>
              <w:bottom w:val="single" w:sz="4" w:space="0" w:color="000000"/>
              <w:right w:val="single" w:sz="4" w:space="0" w:color="000000"/>
            </w:tcBorders>
            <w:shd w:val="clear" w:color="auto" w:fill="DCDCDC"/>
          </w:tcPr>
          <w:p>
            <w:pPr/>
          </w:p>
        </w:tc>
        <w:tc>
          <w:tcPr>
            <w:tcW w:w="1091" w:type="dxa"/>
            <w:tcBorders>
              <w:top w:val="nil" w:sz="6" w:space="0" w:color="auto"/>
              <w:left w:val="single" w:sz="4" w:space="0" w:color="000000"/>
              <w:bottom w:val="single" w:sz="4" w:space="0" w:color="000000"/>
              <w:right w:val="single" w:sz="4" w:space="0" w:color="000000"/>
            </w:tcBorders>
            <w:shd w:val="clear" w:color="auto" w:fill="DCDCDC"/>
          </w:tcPr>
          <w:p>
            <w:pPr/>
          </w:p>
        </w:tc>
        <w:tc>
          <w:tcPr>
            <w:tcW w:w="719" w:type="dxa"/>
            <w:tcBorders>
              <w:top w:val="nil" w:sz="6" w:space="0" w:color="auto"/>
              <w:left w:val="single" w:sz="4" w:space="0" w:color="000000"/>
              <w:bottom w:val="single" w:sz="4" w:space="0" w:color="000000"/>
              <w:right w:val="single" w:sz="4" w:space="0" w:color="000000"/>
            </w:tcBorders>
            <w:shd w:val="clear" w:color="auto" w:fill="DCDCDC"/>
          </w:tcPr>
          <w:p>
            <w:pPr/>
          </w:p>
        </w:tc>
        <w:tc>
          <w:tcPr>
            <w:tcW w:w="446"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33" w:type="dxa"/>
            <w:tcBorders>
              <w:top w:val="nil" w:sz="6" w:space="0" w:color="auto"/>
              <w:left w:val="single" w:sz="4" w:space="0" w:color="000000"/>
              <w:bottom w:val="single" w:sz="4" w:space="0" w:color="000000"/>
              <w:right w:val="single" w:sz="4" w:space="0" w:color="000000"/>
            </w:tcBorders>
            <w:shd w:val="clear" w:color="auto" w:fill="DCDCDC"/>
          </w:tcPr>
          <w:p>
            <w:pPr/>
          </w:p>
        </w:tc>
        <w:tc>
          <w:tcPr>
            <w:tcW w:w="992" w:type="dxa"/>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tcBorders>
              <w:top w:val="nil" w:sz="6" w:space="0" w:color="auto"/>
              <w:left w:val="single" w:sz="4" w:space="0" w:color="000000"/>
              <w:bottom w:val="single" w:sz="4" w:space="0" w:color="000000"/>
              <w:right w:val="single" w:sz="4" w:space="0" w:color="000000"/>
            </w:tcBorders>
            <w:shd w:val="clear" w:color="auto" w:fill="DCDCDC"/>
          </w:tcPr>
          <w:p>
            <w:pPr/>
          </w:p>
        </w:tc>
        <w:tc>
          <w:tcPr>
            <w:tcW w:w="81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18,240,648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7,277,569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6,646,170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24,886,818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其中：境内非国有法人</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18,240,648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7,277,569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6,646,170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24,886,818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426,543,463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95.90%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170,636,075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171,267,474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597,810,937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w:t>
            </w:r>
          </w:p>
        </w:tc>
      </w:tr>
      <w:tr>
        <w:trPr>
          <w:trHeight w:val="341"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426,543,463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95.90%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170,636,075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171,267,474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597,810,937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w:t>
            </w: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10" w:space="0" w:color="DCDCDC"/>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444,784,111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177,913,644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177,913,644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622,697,755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2011</w:t>
      </w:r>
      <w:r>
        <w:rPr/>
        <w:t>年度权益分派方案实施完毕，公司总股本由</w:t>
      </w:r>
      <w:r>
        <w:rPr>
          <w:rFonts w:ascii="Times New Roman" w:hAnsi="Times New Roman" w:cs="Times New Roman" w:eastAsia="Times New Roman" w:hint="default"/>
        </w:rPr>
        <w:t>444,784,111</w:t>
      </w:r>
      <w:r>
        <w:rPr/>
        <w:t>股增加至</w:t>
      </w:r>
      <w:r>
        <w:rPr>
          <w:rFonts w:ascii="Times New Roman" w:hAnsi="Times New Roman" w:cs="Times New Roman" w:eastAsia="Times New Roman" w:hint="default"/>
        </w:rPr>
        <w:t>622,697,755</w:t>
      </w:r>
      <w:r>
        <w:rPr/>
        <w:t>股。</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w:t>
      </w:r>
      <w:r>
        <w:rPr/>
        <w:t>、限售股份变动情况表</w:t>
      </w:r>
    </w:p>
    <w:p>
      <w:pPr>
        <w:spacing w:line="240" w:lineRule="auto" w:before="1"/>
        <w:rPr>
          <w:rFonts w:ascii="宋体" w:hAnsi="宋体" w:cs="宋体" w:eastAsia="宋体" w:hint="default"/>
          <w:sz w:val="14"/>
          <w:szCs w:val="14"/>
        </w:rPr>
      </w:pPr>
    </w:p>
    <w:p>
      <w:pPr>
        <w:pStyle w:val="BodyText"/>
        <w:spacing w:line="240" w:lineRule="auto"/>
        <w:ind w:left="0" w:right="465"/>
        <w:jc w:val="right"/>
      </w:pPr>
      <w:r>
        <w:rPr/>
        <w:t>单位：股</w:t>
      </w:r>
    </w:p>
    <w:p>
      <w:pPr>
        <w:spacing w:line="240" w:lineRule="auto" w:before="13"/>
        <w:rPr>
          <w:rFonts w:ascii="宋体" w:hAnsi="宋体" w:cs="宋体" w:eastAsia="宋体" w:hint="default"/>
          <w:sz w:val="7"/>
          <w:szCs w:val="7"/>
        </w:rPr>
      </w:pPr>
    </w:p>
    <w:tbl>
      <w:tblPr>
        <w:tblW w:w="0" w:type="auto"/>
        <w:jc w:val="left"/>
        <w:tblInd w:w="278" w:type="dxa"/>
        <w:tblLayout w:type="fixed"/>
        <w:tblCellMar>
          <w:top w:w="0" w:type="dxa"/>
          <w:left w:w="0" w:type="dxa"/>
          <w:bottom w:w="0" w:type="dxa"/>
          <w:right w:w="0" w:type="dxa"/>
        </w:tblCellMar>
        <w:tblLook w:val="01E0"/>
      </w:tblPr>
      <w:tblGrid>
        <w:gridCol w:w="1018"/>
        <w:gridCol w:w="1018"/>
        <w:gridCol w:w="1019"/>
        <w:gridCol w:w="1019"/>
        <w:gridCol w:w="1018"/>
        <w:gridCol w:w="1504"/>
        <w:gridCol w:w="2785"/>
      </w:tblGrid>
      <w:tr>
        <w:trPr>
          <w:trHeight w:val="714" w:hRule="exact"/>
        </w:trPr>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0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35" w:right="53"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0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233" w:right="53"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414" w:right="53" w:hanging="360"/>
              <w:jc w:val="left"/>
              <w:rPr>
                <w:rFonts w:ascii="宋体" w:hAnsi="宋体" w:cs="宋体" w:eastAsia="宋体" w:hint="default"/>
                <w:sz w:val="18"/>
                <w:szCs w:val="18"/>
              </w:rPr>
            </w:pPr>
            <w:r>
              <w:rPr>
                <w:rFonts w:ascii="宋体" w:hAnsi="宋体" w:cs="宋体" w:eastAsia="宋体" w:hint="default"/>
                <w:sz w:val="18"/>
                <w:szCs w:val="18"/>
              </w:rPr>
              <w:t>年末限售股 数</w:t>
            </w:r>
          </w:p>
        </w:tc>
        <w:tc>
          <w:tcPr>
            <w:tcW w:w="15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7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8,664,045</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3,465,618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12,129,663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144,788</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57,915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202,703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427,050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427,050</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2,600,188</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1,040,075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3,640,263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曾  文</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2,931,688</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1,172,675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4,104,363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455,200</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182,080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637,280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冯丰穗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186,897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56,069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196,242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2,069,283</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827,713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2,896,996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78" w:type="dxa"/>
        <w:tblLayout w:type="fixed"/>
        <w:tblCellMar>
          <w:top w:w="0" w:type="dxa"/>
          <w:left w:w="0" w:type="dxa"/>
          <w:bottom w:w="0" w:type="dxa"/>
          <w:right w:w="0" w:type="dxa"/>
        </w:tblCellMar>
        <w:tblLook w:val="01E0"/>
      </w:tblPr>
      <w:tblGrid>
        <w:gridCol w:w="1018"/>
        <w:gridCol w:w="1018"/>
        <w:gridCol w:w="1019"/>
        <w:gridCol w:w="1019"/>
        <w:gridCol w:w="1018"/>
        <w:gridCol w:w="1504"/>
        <w:gridCol w:w="2785"/>
      </w:tblGrid>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324,940</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129,976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454,916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束  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155,012</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62,005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217,017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李叶东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66,433</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26,573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康  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28,275</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24,505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52,780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蒋春晨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186,849</w:t>
            </w:r>
          </w:p>
        </w:tc>
        <w:tc>
          <w:tcPr>
            <w:tcW w:w="101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74,740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261,589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0" w:hRule="exact"/>
        </w:trPr>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18,240,648</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473,774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7,119,944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24,886,818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sz w:val="15"/>
          <w:szCs w:val="15"/>
        </w:rPr>
      </w:pPr>
    </w:p>
    <w:p>
      <w:pPr>
        <w:pStyle w:val="BodyText"/>
        <w:spacing w:line="240" w:lineRule="auto" w:before="44"/>
        <w:ind w:right="0"/>
        <w:jc w:val="left"/>
      </w:pPr>
      <w:r>
        <w:rPr/>
        <w:t>股份变动的批准情况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4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w:t>
      </w:r>
      <w:r>
        <w:rPr>
          <w:rFonts w:ascii="Times New Roman" w:hAnsi="Times New Roman" w:cs="Times New Roman" w:eastAsia="Times New Roman" w:hint="default"/>
        </w:rPr>
        <w:t>2011</w:t>
      </w:r>
      <w:r>
        <w:rPr/>
        <w:t>年度股东大会审议通过了《关于</w:t>
      </w:r>
      <w:r>
        <w:rPr>
          <w:rFonts w:ascii="Times New Roman" w:hAnsi="Times New Roman" w:cs="Times New Roman" w:eastAsia="Times New Roman" w:hint="default"/>
        </w:rPr>
        <w:t>2011</w:t>
      </w:r>
      <w:r>
        <w:rPr/>
        <w:t>年度利润分配及资本公积金转增股本的议案》，决定以 公司</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444,784,111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元（含税）；同时，以</w:t>
      </w:r>
      <w:r>
        <w:rPr>
          <w:rFonts w:ascii="Times New Roman" w:hAnsi="Times New Roman" w:cs="Times New Roman" w:eastAsia="Times New Roman" w:hint="default"/>
        </w:rPr>
        <w:t>2011</w:t>
      </w:r>
      <w:r>
        <w:rPr/>
        <w:t>年末公司总股本 </w:t>
      </w:r>
      <w:r>
        <w:rPr>
          <w:rFonts w:ascii="Times New Roman" w:hAnsi="Times New Roman" w:cs="Times New Roman" w:eastAsia="Times New Roman" w:hint="default"/>
        </w:rPr>
        <w:t>444,784,111</w:t>
      </w:r>
      <w:r>
        <w:rPr/>
        <w:t>股为基数，以资本公积金转增股本，向全体股东每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p>
    <w:p>
      <w:pPr>
        <w:spacing w:line="240" w:lineRule="auto" w:before="3"/>
        <w:rPr>
          <w:rFonts w:ascii="宋体" w:hAnsi="宋体" w:cs="宋体" w:eastAsia="宋体" w:hint="default"/>
          <w:sz w:val="19"/>
          <w:szCs w:val="19"/>
        </w:rPr>
      </w:pPr>
    </w:p>
    <w:p>
      <w:pPr>
        <w:pStyle w:val="BodyText"/>
        <w:spacing w:line="240" w:lineRule="auto"/>
        <w:ind w:right="0"/>
        <w:jc w:val="left"/>
      </w:pPr>
      <w:r>
        <w:rPr/>
        <w:t>股份变动的过户情况</w:t>
      </w:r>
    </w:p>
    <w:p>
      <w:pPr>
        <w:pStyle w:val="BodyText"/>
        <w:spacing w:line="240" w:lineRule="auto" w:before="117"/>
        <w:ind w:left="51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2011</w:t>
      </w:r>
      <w:r>
        <w:rPr/>
        <w:t>年度权益分派方案实施完毕，公司总股本由</w:t>
      </w:r>
      <w:r>
        <w:rPr>
          <w:rFonts w:ascii="Times New Roman" w:hAnsi="Times New Roman" w:cs="Times New Roman" w:eastAsia="Times New Roman" w:hint="default"/>
        </w:rPr>
        <w:t>444,784,111</w:t>
      </w:r>
      <w:r>
        <w:rPr/>
        <w:t>股增加至</w:t>
      </w:r>
      <w:r>
        <w:rPr>
          <w:rFonts w:ascii="Times New Roman" w:hAnsi="Times New Roman" w:cs="Times New Roman" w:eastAsia="Times New Roman" w:hint="default"/>
        </w:rPr>
        <w:t>622,697,755</w:t>
      </w:r>
      <w:r>
        <w:rPr/>
        <w:t>股。</w:t>
      </w:r>
    </w:p>
    <w:p>
      <w:pPr>
        <w:spacing w:line="240" w:lineRule="auto" w:before="2"/>
        <w:rPr>
          <w:rFonts w:ascii="宋体" w:hAnsi="宋体" w:cs="宋体" w:eastAsia="宋体" w:hint="default"/>
          <w:sz w:val="23"/>
          <w:szCs w:val="23"/>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t>公司</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年度权益分派方案实施后，按变动后股本</w:t>
      </w:r>
      <w:r>
        <w:rPr>
          <w:spacing w:val="-49"/>
        </w:rPr>
        <w:t> </w:t>
      </w:r>
      <w:r>
        <w:rPr>
          <w:rFonts w:ascii="Times New Roman" w:hAnsi="Times New Roman" w:cs="Times New Roman" w:eastAsia="Times New Roman" w:hint="default"/>
        </w:rPr>
        <w:t>622,697,755</w:t>
      </w:r>
      <w:r>
        <w:rPr>
          <w:rFonts w:ascii="Times New Roman" w:hAnsi="Times New Roman" w:cs="Times New Roman" w:eastAsia="Times New Roman" w:hint="default"/>
          <w:spacing w:val="-4"/>
        </w:rPr>
        <w:t> </w:t>
      </w:r>
      <w:r>
        <w:rPr/>
        <w:t>股摊薄计算，</w:t>
      </w:r>
      <w:r>
        <w:rPr>
          <w:spacing w:val="-2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年每股收益和稀释每股收益调整为</w:t>
      </w:r>
    </w:p>
    <w:p>
      <w:pPr>
        <w:pStyle w:val="BodyText"/>
        <w:spacing w:line="240" w:lineRule="auto" w:before="64"/>
        <w:ind w:right="0"/>
        <w:jc w:val="left"/>
      </w:pPr>
      <w:r>
        <w:rPr>
          <w:rFonts w:ascii="Times New Roman" w:hAnsi="Times New Roman" w:cs="Times New Roman" w:eastAsia="Times New Roman" w:hint="default"/>
        </w:rPr>
        <w:t>0.81</w:t>
      </w:r>
      <w:r>
        <w:rPr>
          <w:rFonts w:ascii="Times New Roman" w:hAnsi="Times New Roman" w:cs="Times New Roman" w:eastAsia="Times New Roman" w:hint="default"/>
          <w:spacing w:val="-1"/>
        </w:rPr>
        <w:t> </w:t>
      </w:r>
      <w:r>
        <w:rPr/>
        <w:t>元，其他财务指标无影响。</w:t>
      </w:r>
    </w:p>
    <w:p>
      <w:pPr>
        <w:spacing w:line="240" w:lineRule="auto" w:before="1"/>
        <w:rPr>
          <w:rFonts w:ascii="宋体" w:hAnsi="宋体" w:cs="宋体" w:eastAsia="宋体" w:hint="default"/>
          <w:sz w:val="23"/>
          <w:szCs w:val="23"/>
        </w:rPr>
      </w:pPr>
    </w:p>
    <w:p>
      <w:pPr>
        <w:pStyle w:val="BodyText"/>
        <w:spacing w:line="360" w:lineRule="auto"/>
        <w:ind w:left="514" w:right="5810" w:hanging="360"/>
        <w:jc w:val="left"/>
      </w:pPr>
      <w:r>
        <w:rPr/>
        <w:t>公司认为必要或证券监管机构要求披露的其他内容 无</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spacing w:val="21"/>
        </w:rPr>
        <w:t>2012年4月</w:t>
      </w:r>
      <w:r>
        <w:rPr>
          <w:spacing w:val="-42"/>
        </w:rPr>
        <w:t> </w:t>
      </w:r>
      <w:r>
        <w:rPr/>
        <w:t>27</w:t>
      </w:r>
      <w:r>
        <w:rPr>
          <w:spacing w:val="-42"/>
        </w:rPr>
        <w:t> </w:t>
      </w:r>
      <w:r>
        <w:rPr/>
        <w:t>日公司实施了</w:t>
      </w:r>
      <w:r>
        <w:rPr>
          <w:spacing w:val="-42"/>
        </w:rPr>
        <w:t> </w:t>
      </w:r>
      <w:r>
        <w:rPr/>
        <w:t>2011</w:t>
      </w:r>
      <w:r>
        <w:rPr>
          <w:spacing w:val="-42"/>
        </w:rPr>
        <w:t> </w:t>
      </w:r>
      <w:r>
        <w:rPr/>
        <w:t>年度权益分派方案，实行每</w:t>
      </w:r>
      <w:r>
        <w:rPr>
          <w:spacing w:val="-42"/>
        </w:rPr>
        <w:t> </w:t>
      </w:r>
      <w:r>
        <w:rPr/>
        <w:t>10</w:t>
      </w:r>
      <w:r>
        <w:rPr>
          <w:spacing w:val="-42"/>
        </w:rPr>
        <w:t> </w:t>
      </w:r>
      <w:r>
        <w:rPr/>
        <w:t>股转增</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股，转增后公司股本由</w:t>
      </w:r>
      <w:r>
        <w:rPr>
          <w:spacing w:val="-42"/>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3"/>
        </w:rPr>
        <w:t> </w:t>
      </w:r>
      <w:r>
        <w:rPr/>
        <w:t>股增加</w:t>
      </w:r>
    </w:p>
    <w:p>
      <w:pPr>
        <w:pStyle w:val="BodyText"/>
        <w:spacing w:line="240" w:lineRule="auto" w:before="64"/>
        <w:ind w:left="153" w:right="0"/>
        <w:jc w:val="left"/>
      </w:pPr>
      <w:r>
        <w:rPr/>
        <w:t>至</w:t>
      </w:r>
      <w:r>
        <w:rPr>
          <w:spacing w:val="-46"/>
        </w:rPr>
        <w:t> </w:t>
      </w:r>
      <w:r>
        <w:rPr>
          <w:rFonts w:ascii="Times New Roman" w:hAnsi="Times New Roman" w:cs="Times New Roman" w:eastAsia="Times New Roman" w:hint="default"/>
        </w:rPr>
        <w:t>622,697,755</w:t>
      </w:r>
      <w:r>
        <w:rPr>
          <w:rFonts w:ascii="Times New Roman" w:hAnsi="Times New Roman" w:cs="Times New Roman" w:eastAsia="Times New Roman" w:hint="default"/>
          <w:spacing w:val="-1"/>
        </w:rPr>
        <w:t> </w:t>
      </w:r>
      <w:r>
        <w:rPr/>
        <w:t>股。</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290"/>
        <w:jc w:val="right"/>
      </w:pPr>
      <w:r>
        <w:rPr/>
        <w:t>单位：股</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424"/>
        <w:gridCol w:w="1368"/>
        <w:gridCol w:w="692"/>
        <w:gridCol w:w="676"/>
        <w:gridCol w:w="360"/>
        <w:gridCol w:w="782"/>
        <w:gridCol w:w="118"/>
        <w:gridCol w:w="900"/>
        <w:gridCol w:w="1080"/>
        <w:gridCol w:w="422"/>
        <w:gridCol w:w="1180"/>
      </w:tblGrid>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15,007</w:t>
            </w:r>
          </w:p>
        </w:tc>
        <w:tc>
          <w:tcPr>
            <w:tcW w:w="366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w:t>
            </w:r>
          </w:p>
        </w:tc>
      </w:tr>
      <w:tr>
        <w:trPr>
          <w:trHeight w:val="402" w:hRule="exact"/>
        </w:trPr>
        <w:tc>
          <w:tcPr>
            <w:tcW w:w="1000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24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319" w:lineRule="auto"/>
              <w:ind w:left="24" w:right="-32" w:firstLine="48"/>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319" w:lineRule="auto"/>
              <w:ind w:left="242" w:right="6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11"/>
              <w:ind w:left="85" w:right="8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11"/>
              <w:ind w:left="85" w:right="8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11"/>
              <w:ind w:left="85" w:right="8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54" w:hRule="exact"/>
        </w:trPr>
        <w:tc>
          <w:tcPr>
            <w:tcW w:w="2424"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692" w:type="dxa"/>
            <w:vMerge/>
            <w:tcBorders>
              <w:left w:val="single" w:sz="4" w:space="0" w:color="000000"/>
              <w:bottom w:val="single" w:sz="4" w:space="0" w:color="000000"/>
              <w:right w:val="single" w:sz="4" w:space="0" w:color="000000"/>
            </w:tcBorders>
            <w:shd w:val="clear" w:color="auto" w:fill="D3D3D3"/>
          </w:tcPr>
          <w:p>
            <w:pPr/>
          </w:p>
        </w:tc>
        <w:tc>
          <w:tcPr>
            <w:tcW w:w="1036" w:type="dxa"/>
            <w:gridSpan w:val="2"/>
            <w:vMerge/>
            <w:tcBorders>
              <w:left w:val="single" w:sz="4" w:space="0" w:color="000000"/>
              <w:bottom w:val="single" w:sz="4" w:space="0" w:color="000000"/>
              <w:right w:val="single" w:sz="4" w:space="0" w:color="000000"/>
            </w:tcBorders>
            <w:shd w:val="clear" w:color="auto" w:fill="D3D3D3"/>
          </w:tcPr>
          <w:p>
            <w:pPr/>
          </w:p>
        </w:tc>
        <w:tc>
          <w:tcPr>
            <w:tcW w:w="900" w:type="dxa"/>
            <w:gridSpan w:val="2"/>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26" w:right="24"/>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297,027,058</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84,864,874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297,027,058</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22,996,942</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5,999,126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22,996,942</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18,788,896</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13,188,937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18,788,896</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中国建设银行－华安宏利股票 型证券投资基金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16,009,900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5,809,915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16,009,900</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全国社会保障基金理事会转持 二户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15,724,800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4,492,800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15,724,800</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15,148,724</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3,596,664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12,129,663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3,019,061</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中国工商银行－鹏华优质治理 股票型证券投资基金</w:t>
            </w:r>
            <w:r>
              <w:rPr>
                <w:rFonts w:ascii="Times New Roman" w:hAnsi="Times New Roman" w:cs="Times New Roman" w:eastAsia="Times New Roman" w:hint="default"/>
                <w:sz w:val="18"/>
                <w:szCs w:val="18"/>
              </w:rPr>
              <w:t>(LOF)</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14,883,571</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5,986,506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14,883,571</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中信证券－中信－中信证券股 票精选集合资产管理计划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8,017,760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8,017,760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8,017,760</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上海浦东发展银行－广发小盘 成长股票型证券投资基金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6,968,338</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6,968,338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6,968,338</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全国社保基金四一八组合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6,330,604</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6,330,604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6,330,604</w:t>
            </w:r>
          </w:p>
        </w:tc>
        <w:tc>
          <w:tcPr>
            <w:tcW w:w="422"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7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股东的情况（如有）</w:t>
            </w:r>
          </w:p>
        </w:tc>
        <w:tc>
          <w:tcPr>
            <w:tcW w:w="6210" w:type="dxa"/>
            <w:gridSpan w:val="9"/>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379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210" w:type="dxa"/>
            <w:gridSpan w:val="9"/>
            <w:vMerge w:val="restart"/>
            <w:tcBorders>
              <w:top w:val="single" w:sz="4" w:space="0" w:color="000000"/>
              <w:left w:val="single" w:sz="9" w:space="0" w:color="D3D3D3"/>
              <w:right w:val="single" w:sz="4" w:space="0" w:color="000000"/>
            </w:tcBorders>
          </w:tcPr>
          <w:p>
            <w:pPr>
              <w:pStyle w:val="TableParagraph"/>
              <w:spacing w:line="316" w:lineRule="auto" w:before="51"/>
              <w:ind w:left="17" w:right="54"/>
              <w:jc w:val="both"/>
              <w:rPr>
                <w:rFonts w:ascii="宋体" w:hAnsi="宋体" w:cs="宋体" w:eastAsia="宋体" w:hint="default"/>
                <w:sz w:val="18"/>
                <w:szCs w:val="18"/>
              </w:rPr>
            </w:pPr>
            <w:r>
              <w:rPr>
                <w:rFonts w:ascii="宋体" w:hAnsi="宋体" w:cs="宋体" w:eastAsia="宋体" w:hint="default"/>
                <w:sz w:val="18"/>
                <w:szCs w:val="18"/>
              </w:rPr>
              <w:t>公司前十名股东中：公司第六大股东赵友永先生为广州无线电集团有限公司的 董事长，存在关联关系，未知其他股东之间是否存在关联关系，也未知是否属 于一致行动人。</w:t>
            </w:r>
          </w:p>
        </w:tc>
      </w:tr>
      <w:tr>
        <w:trPr>
          <w:trHeight w:val="392" w:hRule="exact"/>
        </w:trPr>
        <w:tc>
          <w:tcPr>
            <w:tcW w:w="379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10" w:type="dxa"/>
            <w:gridSpan w:val="9"/>
            <w:vMerge/>
            <w:tcBorders>
              <w:left w:val="single" w:sz="9" w:space="0" w:color="D3D3D3"/>
              <w:right w:val="single" w:sz="4" w:space="0" w:color="000000"/>
            </w:tcBorders>
          </w:tcPr>
          <w:p>
            <w:pPr/>
          </w:p>
        </w:tc>
      </w:tr>
      <w:tr>
        <w:trPr>
          <w:trHeight w:val="318" w:hRule="exact"/>
        </w:trPr>
        <w:tc>
          <w:tcPr>
            <w:tcW w:w="379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210" w:type="dxa"/>
            <w:gridSpan w:val="9"/>
            <w:vMerge/>
            <w:tcBorders>
              <w:left w:val="single" w:sz="9" w:space="0" w:color="D3D3D3"/>
              <w:bottom w:val="single" w:sz="4" w:space="0" w:color="000000"/>
              <w:right w:val="single" w:sz="4" w:space="0" w:color="000000"/>
            </w:tcBorders>
          </w:tcPr>
          <w:p>
            <w:pPr/>
          </w:p>
        </w:tc>
      </w:tr>
      <w:tr>
        <w:trPr>
          <w:trHeight w:val="421" w:hRule="exact"/>
        </w:trPr>
        <w:tc>
          <w:tcPr>
            <w:tcW w:w="10002" w:type="dxa"/>
            <w:gridSpan w:val="11"/>
            <w:tcBorders>
              <w:top w:val="single" w:sz="4" w:space="0" w:color="000000"/>
              <w:left w:val="single" w:sz="4" w:space="0" w:color="000000"/>
              <w:bottom w:val="single" w:sz="20" w:space="0" w:color="FFFFFF"/>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81" w:hRule="exact"/>
        </w:trPr>
        <w:tc>
          <w:tcPr>
            <w:tcW w:w="3792" w:type="dxa"/>
            <w:gridSpan w:val="2"/>
            <w:tcBorders>
              <w:top w:val="single" w:sz="20" w:space="0" w:color="FFFFFF"/>
              <w:left w:val="single" w:sz="4" w:space="0" w:color="000000"/>
              <w:bottom w:val="nil" w:sz="6" w:space="0" w:color="auto"/>
              <w:right w:val="single" w:sz="4" w:space="0" w:color="000000"/>
            </w:tcBorders>
            <w:shd w:val="clear" w:color="auto" w:fill="D3D3D3"/>
          </w:tcPr>
          <w:p>
            <w:pPr/>
          </w:p>
        </w:tc>
        <w:tc>
          <w:tcPr>
            <w:tcW w:w="2510" w:type="dxa"/>
            <w:gridSpan w:val="4"/>
            <w:vMerge w:val="restart"/>
            <w:tcBorders>
              <w:top w:val="single" w:sz="20" w:space="0" w:color="FFFFFF"/>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年末持有无限售条件股份数量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700" w:type="dxa"/>
            <w:gridSpan w:val="5"/>
            <w:vMerge w:val="restart"/>
            <w:tcBorders>
              <w:top w:val="single" w:sz="20" w:space="0" w:color="FFFFFF"/>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379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10" w:type="dxa"/>
            <w:gridSpan w:val="4"/>
            <w:vMerge/>
            <w:tcBorders>
              <w:left w:val="single" w:sz="4" w:space="0" w:color="000000"/>
              <w:right w:val="single" w:sz="4" w:space="0" w:color="000000"/>
            </w:tcBorders>
            <w:shd w:val="clear" w:color="auto" w:fill="D3D3D3"/>
          </w:tcPr>
          <w:p>
            <w:pPr/>
          </w:p>
        </w:tc>
        <w:tc>
          <w:tcPr>
            <w:tcW w:w="3700" w:type="dxa"/>
            <w:gridSpan w:val="5"/>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3792" w:type="dxa"/>
            <w:gridSpan w:val="2"/>
            <w:vMerge/>
            <w:tcBorders>
              <w:left w:val="single" w:sz="4" w:space="0" w:color="000000"/>
              <w:bottom w:val="nil" w:sz="6" w:space="0" w:color="auto"/>
              <w:right w:val="single" w:sz="4" w:space="0" w:color="000000"/>
            </w:tcBorders>
            <w:shd w:val="clear" w:color="auto" w:fill="D3D3D3"/>
          </w:tcPr>
          <w:p>
            <w:pPr/>
          </w:p>
        </w:tc>
        <w:tc>
          <w:tcPr>
            <w:tcW w:w="2510" w:type="dxa"/>
            <w:gridSpan w:val="4"/>
            <w:vMerge/>
            <w:tcBorders>
              <w:left w:val="single" w:sz="4" w:space="0" w:color="000000"/>
              <w:right w:val="single" w:sz="4" w:space="0" w:color="000000"/>
            </w:tcBorders>
            <w:shd w:val="clear" w:color="auto" w:fill="D3D3D3"/>
          </w:tcPr>
          <w:p>
            <w:pPr/>
          </w:p>
        </w:tc>
        <w:tc>
          <w:tcPr>
            <w:tcW w:w="2520"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1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3" w:hRule="exact"/>
        </w:trPr>
        <w:tc>
          <w:tcPr>
            <w:tcW w:w="379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2510" w:type="dxa"/>
            <w:gridSpan w:val="4"/>
            <w:vMerge/>
            <w:tcBorders>
              <w:left w:val="single" w:sz="4" w:space="0" w:color="000000"/>
              <w:bottom w:val="single" w:sz="4" w:space="0" w:color="000000"/>
              <w:right w:val="single" w:sz="4" w:space="0" w:color="000000"/>
            </w:tcBorders>
            <w:shd w:val="clear" w:color="auto" w:fill="D3D3D3"/>
          </w:tcPr>
          <w:p>
            <w:pPr/>
          </w:p>
        </w:tc>
        <w:tc>
          <w:tcPr>
            <w:tcW w:w="2520" w:type="dxa"/>
            <w:gridSpan w:val="4"/>
            <w:vMerge/>
            <w:tcBorders>
              <w:left w:val="single" w:sz="4" w:space="0" w:color="000000"/>
              <w:bottom w:val="single" w:sz="4" w:space="0" w:color="000000"/>
              <w:right w:val="single" w:sz="4" w:space="0" w:color="000000"/>
            </w:tcBorders>
            <w:shd w:val="clear" w:color="auto" w:fill="D3D3D3"/>
          </w:tcPr>
          <w:p>
            <w:pPr/>
          </w:p>
        </w:tc>
        <w:tc>
          <w:tcPr>
            <w:tcW w:w="11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510" w:type="dxa"/>
            <w:gridSpan w:val="4"/>
            <w:tcBorders>
              <w:top w:val="single" w:sz="25" w:space="0" w:color="D3D3D3"/>
              <w:left w:val="single" w:sz="4" w:space="0" w:color="000000"/>
              <w:bottom w:val="single" w:sz="4" w:space="0" w:color="000000"/>
              <w:right w:val="single" w:sz="4" w:space="0" w:color="000000"/>
            </w:tcBorders>
          </w:tcPr>
          <w:p>
            <w:pPr>
              <w:pStyle w:val="TableParagraph"/>
              <w:spacing w:line="240" w:lineRule="auto" w:before="65"/>
              <w:ind w:left="1576" w:right="0"/>
              <w:jc w:val="left"/>
              <w:rPr>
                <w:rFonts w:ascii="Times New Roman" w:hAnsi="Times New Roman" w:cs="Times New Roman" w:eastAsia="Times New Roman" w:hint="default"/>
                <w:sz w:val="18"/>
                <w:szCs w:val="18"/>
              </w:rPr>
            </w:pPr>
            <w:r>
              <w:rPr>
                <w:rFonts w:ascii="Times New Roman"/>
                <w:sz w:val="18"/>
              </w:rPr>
              <w:t>297,027,058</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297,027,058</w:t>
            </w:r>
          </w:p>
        </w:tc>
      </w:tr>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2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6" w:right="0"/>
              <w:jc w:val="left"/>
              <w:rPr>
                <w:rFonts w:ascii="Times New Roman" w:hAnsi="Times New Roman" w:cs="Times New Roman" w:eastAsia="Times New Roman" w:hint="default"/>
                <w:sz w:val="18"/>
                <w:szCs w:val="18"/>
              </w:rPr>
            </w:pPr>
            <w:r>
              <w:rPr>
                <w:rFonts w:ascii="Times New Roman"/>
                <w:sz w:val="18"/>
              </w:rPr>
              <w:t>22,996,942</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22,996,942</w:t>
            </w:r>
          </w:p>
        </w:tc>
      </w:tr>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2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6" w:right="0"/>
              <w:jc w:val="left"/>
              <w:rPr>
                <w:rFonts w:ascii="Times New Roman" w:hAnsi="Times New Roman" w:cs="Times New Roman" w:eastAsia="Times New Roman" w:hint="default"/>
                <w:sz w:val="18"/>
                <w:szCs w:val="18"/>
              </w:rPr>
            </w:pPr>
            <w:r>
              <w:rPr>
                <w:rFonts w:ascii="Times New Roman"/>
                <w:sz w:val="18"/>
              </w:rPr>
              <w:t>18,788,896</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18,788,896</w:t>
            </w:r>
          </w:p>
        </w:tc>
      </w:tr>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中国建设银行－华安宏利股票型证券投资基金</w:t>
            </w:r>
          </w:p>
        </w:tc>
        <w:tc>
          <w:tcPr>
            <w:tcW w:w="2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6" w:right="0"/>
              <w:jc w:val="left"/>
              <w:rPr>
                <w:rFonts w:ascii="Times New Roman" w:hAnsi="Times New Roman" w:cs="Times New Roman" w:eastAsia="Times New Roman" w:hint="default"/>
                <w:sz w:val="18"/>
                <w:szCs w:val="18"/>
              </w:rPr>
            </w:pPr>
            <w:r>
              <w:rPr>
                <w:rFonts w:ascii="Times New Roman"/>
                <w:sz w:val="18"/>
              </w:rPr>
              <w:t>16,009,900</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16,009,900</w:t>
            </w:r>
          </w:p>
        </w:tc>
      </w:tr>
      <w:tr>
        <w:trPr>
          <w:trHeight w:val="402"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2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6" w:right="0"/>
              <w:jc w:val="left"/>
              <w:rPr>
                <w:rFonts w:ascii="Times New Roman" w:hAnsi="Times New Roman" w:cs="Times New Roman" w:eastAsia="Times New Roman" w:hint="default"/>
                <w:sz w:val="18"/>
                <w:szCs w:val="18"/>
              </w:rPr>
            </w:pPr>
            <w:r>
              <w:rPr>
                <w:rFonts w:ascii="Times New Roman"/>
                <w:sz w:val="18"/>
              </w:rPr>
              <w:t>15,724,800</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15,724,800</w:t>
            </w:r>
          </w:p>
        </w:tc>
      </w:tr>
      <w:tr>
        <w:trPr>
          <w:trHeight w:val="714" w:hRule="exact"/>
        </w:trPr>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中国工商银行－鹏华优质治理股票型证券投资 基金</w:t>
            </w:r>
            <w:r>
              <w:rPr>
                <w:rFonts w:ascii="Times New Roman" w:hAnsi="Times New Roman" w:cs="Times New Roman" w:eastAsia="Times New Roman" w:hint="default"/>
                <w:sz w:val="18"/>
                <w:szCs w:val="18"/>
              </w:rPr>
              <w:t>(LOF)</w:t>
            </w:r>
          </w:p>
        </w:tc>
        <w:tc>
          <w:tcPr>
            <w:tcW w:w="2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6" w:right="0"/>
              <w:jc w:val="left"/>
              <w:rPr>
                <w:rFonts w:ascii="Times New Roman" w:hAnsi="Times New Roman" w:cs="Times New Roman" w:eastAsia="Times New Roman" w:hint="default"/>
                <w:sz w:val="18"/>
                <w:szCs w:val="18"/>
              </w:rPr>
            </w:pPr>
            <w:r>
              <w:rPr>
                <w:rFonts w:ascii="Times New Roman"/>
                <w:sz w:val="18"/>
              </w:rPr>
              <w:t>14,883,571</w:t>
            </w:r>
          </w:p>
        </w:tc>
        <w:tc>
          <w:tcPr>
            <w:tcW w:w="25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14,883,571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840" w:right="84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792"/>
        <w:gridCol w:w="2510"/>
        <w:gridCol w:w="2520"/>
        <w:gridCol w:w="1180"/>
      </w:tblGrid>
      <w:tr>
        <w:trPr>
          <w:trHeight w:val="714"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中信证券－中信－中信证券股票精选集合资产 管理计划</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8,017,760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8,017,760</w:t>
            </w:r>
          </w:p>
        </w:tc>
      </w:tr>
      <w:tr>
        <w:trPr>
          <w:trHeight w:val="714"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上海浦东发展银行－广发小盘成长股票型证券 投资基金</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6,968,338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6,968,338</w:t>
            </w:r>
          </w:p>
        </w:tc>
      </w:tr>
      <w:tr>
        <w:trPr>
          <w:trHeight w:val="402"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全国社保基金四一八组合</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6,330,604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6,330,604</w:t>
            </w:r>
          </w:p>
        </w:tc>
      </w:tr>
      <w:tr>
        <w:trPr>
          <w:trHeight w:val="714" w:hRule="exact"/>
        </w:trPr>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中国工商银行－华安中小盘成长股票型证券投 资基金</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6,169,670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6,169,670</w:t>
            </w:r>
          </w:p>
        </w:tc>
      </w:tr>
      <w:tr>
        <w:trPr>
          <w:trHeight w:val="1026"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w:t>
            </w:r>
          </w:p>
          <w:p>
            <w:pPr>
              <w:pStyle w:val="TableParagraph"/>
              <w:spacing w:line="302" w:lineRule="auto" w:before="61"/>
              <w:ind w:left="24" w:right="66"/>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6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前十名无限售流通股股东中：第一大股东广州无线电集团有限公司与第二大股 东梅州敬基实业有限公司同为公司发起人股东，但不存在关联关系，未知其他 股东之间是否存在关联关系，也未知是否属于一致行动人。</w:t>
            </w:r>
          </w:p>
        </w:tc>
      </w:tr>
      <w:tr>
        <w:trPr>
          <w:trHeight w:val="402" w:hRule="exact"/>
        </w:trPr>
        <w:tc>
          <w:tcPr>
            <w:tcW w:w="3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294" w:right="266"/>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4" w:right="266"/>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44"/>
        <w:ind w:left="0" w:right="327"/>
        <w:jc w:val="right"/>
      </w:pPr>
      <w:r>
        <w:rPr/>
        <w:pict>
          <v:shape style="position:absolute;margin-left:56.459999pt;margin-top:-243.787964pt;width:477.75pt;height:377.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080"/>
                    <w:gridCol w:w="956"/>
                    <w:gridCol w:w="1315"/>
                    <w:gridCol w:w="968"/>
                    <w:gridCol w:w="396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968" w:type="dxa"/>
                        <w:tcBorders>
                          <w:top w:val="single" w:sz="4" w:space="0" w:color="000000"/>
                          <w:left w:val="single" w:sz="4" w:space="0" w:color="000000"/>
                          <w:bottom w:val="nil" w:sz="6" w:space="0" w:color="auto"/>
                          <w:right w:val="single" w:sz="4" w:space="0" w:color="000000"/>
                        </w:tcBorders>
                      </w:tcPr>
                      <w:p>
                        <w:pPr/>
                      </w:p>
                    </w:tc>
                    <w:tc>
                      <w:tcPr>
                        <w:tcW w:w="3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经营授权管理的国有资产。出口本企业的产品；进</w:t>
                        </w:r>
                      </w:p>
                    </w:tc>
                  </w:tr>
                  <w:tr>
                    <w:trPr>
                      <w:trHeight w:val="311"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出口本企业生产所需的设备及原辅材料；制造、加</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工通信设备、视频产品、音响设备、电工器材、无</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线电导航设备、电子测量仪器、电子玩具、电子防</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盗设备、计算机及配件、金属结构件、金属切削工</w:t>
                        </w:r>
                      </w:p>
                    </w:tc>
                  </w:tr>
                  <w:tr>
                    <w:trPr>
                      <w:trHeight w:val="630"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5"/>
                          <w:jc w:val="left"/>
                          <w:rPr>
                            <w:rFonts w:ascii="宋体" w:hAnsi="宋体" w:cs="宋体" w:eastAsia="宋体" w:hint="default"/>
                            <w:sz w:val="18"/>
                            <w:szCs w:val="18"/>
                          </w:rPr>
                        </w:pPr>
                        <w:r>
                          <w:rPr>
                            <w:rFonts w:ascii="宋体" w:hAnsi="宋体" w:cs="宋体" w:eastAsia="宋体" w:hint="default"/>
                            <w:sz w:val="18"/>
                            <w:szCs w:val="18"/>
                          </w:rPr>
                          <w:t>广州无线电集 团有限公司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23121622-0</w:t>
                        </w:r>
                      </w:p>
                    </w:tc>
                    <w:tc>
                      <w:tcPr>
                        <w:tcW w:w="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3"/>
                            <w:sz w:val="18"/>
                            <w:szCs w:val="18"/>
                          </w:rPr>
                          <w:t>具、模具、塑料制品。电子产品、通信产品、通信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设备、机床设备、仪器仪表、机电产品、计算机软</w:t>
                        </w:r>
                      </w:p>
                    </w:tc>
                  </w:tr>
                  <w:tr>
                    <w:trPr>
                      <w:trHeight w:val="306"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硬件及零配件的制造、研究、开发、设计、销售及</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技术服务。批发和销售贸易（国家专营专控商品除</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。房地产开发。房屋租赁。货物进出口、技术</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c>
                      <w:tcPr>
                        <w:tcW w:w="968" w:type="dxa"/>
                        <w:tcBorders>
                          <w:top w:val="nil" w:sz="6" w:space="0" w:color="auto"/>
                          <w:left w:val="single" w:sz="4" w:space="0" w:color="000000"/>
                          <w:bottom w:val="nil" w:sz="6" w:space="0" w:color="auto"/>
                          <w:right w:val="single" w:sz="4" w:space="0" w:color="000000"/>
                        </w:tcBorders>
                      </w:tcPr>
                      <w:p>
                        <w:pPr/>
                      </w:p>
                    </w:tc>
                    <w:tc>
                      <w:tcPr>
                        <w:tcW w:w="3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进出口（法律、行政法规禁止的项目除外，法律、</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968" w:type="dxa"/>
                        <w:tcBorders>
                          <w:top w:val="nil" w:sz="6" w:space="0" w:color="auto"/>
                          <w:left w:val="single" w:sz="4" w:space="0" w:color="000000"/>
                          <w:bottom w:val="single" w:sz="4" w:space="0" w:color="000000"/>
                          <w:right w:val="single" w:sz="4" w:space="0" w:color="000000"/>
                        </w:tcBorders>
                      </w:tcPr>
                      <w:p>
                        <w:pPr/>
                      </w:p>
                    </w:tc>
                    <w:tc>
                      <w:tcPr>
                        <w:tcW w:w="3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行政法规限制的项目须取得许可证后方可经营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经营成果、财</w:t>
                        </w:r>
                      </w:p>
                    </w:tc>
                    <w:tc>
                      <w:tcPr>
                        <w:tcW w:w="8280"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年，广电集团营业收入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亿元，净资</w:t>
                        </w:r>
                      </w:p>
                    </w:tc>
                  </w:tr>
                  <w:tr>
                    <w:trPr>
                      <w:trHeight w:val="311"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9"/>
                            <w:sz w:val="18"/>
                            <w:szCs w:val="18"/>
                          </w:rPr>
                          <w:t>务状况、现金流</w:t>
                        </w:r>
                      </w:p>
                    </w:tc>
                    <w:tc>
                      <w:tcPr>
                        <w:tcW w:w="82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53"/>
                            <w:sz w:val="18"/>
                            <w:szCs w:val="18"/>
                          </w:rPr>
                          <w:t>，</w:t>
                        </w:r>
                        <w:r>
                          <w:rPr>
                            <w:rFonts w:ascii="宋体" w:hAnsi="宋体" w:cs="宋体" w:eastAsia="宋体" w:hint="default"/>
                            <w:sz w:val="18"/>
                            <w:szCs w:val="18"/>
                          </w:rPr>
                          <w:t>现金流净额</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144"/>
                            <w:sz w:val="18"/>
                            <w:szCs w:val="18"/>
                          </w:rPr>
                          <w:t>，</w:t>
                        </w:r>
                        <w:r>
                          <w:rPr>
                            <w:rFonts w:ascii="宋体" w:hAnsi="宋体" w:cs="宋体" w:eastAsia="宋体" w:hint="default"/>
                            <w:sz w:val="18"/>
                            <w:szCs w:val="18"/>
                          </w:rPr>
                          <w:t>（以</w:t>
                        </w:r>
                        <w:r>
                          <w:rPr>
                            <w:rFonts w:ascii="宋体" w:hAnsi="宋体" w:cs="宋体" w:eastAsia="宋体" w:hint="default"/>
                            <w:spacing w:val="1"/>
                            <w:sz w:val="18"/>
                            <w:szCs w:val="18"/>
                          </w:rPr>
                          <w:t>上</w:t>
                        </w:r>
                        <w:r>
                          <w:rPr>
                            <w:rFonts w:ascii="宋体" w:hAnsi="宋体" w:cs="宋体" w:eastAsia="宋体" w:hint="default"/>
                            <w:sz w:val="18"/>
                            <w:szCs w:val="18"/>
                          </w:rPr>
                          <w:t>数据为母公司数据</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广电集团未来将继续依托现有核心产业</w:t>
                        </w:r>
                      </w:p>
                    </w:tc>
                  </w:tr>
                  <w:tr>
                    <w:trPr>
                      <w:trHeight w:val="308"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和未来发展战</w:t>
                        </w:r>
                      </w:p>
                    </w:tc>
                    <w:tc>
                      <w:tcPr>
                        <w:tcW w:w="82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加大在高端现代制造业和现代服务业的投资，同时，将继续利用资本手段，积极整合内外部资源，做强做</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略等</w:t>
                        </w:r>
                      </w:p>
                    </w:tc>
                    <w:tc>
                      <w:tcPr>
                        <w:tcW w:w="8280"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大核心产业，促进国有资本保值增值。</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w:t>
                        </w:r>
                      </w:p>
                    </w:tc>
                    <w:tc>
                      <w:tcPr>
                        <w:tcW w:w="8280" w:type="dxa"/>
                        <w:gridSpan w:val="5"/>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期内控股和参 股的其他境内 外上市公司的</w:t>
                        </w:r>
                      </w:p>
                    </w:tc>
                    <w:tc>
                      <w:tcPr>
                        <w:tcW w:w="828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2" w:right="21"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日，控股股东无线电集团持有海格通信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18.25%</w:t>
                        </w:r>
                        <w:r>
                          <w:rPr>
                            <w:rFonts w:ascii="宋体" w:hAnsi="宋体" w:cs="宋体" w:eastAsia="宋体" w:hint="default"/>
                            <w:sz w:val="18"/>
                            <w:szCs w:val="18"/>
                          </w:rPr>
                          <w:t>股权、持有吉林制药股份有限公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19.19%</w:t>
                        </w:r>
                        <w:r>
                          <w:rPr>
                            <w:rFonts w:ascii="宋体" w:hAnsi="宋体" w:cs="宋体" w:eastAsia="宋体" w:hint="default"/>
                            <w:sz w:val="18"/>
                            <w:szCs w:val="18"/>
                          </w:rPr>
                          <w:t>股权、持有广州珠江钢琴集团股份有限公司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0.827%</w:t>
                        </w:r>
                        <w:r>
                          <w:rPr>
                            <w:rFonts w:ascii="宋体" w:hAnsi="宋体" w:cs="宋体" w:eastAsia="宋体" w:hint="default"/>
                            <w:sz w:val="18"/>
                            <w:szCs w:val="18"/>
                          </w:rPr>
                          <w:t>股权。</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8280"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294" w:right="266"/>
        <w:jc w:val="left"/>
      </w:pPr>
      <w:r>
        <w:rPr/>
        <w:t>报告期控股股东变更</w:t>
      </w:r>
    </w:p>
    <w:p>
      <w:pPr>
        <w:pStyle w:val="BodyText"/>
        <w:spacing w:line="240" w:lineRule="auto" w:before="117"/>
        <w:ind w:left="293" w:right="266"/>
        <w:jc w:val="left"/>
      </w:pPr>
      <w:r>
        <w:rPr/>
        <w:t>□ 适用 √ 不适用</w:t>
      </w:r>
    </w:p>
    <w:p>
      <w:pPr>
        <w:spacing w:after="0" w:line="240" w:lineRule="auto"/>
        <w:jc w:val="left"/>
        <w:sectPr>
          <w:pgSz w:w="11910" w:h="16840"/>
          <w:pgMar w:header="747" w:footer="982" w:top="1060" w:bottom="1180" w:left="840" w:right="8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548"/>
        <w:gridCol w:w="1111"/>
        <w:gridCol w:w="1579"/>
        <w:gridCol w:w="1800"/>
        <w:gridCol w:w="1260"/>
        <w:gridCol w:w="1375"/>
      </w:tblGrid>
      <w:tr>
        <w:trPr>
          <w:trHeight w:val="7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84"/>
              <w:ind w:left="100" w:right="7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0" w:right="0"/>
              <w:jc w:val="left"/>
              <w:rPr>
                <w:rFonts w:ascii="宋体" w:hAnsi="宋体" w:cs="宋体" w:eastAsia="宋体" w:hint="default"/>
                <w:sz w:val="18"/>
                <w:szCs w:val="18"/>
              </w:rPr>
            </w:pPr>
            <w:r>
              <w:rPr>
                <w:rFonts w:ascii="宋体" w:hAnsi="宋体" w:cs="宋体" w:eastAsia="宋体" w:hint="default"/>
                <w:sz w:val="18"/>
                <w:szCs w:val="18"/>
              </w:rPr>
              <w:t>黄伟林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77119611—X</w:t>
            </w:r>
            <w:r>
              <w:rPr>
                <w:rFonts w:ascii="Times New Roman" w:hAnsi="Times New Roman" w:cs="Times New Roman" w:eastAsia="Times New Roman"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报告期实际控制人变更</w:t>
      </w:r>
    </w:p>
    <w:p>
      <w:pPr>
        <w:pStyle w:val="BodyText"/>
        <w:spacing w:line="357" w:lineRule="auto" w:before="117"/>
        <w:ind w:left="153" w:right="5811"/>
        <w:jc w:val="left"/>
      </w:pPr>
      <w:r>
        <w:rPr/>
        <w:t>□ 适用 √ 不适用 公司与实际控制人之间的产权及控制关系的方框图</w:t>
      </w:r>
    </w:p>
    <w:p>
      <w:pPr>
        <w:spacing w:line="240" w:lineRule="auto" w:before="11"/>
        <w:rPr>
          <w:rFonts w:ascii="宋体" w:hAnsi="宋体" w:cs="宋体" w:eastAsia="宋体" w:hint="default"/>
          <w:sz w:val="20"/>
          <w:szCs w:val="20"/>
        </w:rPr>
      </w:pPr>
    </w:p>
    <w:p>
      <w:pPr>
        <w:spacing w:line="2925" w:lineRule="exact"/>
        <w:ind w:left="265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2941470" cy="185785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941470" cy="1857851"/>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8"/>
        <w:rPr>
          <w:rFonts w:ascii="宋体" w:hAnsi="宋体" w:cs="宋体" w:eastAsia="宋体" w:hint="default"/>
          <w:sz w:val="23"/>
          <w:szCs w:val="23"/>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公司无其他持股在 </w:t>
      </w:r>
      <w:r>
        <w:rPr>
          <w:rFonts w:ascii="Times New Roman" w:hAnsi="Times New Roman" w:cs="Times New Roman" w:eastAsia="Times New Roman" w:hint="default"/>
        </w:rPr>
        <w:t>10%  </w:t>
      </w:r>
      <w:r>
        <w:rPr/>
        <w:t>以上的法人股东。</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报告期，公司未收到股东及其一致行动人提出或实施股份增持计划的信息。</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80" w:right="0"/>
        <w:jc w:val="left"/>
        <w:rPr>
          <w:b w:val="0"/>
          <w:bCs w:val="0"/>
        </w:rPr>
      </w:pPr>
      <w:r>
        <w:rPr/>
        <w:t>第七节</w:t>
      </w:r>
      <w:r>
        <w:rPr>
          <w:spacing w:val="-16"/>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59"/>
        <w:gridCol w:w="361"/>
        <w:gridCol w:w="967"/>
        <w:gridCol w:w="420"/>
        <w:gridCol w:w="360"/>
        <w:gridCol w:w="360"/>
        <w:gridCol w:w="1620"/>
        <w:gridCol w:w="1586"/>
        <w:gridCol w:w="869"/>
        <w:gridCol w:w="785"/>
        <w:gridCol w:w="954"/>
        <w:gridCol w:w="869"/>
      </w:tblGrid>
      <w:tr>
        <w:trPr>
          <w:trHeight w:val="1026" w:hRule="exact"/>
        </w:trPr>
        <w:tc>
          <w:tcPr>
            <w:tcW w:w="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年 龄</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 w:right="2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11,552,060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4,620,824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1,024,160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15,148,724</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193,051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77,220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270,271</w:t>
            </w:r>
          </w:p>
        </w:tc>
      </w:tr>
      <w:tr>
        <w:trPr>
          <w:trHeight w:val="714"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3,466,918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1,386,767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4,853,685</w:t>
            </w:r>
          </w:p>
        </w:tc>
      </w:tr>
      <w:tr>
        <w:trPr>
          <w:trHeight w:val="402"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曾</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文</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3,908,918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1,563,567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5,472,485</w:t>
            </w:r>
          </w:p>
        </w:tc>
      </w:tr>
      <w:tr>
        <w:trPr>
          <w:trHeight w:val="714"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斌</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董事、董事 会秘书</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程</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昆</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高符生</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独立董事①</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606,934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242,774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819,708</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监事①</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职工监事、 工会主席</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186,897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74,759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196,242</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2,759,044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1,103,617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220,980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3,641,681</w:t>
            </w:r>
          </w:p>
        </w:tc>
      </w:tr>
      <w:tr>
        <w:trPr>
          <w:trHeight w:val="402"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束</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萌</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82,673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289,356</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433,254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173,302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606,556</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88,577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35,431</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124,008</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魏</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249,132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99,653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348,785</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周建康</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李进一</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独立董事③</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康</w:t>
            </w:r>
          </w:p>
        </w:tc>
        <w:tc>
          <w:tcPr>
            <w:tcW w:w="3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副总经理③</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52,780</w:t>
            </w:r>
          </w:p>
        </w:tc>
      </w:tr>
      <w:tr>
        <w:trPr>
          <w:trHeight w:val="401" w:hRule="exact"/>
        </w:trPr>
        <w:tc>
          <w:tcPr>
            <w:tcW w:w="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23,689,168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9,475,667</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1,340,554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31,824,281</w:t>
            </w:r>
          </w:p>
        </w:tc>
      </w:tr>
    </w:tbl>
    <w:p>
      <w:pPr>
        <w:pStyle w:val="BodyText"/>
        <w:spacing w:line="240" w:lineRule="auto" w:before="52"/>
        <w:ind w:right="0"/>
        <w:jc w:val="left"/>
      </w:pPr>
      <w:r>
        <w:rPr/>
        <w:t>注：①</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年第一次（临时）股东大会选举高符生为公司独立董事、杨永明为公司监事。</w:t>
      </w:r>
    </w:p>
    <w:p>
      <w:pPr>
        <w:pStyle w:val="BodyText"/>
        <w:spacing w:line="240" w:lineRule="auto" w:before="103"/>
        <w:ind w:right="0"/>
        <w:jc w:val="left"/>
      </w:pPr>
      <w:r>
        <w:rPr/>
        <w:t>②</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日召开的第三届董事会第七次（临时）会议聘任罗攀峰、魏东为公司副总经理。</w:t>
      </w:r>
    </w:p>
    <w:p>
      <w:pPr>
        <w:pStyle w:val="BodyText"/>
        <w:spacing w:line="240" w:lineRule="auto" w:before="101"/>
        <w:ind w:right="0"/>
        <w:jc w:val="left"/>
      </w:pPr>
      <w:r>
        <w:rPr/>
        <w:t>③</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日，独立董事李进一因连任公司独立董事时间已满六年，辞去公司独立董事职务；</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日，康</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丰因个人原因辞去公司副总经理职务。</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38" w:lineRule="auto" w:before="102"/>
        <w:ind w:left="514" w:right="180" w:firstLine="60"/>
        <w:jc w:val="left"/>
      </w:pPr>
      <w:r>
        <w:rPr>
          <w:rFonts w:ascii="Times New Roman" w:hAnsi="Times New Roman" w:cs="Times New Roman" w:eastAsia="Times New Roman" w:hint="default"/>
        </w:rPr>
        <w:t>1</w:t>
      </w:r>
      <w:r>
        <w:rPr/>
        <w:t>、第三届董事会成员 赵友永先生，中国国籍，</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3</w:t>
      </w:r>
      <w:r>
        <w:rPr/>
        <w:t>月出生，研究生学历，高级会计师。曾任广州无线电厂财务处副处长、处长、副总会</w:t>
      </w:r>
    </w:p>
    <w:p>
      <w:pPr>
        <w:pStyle w:val="BodyText"/>
        <w:spacing w:line="217" w:lineRule="exact"/>
        <w:ind w:right="0"/>
        <w:jc w:val="both"/>
      </w:pPr>
      <w:r>
        <w:rPr/>
        <w:t>计师，广电集团副总经理、总裁、董事长，运通电子总经理、董事长。现任本公司、广电集团、吉林制药股份有限公司、广</w:t>
      </w:r>
    </w:p>
    <w:p>
      <w:pPr>
        <w:pStyle w:val="BodyText"/>
        <w:spacing w:line="309" w:lineRule="auto" w:before="76"/>
        <w:ind w:right="191"/>
        <w:jc w:val="both"/>
      </w:pPr>
      <w:r>
        <w:rPr>
          <w:spacing w:val="-2"/>
        </w:rPr>
        <w:t>州穗通董事长，广电房地产、海格通信、广电物业、广电计量、深圳银通、海华电子、武汉广电房地产开发有限公司、武汉</w:t>
      </w:r>
      <w:r>
        <w:rPr>
          <w:spacing w:val="-67"/>
        </w:rPr>
        <w:t> </w:t>
      </w:r>
      <w:r>
        <w:rPr>
          <w:spacing w:val="-67"/>
        </w:rPr>
      </w:r>
      <w:r>
        <w:rPr>
          <w:spacing w:val="-2"/>
        </w:rPr>
        <w:t>广电海格房地产开发有限公司、北京海格资产管理有限公司、中智融通及支点投资董事。其担任本公司董事长的任期为</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14" w:lineRule="auto" w:before="43"/>
        <w:ind w:right="191" w:firstLine="360"/>
        <w:jc w:val="both"/>
      </w:pPr>
      <w:r>
        <w:rPr/>
        <w:t>杨海洲先生，中国国籍，</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6</w:t>
      </w:r>
      <w:r>
        <w:rPr/>
        <w:t>月出生，研究生学历。曾任广电集团总经理助理、副总裁，广州海格通信有限公司副 </w:t>
      </w:r>
      <w:r>
        <w:rPr>
          <w:spacing w:val="-2"/>
        </w:rPr>
        <w:t>董事长、总经理，广州海格通信产业集团有限公司副董事长、总经理。现任本公司董事，广电集团副董事长、总裁，海格通</w:t>
      </w:r>
      <w:r>
        <w:rPr>
          <w:spacing w:val="-65"/>
        </w:rPr>
        <w:t> </w:t>
      </w:r>
      <w:r>
        <w:rPr>
          <w:spacing w:val="-65"/>
        </w:rPr>
      </w:r>
      <w:r>
        <w:rPr>
          <w:spacing w:val="-2"/>
        </w:rPr>
        <w:t>信、海华电子、北京海格神舟通信科技有限公司、广州海格机械有限公司、广州润芯信息技术有限公司、北京爱尔达电子设</w:t>
      </w:r>
      <w:r>
        <w:rPr>
          <w:spacing w:val="-66"/>
        </w:rPr>
        <w:t> </w:t>
      </w:r>
      <w:r>
        <w:rPr>
          <w:spacing w:val="-66"/>
        </w:rPr>
      </w:r>
      <w:r>
        <w:rPr>
          <w:spacing w:val="-2"/>
        </w:rPr>
        <w:t>备有限公司、广东南方海岸科技服务有限公司、北京海格资产管理有限公司董事长，广电房地产、广电计量和广电物业、广</w:t>
      </w:r>
      <w:r>
        <w:rPr>
          <w:spacing w:val="-66"/>
        </w:rPr>
        <w:t> </w:t>
      </w:r>
      <w:r>
        <w:rPr>
          <w:spacing w:val="-66"/>
        </w:rPr>
      </w:r>
      <w:r>
        <w:rPr>
          <w:spacing w:val="-2"/>
        </w:rPr>
        <w:t>州海格天立通信息技术有限公司、陕西海通天线有限责任公司、武汉广电海格房地产开发有限公司、武汉广电房地产开发有</w:t>
      </w:r>
      <w:r>
        <w:rPr>
          <w:spacing w:val="-66"/>
        </w:rPr>
        <w:t> </w:t>
      </w:r>
      <w:r>
        <w:rPr>
          <w:spacing w:val="-66"/>
        </w:rPr>
      </w:r>
      <w:r>
        <w:rPr/>
        <w:t>限公司、南京寰坤科技发展有限公司董事。其担任本公司董事的任期为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12" w:lineRule="auto" w:before="39"/>
        <w:ind w:right="90" w:firstLine="360"/>
        <w:jc w:val="left"/>
      </w:pPr>
      <w:r>
        <w:rPr>
          <w:spacing w:val="-2"/>
        </w:rPr>
        <w:t>叶子瑜先生，中国国籍，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6</w:t>
      </w:r>
      <w:r>
        <w:rPr>
          <w:spacing w:val="-2"/>
        </w:rPr>
        <w:t>月出生，研究生学历，高级工程师。曾任国营</w:t>
      </w:r>
      <w:r>
        <w:rPr>
          <w:rFonts w:ascii="Times New Roman" w:hAnsi="Times New Roman" w:cs="Times New Roman" w:eastAsia="Times New Roman" w:hint="default"/>
          <w:spacing w:val="-2"/>
        </w:rPr>
        <w:t>750</w:t>
      </w:r>
      <w:r>
        <w:rPr>
          <w:spacing w:val="-2"/>
        </w:rPr>
        <w:t>厂技术工艺科助理工程师，海华电子</w:t>
      </w:r>
      <w:r>
        <w:rPr/>
        <w:t> </w:t>
      </w:r>
      <w:r>
        <w:rPr>
          <w:spacing w:val="-4"/>
        </w:rPr>
        <w:t>工程师、高级工程师、拓展部经理、总工程师，广州科苑电子有限公司副总经理，广州无线电集团军工通讯总公司总工程师，</w:t>
      </w:r>
      <w:r>
        <w:rPr>
          <w:spacing w:val="-44"/>
        </w:rPr>
        <w:t> </w:t>
      </w:r>
      <w:r>
        <w:rPr>
          <w:spacing w:val="-44"/>
        </w:rPr>
      </w:r>
      <w:r>
        <w:rPr>
          <w:spacing w:val="-2"/>
        </w:rPr>
        <w:t>运通电子副总经理。现任本公司董事、总经理，深圳银通、支点投资、中智融通董事长，广州穗通、运通国际及广州龙源董</w:t>
      </w:r>
      <w:r>
        <w:rPr>
          <w:spacing w:val="-65"/>
        </w:rPr>
        <w:t> </w:t>
      </w:r>
      <w:r>
        <w:rPr>
          <w:spacing w:val="-65"/>
        </w:rPr>
      </w:r>
      <w:r>
        <w:rPr/>
        <w:t>事。其担任本公司董事、总经理的任期为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12" w:lineRule="auto" w:before="42"/>
        <w:ind w:right="90" w:firstLine="360"/>
        <w:jc w:val="left"/>
      </w:pPr>
      <w:r>
        <w:rPr/>
        <w:t>曾文先生，中国国籍，拥有新西兰居留权，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月出生，本科学历，工程师。曾任福建建筑工程专科学校教师，福 </w:t>
      </w:r>
      <w:r>
        <w:rPr>
          <w:spacing w:val="-2"/>
        </w:rPr>
        <w:t>建实达电脑有限公司产品经理，广州文东电子有限公司市场总监，吉山通讯科技有限公司市场总监，长天国际控股有限公司</w:t>
      </w:r>
      <w:r>
        <w:rPr>
          <w:spacing w:val="-66"/>
        </w:rPr>
        <w:t> </w:t>
      </w:r>
      <w:r>
        <w:rPr>
          <w:spacing w:val="-66"/>
        </w:rPr>
      </w:r>
      <w:r>
        <w:rPr/>
        <w:t>华南区总监，深圳奥尊电脑公司金融事业部副总经理，运通电子市场总监、副总经理，本公司副总经理。现任本公司董事。 其担任本公司董事的任期为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9" w:lineRule="auto" w:before="41"/>
        <w:ind w:right="188" w:firstLine="360"/>
        <w:jc w:val="both"/>
      </w:pPr>
      <w:r>
        <w:rPr/>
        <w:t>任斌女士，中国国籍，</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月出生，本科学历，会计师、经济师、中国注册会计师、中国注册资产评估师，具备证 </w:t>
      </w:r>
      <w:r>
        <w:rPr>
          <w:spacing w:val="-2"/>
        </w:rPr>
        <w:t>券、期货从业资格。曾任新疆独山子天利高新技术股份有限公司董事会秘书。现任本公司董事、董事会秘书。其担任本公司</w:t>
      </w:r>
      <w:r>
        <w:rPr>
          <w:spacing w:val="-66"/>
        </w:rPr>
        <w:t> </w:t>
      </w:r>
      <w:r>
        <w:rPr>
          <w:spacing w:val="-66"/>
        </w:rPr>
      </w:r>
      <w:r>
        <w:rPr/>
        <w:t>董事的任期为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月（担任本公司董事会秘书的任期为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7" w:lineRule="auto" w:before="43"/>
        <w:ind w:right="188" w:firstLine="360"/>
        <w:jc w:val="both"/>
      </w:pPr>
      <w:r>
        <w:rPr/>
        <w:t>程昆先生，中国国籍，</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4</w:t>
      </w:r>
      <w:r>
        <w:rPr/>
        <w:t>月出生，经济学教授，博士生导师，取得深交所授予的独立董事资格证书。曾任华南农 </w:t>
      </w:r>
      <w:r>
        <w:rPr>
          <w:spacing w:val="-2"/>
        </w:rPr>
        <w:t>业大学经济管理学院教员、讲师、副教授，华南农业大学经济管理学院副院长。现任华南农业大学经济管理学院教授、博士</w:t>
      </w:r>
      <w:r>
        <w:rPr>
          <w:spacing w:val="-66"/>
        </w:rPr>
        <w:t> </w:t>
      </w:r>
      <w:r>
        <w:rPr>
          <w:spacing w:val="-66"/>
        </w:rPr>
      </w:r>
      <w:r>
        <w:rPr>
          <w:spacing w:val="-2"/>
        </w:rPr>
        <w:t>生导师，人文与法学学院院长，广州市风行集团有限公司外部董事及本公司独立董事。其担任本公司独立董事的任期为</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p>
    <w:p>
      <w:pPr>
        <w:pStyle w:val="BodyText"/>
        <w:spacing w:line="312" w:lineRule="auto" w:before="46"/>
        <w:ind w:right="90" w:firstLine="360"/>
        <w:jc w:val="left"/>
      </w:pPr>
      <w:r>
        <w:rPr/>
        <w:t>刘佩莲女士，中国香港籍，</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8</w:t>
      </w:r>
      <w:r>
        <w:rPr/>
        <w:t>月出生，研究生学历，会计师、中国注册会计师、中国注册税务师，取得深交所授 予的独立董事资格证书。曾任立信羊城会计师事务所有限公司董事、副主任会计师，立信羊城会计师事务所有限公司顾问， </w:t>
      </w:r>
      <w:r>
        <w:rPr>
          <w:spacing w:val="-2"/>
        </w:rPr>
        <w:t>武汉万鸿集团股份有限公司独立董事。现任青海华鼎实业股份有限公司顾问、力量矿业能源有限公司独立非执行董事、广东</w:t>
      </w:r>
      <w:r>
        <w:rPr>
          <w:spacing w:val="-66"/>
        </w:rPr>
        <w:t> </w:t>
      </w:r>
      <w:r>
        <w:rPr>
          <w:spacing w:val="-66"/>
        </w:rPr>
      </w:r>
      <w:r>
        <w:rPr/>
        <w:t>科达机电股份有限公司及本公司独立董事。其担任本公司独立董事的任期为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9" w:lineRule="auto" w:before="41"/>
        <w:ind w:right="188" w:firstLine="360"/>
        <w:jc w:val="both"/>
      </w:pPr>
      <w:r>
        <w:rPr/>
        <w:t>高符生女士，中国国籍，</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2</w:t>
      </w:r>
      <w:r>
        <w:rPr/>
        <w:t>月出生，硕士学历，高级会计师，取得上海证券交易所授予的独立董事资格证书。曾 </w:t>
      </w:r>
      <w:r>
        <w:rPr>
          <w:spacing w:val="-2"/>
        </w:rPr>
        <w:t>任广州市纺织品公司、广州万宝进出口公司主管会计，广东天贸集团股份有限公司财务部副总经理，广州市人民政府汽车工</w:t>
      </w:r>
      <w:r>
        <w:rPr>
          <w:spacing w:val="-66"/>
        </w:rPr>
        <w:t> </w:t>
      </w:r>
      <w:r>
        <w:rPr>
          <w:spacing w:val="-66"/>
        </w:rPr>
      </w:r>
      <w:r>
        <w:rPr>
          <w:spacing w:val="-2"/>
        </w:rPr>
        <w:t>业办公室资金处处长，广州汽车集团有限公司财审处处长，骏威汽车有限公司（香港）副总经理兼财务总监。现任广州汽车</w:t>
      </w:r>
      <w:r>
        <w:rPr>
          <w:spacing w:val="-66"/>
        </w:rPr>
        <w:t> </w:t>
      </w:r>
      <w:r>
        <w:rPr>
          <w:spacing w:val="-66"/>
        </w:rPr>
      </w:r>
      <w:r>
        <w:rPr>
          <w:spacing w:val="-5"/>
        </w:rPr>
        <w:t>工业集团有限公司总会计师，广州汽车集团股份有限公司监事会主席，本公司独立董事。其担任本公司独立董事的任期为</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38" w:lineRule="auto" w:before="44"/>
        <w:ind w:left="511" w:right="183" w:firstLine="2"/>
        <w:jc w:val="left"/>
      </w:pPr>
      <w:r>
        <w:rPr>
          <w:rFonts w:ascii="Times New Roman" w:hAnsi="Times New Roman" w:cs="Times New Roman" w:eastAsia="Times New Roman" w:hint="default"/>
        </w:rPr>
        <w:t>2</w:t>
      </w:r>
      <w:r>
        <w:rPr/>
        <w:t>、第三届监事会成员 祝立新先生，中国国籍，</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w:t>
      </w:r>
      <w:r>
        <w:rPr/>
        <w:t>月出生，研究生学历，会计师。曾任广州无线电厂广电部会计，广电集团审计室副主</w:t>
      </w:r>
    </w:p>
    <w:p>
      <w:pPr>
        <w:spacing w:after="0" w:line="338"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90"/>
        <w:jc w:val="left"/>
      </w:pPr>
      <w:r>
        <w:rPr>
          <w:spacing w:val="-2"/>
        </w:rPr>
        <w:t>任、财务部副部长、部长、总裁助理，海格通信副总经理。现任本公司监事会主席，广电集团副总裁兼审计部部长。其担任</w:t>
      </w:r>
      <w:r>
        <w:rPr>
          <w:spacing w:val="-65"/>
        </w:rPr>
        <w:t> </w:t>
      </w:r>
      <w:r>
        <w:rPr>
          <w:spacing w:val="-65"/>
        </w:rPr>
      </w:r>
      <w:r>
        <w:rPr/>
        <w:t>本公司监事会主席的任期为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0" w:lineRule="auto" w:before="35"/>
        <w:ind w:right="191" w:firstLine="357"/>
        <w:jc w:val="both"/>
      </w:pPr>
      <w:r>
        <w:rPr/>
        <w:t>杨永明先生，中国国籍，</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2</w:t>
      </w:r>
      <w:r>
        <w:rPr/>
        <w:t>月出生，大学本科学历，政工师。曾任广电集团团委副书记、团委书记、审计监察部 </w:t>
      </w:r>
      <w:r>
        <w:rPr>
          <w:spacing w:val="-2"/>
        </w:rPr>
        <w:t>副部长。现任本公司监事，广电集团职工监事、工会副主席、纪委副书记。其担任本公司监事的任期为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2"/>
        </w:rPr>
        <w:t> </w:t>
      </w:r>
      <w:r>
        <w:rPr/>
        <w:t>月。</w:t>
      </w:r>
    </w:p>
    <w:p>
      <w:pPr>
        <w:pStyle w:val="BodyText"/>
        <w:spacing w:line="309" w:lineRule="auto" w:before="71"/>
        <w:ind w:right="191" w:firstLine="357"/>
        <w:jc w:val="both"/>
      </w:pPr>
      <w:r>
        <w:rPr/>
        <w:t>冯丰穗女士，中国国籍，</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日出生，本科学历，会计师。曾任广州市糖烟酒公司宣传科干事，广电集团印制 </w:t>
      </w:r>
      <w:r>
        <w:rPr>
          <w:spacing w:val="-2"/>
        </w:rPr>
        <w:t>板厂行政主管、出纳、会计主管，运通电子人力资源部主管、副经理、经理。现任本公司职工监事及工会主席。其担任本公</w:t>
      </w:r>
      <w:r>
        <w:rPr>
          <w:spacing w:val="-65"/>
        </w:rPr>
        <w:t> </w:t>
      </w:r>
      <w:r>
        <w:rPr>
          <w:spacing w:val="-65"/>
        </w:rPr>
      </w:r>
      <w:r>
        <w:rPr/>
        <w:t>司监事的任期为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38" w:lineRule="auto" w:before="44"/>
        <w:ind w:left="511" w:right="2903" w:firstLine="2"/>
        <w:jc w:val="left"/>
      </w:pPr>
      <w:r>
        <w:rPr>
          <w:rFonts w:ascii="Times New Roman" w:hAnsi="Times New Roman" w:cs="Times New Roman" w:eastAsia="Times New Roman" w:hint="default"/>
        </w:rPr>
        <w:t>3</w:t>
      </w:r>
      <w:r>
        <w:rPr/>
        <w:t>、高级管理人员 叶子瑜先生，本公司总经理，简历参阅本年度报告</w:t>
      </w:r>
      <w:r>
        <w:rPr>
          <w:rFonts w:ascii="Times New Roman" w:hAnsi="Times New Roman" w:cs="Times New Roman" w:eastAsia="Times New Roman" w:hint="default"/>
        </w:rPr>
        <w:t>“</w:t>
      </w:r>
      <w:r>
        <w:rPr/>
        <w:t>第七节、二、</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307" w:lineRule="auto" w:before="20"/>
        <w:ind w:right="90" w:firstLine="360"/>
        <w:jc w:val="left"/>
      </w:pPr>
      <w:r>
        <w:rPr>
          <w:spacing w:val="-2"/>
        </w:rPr>
        <w:t>陈振光先生，中国国籍，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11</w:t>
      </w:r>
      <w:r>
        <w:rPr>
          <w:spacing w:val="-2"/>
        </w:rPr>
        <w:t>月出生，研究生学历，工程师。曾任国营</w:t>
      </w:r>
      <w:r>
        <w:rPr>
          <w:rFonts w:ascii="Times New Roman" w:hAnsi="Times New Roman" w:cs="Times New Roman" w:eastAsia="Times New Roman" w:hint="default"/>
          <w:spacing w:val="-2"/>
        </w:rPr>
        <w:t>750</w:t>
      </w:r>
      <w:r>
        <w:rPr>
          <w:spacing w:val="-2"/>
        </w:rPr>
        <w:t>厂收录机分厂技术员，海华电子工程师，</w:t>
      </w:r>
      <w:r>
        <w:rPr/>
        <w:t> </w:t>
      </w:r>
      <w:r>
        <w:rPr>
          <w:spacing w:val="-4"/>
        </w:rPr>
        <w:t>广电集团军工通讯总公司工程师、中心实验室主任，运通电子总经理助理、副总经理。现任本公司副总经理、深圳银通董事，</w:t>
      </w:r>
      <w:r>
        <w:rPr>
          <w:spacing w:val="-44"/>
        </w:rPr>
        <w:t> </w:t>
      </w:r>
      <w:r>
        <w:rPr>
          <w:spacing w:val="-44"/>
        </w:rPr>
      </w:r>
      <w:r>
        <w:rPr/>
        <w:t>广州穗通董事、总经理，深圳鹏通、江苏保通和石家庄银通董事长。其担任本公司副总经理的任期为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月。</w:t>
      </w:r>
    </w:p>
    <w:p>
      <w:pPr>
        <w:pStyle w:val="BodyText"/>
        <w:spacing w:line="309" w:lineRule="auto" w:before="64"/>
        <w:ind w:right="188" w:firstLine="360"/>
        <w:jc w:val="both"/>
      </w:pPr>
      <w:r>
        <w:rPr/>
        <w:t>束萌先生，中国国籍，</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2</w:t>
      </w:r>
      <w:r>
        <w:rPr/>
        <w:t>月出生，本科学历，高级工程师。曾任安徽凤阳县化肥厂电工，淮南矿业学院教师，中 </w:t>
      </w:r>
      <w:r>
        <w:rPr>
          <w:spacing w:val="-2"/>
        </w:rPr>
        <w:t>国农业银行安徽省分行副科长、副处长、处长，北京龙翔达信息技术有限公司副总经理，运通电子副总经理。现任本公司副</w:t>
      </w:r>
      <w:r>
        <w:rPr>
          <w:spacing w:val="-66"/>
        </w:rPr>
        <w:t> </w:t>
      </w:r>
      <w:r>
        <w:rPr>
          <w:spacing w:val="-66"/>
        </w:rPr>
      </w:r>
      <w:r>
        <w:rPr/>
        <w:t>总经理、深圳银通、中智融通董事。其担任本公司副总经理的任期为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9" w:lineRule="auto" w:before="43"/>
        <w:ind w:right="188" w:firstLine="360"/>
        <w:jc w:val="both"/>
      </w:pPr>
      <w:r>
        <w:rPr/>
        <w:t>陈建良先生，中国国籍，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月出生，研究生学历，工程师。曾任广州无线电厂电视机分厂结构设计师、设计室主 </w:t>
      </w:r>
      <w:r>
        <w:rPr>
          <w:spacing w:val="-2"/>
        </w:rPr>
        <w:t>任和采购部经理，运通电子结构设计部经理、物料部经理、总经理助理。现任本公司副总经理、深圳银通董事、总经理、广</w:t>
      </w:r>
      <w:r>
        <w:rPr>
          <w:spacing w:val="-65"/>
        </w:rPr>
        <w:t> </w:t>
      </w:r>
      <w:r>
        <w:rPr>
          <w:spacing w:val="-65"/>
        </w:rPr>
      </w:r>
      <w:r>
        <w:rPr/>
        <w:t>州穗通、中智融通董事。其担任本公司副总经理的任期为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12" w:lineRule="auto" w:before="44"/>
        <w:ind w:right="188" w:firstLine="360"/>
        <w:jc w:val="both"/>
      </w:pPr>
      <w:r>
        <w:rPr/>
        <w:t>李叶东先生，中国国籍，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月出生，本科学历。曾任合肥天鹅空调器科技有限公司助理工程师，东莞大同机械有 </w:t>
      </w:r>
      <w:r>
        <w:rPr>
          <w:spacing w:val="-2"/>
        </w:rPr>
        <w:t>限公司工程部副经理，顺德科达自动化有限公司项目主管，广州神通电信科技有限公司工程师，运通电子硬件工程师、硬件</w:t>
      </w:r>
      <w:r>
        <w:rPr>
          <w:spacing w:val="-66"/>
        </w:rPr>
        <w:t> </w:t>
      </w:r>
      <w:r>
        <w:rPr>
          <w:spacing w:val="-66"/>
        </w:rPr>
      </w:r>
      <w:r>
        <w:rPr>
          <w:spacing w:val="-2"/>
        </w:rPr>
        <w:t>开发部模块组主任、海外客户服务部副经理、经理、总经理助理。现任本公司副总经理，运通国际董事、总经理。其担任本</w:t>
      </w:r>
      <w:r>
        <w:rPr>
          <w:spacing w:val="-65"/>
        </w:rPr>
        <w:t> </w:t>
      </w:r>
      <w:r>
        <w:rPr>
          <w:spacing w:val="-65"/>
        </w:rPr>
      </w:r>
      <w:r>
        <w:rPr/>
        <w:t>公司副总经理的任期为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2" w:lineRule="auto" w:before="41"/>
        <w:ind w:right="198" w:firstLine="360"/>
        <w:jc w:val="both"/>
      </w:pPr>
      <w:r>
        <w:rPr/>
        <w:t>罗攀峰先生，中国国籍，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月出生，研究生学历。曾任本公司系统集成部经理、金融市场部经理、市场总监、总 经理助理。现任本公司副总经理，中智融通董事。其担任本公司副总经理的任期为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300" w:lineRule="auto" w:before="49"/>
        <w:ind w:right="187" w:firstLine="360"/>
        <w:jc w:val="both"/>
      </w:pPr>
      <w:r>
        <w:rPr/>
        <w:t>魏东先生，中国国籍，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月出生，研究生学历。曾任本公司工业设计部工程师、工业设计部取款机芯组主任、上 海研发中心经理、研究院副总工程师、制造中心生产总监、总经理助理。现任本公司副总经理，任期为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w:t>
      </w:r>
      <w:r>
        <w:rPr/>
        <w:t>月。</w:t>
      </w:r>
    </w:p>
    <w:p>
      <w:pPr>
        <w:pStyle w:val="BodyText"/>
        <w:spacing w:line="309" w:lineRule="auto" w:before="52"/>
        <w:ind w:right="188" w:firstLine="360"/>
        <w:jc w:val="both"/>
      </w:pPr>
      <w:r>
        <w:rPr>
          <w:spacing w:val="-2"/>
        </w:rPr>
        <w:t>蒋春晨先生，中国国籍，</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月出生，本科学历，会计师，中国注册会计师协会非执业会员。曾任江西电视机厂主</w:t>
      </w:r>
      <w:r>
        <w:rPr/>
        <w:t> </w:t>
      </w:r>
      <w:r>
        <w:rPr>
          <w:spacing w:val="-2"/>
        </w:rPr>
        <w:t>办会计，赣新电视有限公司财务主管，中国人寿保险公司吉安分公司会计师，广电集团审计师，运通电子财务部经理。现任</w:t>
      </w:r>
      <w:r>
        <w:rPr>
          <w:spacing w:val="-66"/>
        </w:rPr>
        <w:t> </w:t>
      </w:r>
      <w:r>
        <w:rPr>
          <w:spacing w:val="-66"/>
        </w:rPr>
      </w:r>
      <w:r>
        <w:rPr>
          <w:spacing w:val="-2"/>
        </w:rPr>
        <w:t>本公司财务负责人、财务总监，支点投资董事，深圳银通、广州穗通、广州龙源、中智融通监事。其担任本公司财务负责人</w:t>
      </w:r>
    </w:p>
    <w:p>
      <w:pPr>
        <w:pStyle w:val="BodyText"/>
        <w:spacing w:line="338" w:lineRule="auto" w:before="25"/>
        <w:ind w:left="514" w:right="2720" w:hanging="360"/>
        <w:jc w:val="left"/>
      </w:pPr>
      <w:r>
        <w:rPr/>
        <w:t>（财务总监）的任期为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 任斌女士，本公司董事会秘书，简历参阅本年度报告</w:t>
      </w:r>
      <w:r>
        <w:rPr>
          <w:rFonts w:ascii="Times New Roman" w:hAnsi="Times New Roman" w:cs="Times New Roman" w:eastAsia="Times New Roman" w:hint="default"/>
        </w:rPr>
        <w:t>“</w:t>
      </w:r>
      <w:r>
        <w:rPr/>
        <w:t>第七节、二、</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6"/>
          <w:szCs w:val="16"/>
        </w:rPr>
      </w:pPr>
    </w:p>
    <w:p>
      <w:pPr>
        <w:pStyle w:val="BodyText"/>
        <w:spacing w:line="240" w:lineRule="auto"/>
        <w:ind w:right="90"/>
        <w:jc w:val="left"/>
      </w:pPr>
      <w:r>
        <w:rPr/>
        <w:t>在股东单位任职情况</w:t>
      </w:r>
    </w:p>
    <w:p>
      <w:pPr>
        <w:pStyle w:val="BodyText"/>
        <w:spacing w:line="240" w:lineRule="auto" w:before="117"/>
        <w:ind w:right="90"/>
        <w:jc w:val="left"/>
      </w:pPr>
      <w:r>
        <w:rPr/>
        <w:t>√ 适用 □ 不适用</w:t>
      </w:r>
    </w:p>
    <w:p>
      <w:pPr>
        <w:spacing w:line="240" w:lineRule="auto" w:before="1"/>
        <w:rPr>
          <w:rFonts w:ascii="宋体" w:hAnsi="宋体" w:cs="宋体" w:eastAsia="宋体" w:hint="default"/>
          <w:sz w:val="8"/>
          <w:szCs w:val="8"/>
        </w:rPr>
      </w:pPr>
    </w:p>
    <w:tbl>
      <w:tblPr>
        <w:tblW w:w="0" w:type="auto"/>
        <w:jc w:val="left"/>
        <w:tblInd w:w="163" w:type="dxa"/>
        <w:tblLayout w:type="fixed"/>
        <w:tblCellMar>
          <w:top w:w="0" w:type="dxa"/>
          <w:left w:w="0" w:type="dxa"/>
          <w:bottom w:w="0" w:type="dxa"/>
          <w:right w:w="0" w:type="dxa"/>
        </w:tblCellMar>
        <w:tblLook w:val="01E0"/>
      </w:tblPr>
      <w:tblGrid>
        <w:gridCol w:w="706"/>
        <w:gridCol w:w="2160"/>
        <w:gridCol w:w="2880"/>
        <w:gridCol w:w="1620"/>
        <w:gridCol w:w="900"/>
        <w:gridCol w:w="1343"/>
      </w:tblGrid>
      <w:tr>
        <w:trPr>
          <w:trHeight w:val="714" w:hRule="exact"/>
        </w:trPr>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董事长、党委书记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副董事长、总裁、党委副书记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3" w:type="dxa"/>
        <w:tblLayout w:type="fixed"/>
        <w:tblCellMar>
          <w:top w:w="0" w:type="dxa"/>
          <w:left w:w="0" w:type="dxa"/>
          <w:bottom w:w="0" w:type="dxa"/>
          <w:right w:w="0" w:type="dxa"/>
        </w:tblCellMar>
        <w:tblLook w:val="01E0"/>
      </w:tblPr>
      <w:tblGrid>
        <w:gridCol w:w="706"/>
        <w:gridCol w:w="2160"/>
        <w:gridCol w:w="2880"/>
        <w:gridCol w:w="1620"/>
        <w:gridCol w:w="900"/>
        <w:gridCol w:w="1343"/>
      </w:tblGrid>
      <w:tr>
        <w:trPr>
          <w:trHeight w:val="40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副总裁、审计部部长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职工监事、工会副主席、纪委副书记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744"/>
        <w:gridCol w:w="3287"/>
        <w:gridCol w:w="1063"/>
        <w:gridCol w:w="1566"/>
        <w:gridCol w:w="1640"/>
        <w:gridCol w:w="1386"/>
      </w:tblGrid>
      <w:tr>
        <w:trPr>
          <w:trHeight w:val="714" w:hRule="exact"/>
        </w:trPr>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7" w:right="5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吉林制药股份有限公司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北京海格资产管理有限公司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武汉广电房地产开发有限公司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武汉广电海格房地产开发有限公司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北京海格神舟通信科技有限公司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北京海格资产管理有限公司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广东南方海岸科技服务有限公司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北京爱尔达电子设备有限公司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广州润芯信息技术有限公司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广州海格天立通信息技术有限公司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陕西海通天线有限责任公司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南京寰坤科技发展有限公司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武汉广电海格房地产开发有限公司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武汉广电房地产开发有限公司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744"/>
        <w:gridCol w:w="3287"/>
        <w:gridCol w:w="1063"/>
        <w:gridCol w:w="1566"/>
        <w:gridCol w:w="1640"/>
        <w:gridCol w:w="1386"/>
      </w:tblGrid>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  昆</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华南农业大学经济管理学院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人文与法学学院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广州市风行集团有限公司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青海华鼎实业股份有限公司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广东科达机电股份有限公司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力量矿业能源有限公司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高符生</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广州汽车工业集团有限公司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广州汽车集团股份有限公司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江苏保通金融外包服务有限公司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石家庄银通金融服务有限公司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  萌</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44" w:type="dxa"/>
            <w:vMerge/>
            <w:tcBorders>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0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656"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90" w:hanging="360"/>
        <w:jc w:val="left"/>
      </w:pPr>
      <w:r>
        <w:rPr/>
        <w:t>董事、监事、高级管理人员报酬的决策程序、确定依据 </w:t>
      </w:r>
      <w:r>
        <w:rPr>
          <w:spacing w:val="-2"/>
        </w:rPr>
        <w:t>在公司任职的董事、监事未在公司领薪，兼任公司董事、监事的高管、员工不以董事、监事职务领取报酬。高管人员按</w:t>
      </w:r>
    </w:p>
    <w:p>
      <w:pPr>
        <w:pStyle w:val="BodyText"/>
        <w:spacing w:line="224" w:lineRule="exact"/>
        <w:ind w:left="153" w:right="0"/>
        <w:jc w:val="both"/>
      </w:pPr>
      <w:r>
        <w:rPr/>
        <w:t>其职务根据公司董事会批准的《高管层年度业绩考核与薪酬管理办法》，在每年年初落实有关考核指标及相关事项，在年度</w:t>
      </w:r>
    </w:p>
    <w:p>
      <w:pPr>
        <w:pStyle w:val="BodyText"/>
        <w:spacing w:line="309" w:lineRule="auto" w:before="76"/>
        <w:ind w:left="153" w:right="191"/>
        <w:jc w:val="both"/>
      </w:pPr>
      <w:r>
        <w:rPr>
          <w:spacing w:val="-2"/>
        </w:rPr>
        <w:t>结束后对全年计划完成情况进行考核，由董事会薪酬与考核委员会审议通过相关议案后，提交董事会审议，按照考核结果兑</w:t>
      </w:r>
      <w:r>
        <w:rPr>
          <w:spacing w:val="-66"/>
        </w:rPr>
        <w:t> </w:t>
      </w:r>
      <w:r>
        <w:rPr>
          <w:spacing w:val="-66"/>
        </w:rPr>
      </w:r>
      <w:r>
        <w:rPr>
          <w:spacing w:val="-1"/>
        </w:rPr>
        <w:t>现绩效年薪和奖励。独立董事津贴按照股东大会决议执行，为每人</w:t>
      </w:r>
      <w:r>
        <w:rPr>
          <w:rFonts w:ascii="Times New Roman" w:hAnsi="Times New Roman" w:cs="Times New Roman" w:eastAsia="Times New Roman" w:hint="default"/>
          <w:spacing w:val="-1"/>
        </w:rPr>
        <w:t>8</w:t>
      </w:r>
      <w:r>
        <w:rPr>
          <w:spacing w:val="-1"/>
        </w:rPr>
        <w:t>万元</w:t>
      </w:r>
      <w:r>
        <w:rPr>
          <w:rFonts w:ascii="Times New Roman" w:hAnsi="Times New Roman" w:cs="Times New Roman" w:eastAsia="Times New Roman" w:hint="default"/>
          <w:spacing w:val="-1"/>
        </w:rPr>
        <w:t>/</w:t>
      </w:r>
      <w:r>
        <w:rPr>
          <w:spacing w:val="-1"/>
        </w:rPr>
        <w:t>年，均按具体任职时间及规定发放；独立董事参加</w:t>
      </w:r>
      <w:r>
        <w:rPr>
          <w:spacing w:val="-79"/>
        </w:rPr>
        <w:t> </w:t>
      </w:r>
      <w:r>
        <w:rPr>
          <w:spacing w:val="-79"/>
        </w:rPr>
      </w:r>
      <w:r>
        <w:rPr/>
        <w:t>会议发生的差旅费，办公费等履职费用由本公司承担。</w:t>
      </w:r>
    </w:p>
    <w:p>
      <w:pPr>
        <w:spacing w:line="240" w:lineRule="auto" w:before="10"/>
        <w:rPr>
          <w:rFonts w:ascii="宋体" w:hAnsi="宋体" w:cs="宋体" w:eastAsia="宋体" w:hint="default"/>
          <w:sz w:val="16"/>
          <w:szCs w:val="16"/>
        </w:rPr>
      </w:pPr>
    </w:p>
    <w:p>
      <w:pPr>
        <w:pStyle w:val="BodyText"/>
        <w:spacing w:line="240" w:lineRule="auto" w:before="44"/>
        <w:ind w:left="153" w:right="90"/>
        <w:jc w:val="left"/>
      </w:pPr>
      <w:r>
        <w:rPr/>
        <w:t>公司报告期内董事、监事和高级管理人员报酬情况</w:t>
      </w:r>
    </w:p>
    <w:p>
      <w:pPr>
        <w:pStyle w:val="BodyText"/>
        <w:spacing w:line="240" w:lineRule="auto" w:before="117"/>
        <w:ind w:left="0" w:right="558"/>
        <w:jc w:val="right"/>
      </w:pPr>
      <w:r>
        <w:rPr/>
        <w:t>单位：元</w:t>
      </w:r>
    </w:p>
    <w:p>
      <w:pPr>
        <w:spacing w:line="240" w:lineRule="auto" w:before="13"/>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720"/>
        <w:gridCol w:w="1800"/>
        <w:gridCol w:w="540"/>
        <w:gridCol w:w="540"/>
        <w:gridCol w:w="720"/>
        <w:gridCol w:w="1620"/>
        <w:gridCol w:w="1800"/>
        <w:gridCol w:w="1800"/>
      </w:tblGrid>
      <w:tr>
        <w:trPr>
          <w:trHeight w:val="754"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姓名</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0" w:lineRule="auto" w:before="51"/>
              <w:ind w:left="173" w:right="17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443" w:right="84" w:hanging="360"/>
              <w:jc w:val="left"/>
              <w:rPr>
                <w:rFonts w:ascii="宋体" w:hAnsi="宋体" w:cs="宋体" w:eastAsia="宋体" w:hint="default"/>
                <w:sz w:val="18"/>
                <w:szCs w:val="18"/>
              </w:rPr>
            </w:pPr>
            <w:r>
              <w:rPr>
                <w:rFonts w:ascii="宋体" w:hAnsi="宋体" w:cs="宋体" w:eastAsia="宋体" w:hint="default"/>
                <w:sz w:val="18"/>
                <w:szCs w:val="18"/>
              </w:rPr>
              <w:t>从公司获得的应付 报酬总额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623" w:right="84" w:hanging="540"/>
              <w:jc w:val="left"/>
              <w:rPr>
                <w:rFonts w:ascii="宋体" w:hAnsi="宋体" w:cs="宋体" w:eastAsia="宋体" w:hint="default"/>
                <w:sz w:val="18"/>
                <w:szCs w:val="18"/>
              </w:rPr>
            </w:pPr>
            <w:r>
              <w:rPr>
                <w:rFonts w:ascii="宋体" w:hAnsi="宋体" w:cs="宋体" w:eastAsia="宋体" w:hint="default"/>
                <w:sz w:val="18"/>
                <w:szCs w:val="18"/>
              </w:rPr>
              <w:t>从股东单位获得的报 酬总额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803" w:right="84" w:hanging="720"/>
              <w:jc w:val="left"/>
              <w:rPr>
                <w:rFonts w:ascii="宋体" w:hAnsi="宋体" w:cs="宋体" w:eastAsia="宋体" w:hint="default"/>
                <w:sz w:val="18"/>
                <w:szCs w:val="18"/>
              </w:rPr>
            </w:pPr>
            <w:r>
              <w:rPr>
                <w:rFonts w:ascii="宋体" w:hAnsi="宋体" w:cs="宋体" w:eastAsia="宋体" w:hint="default"/>
                <w:sz w:val="18"/>
                <w:szCs w:val="18"/>
              </w:rPr>
              <w:t>报告期末实际获得报 酬</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赵友永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8" w:space="0" w:color="D3D3D3"/>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z w:val="18"/>
              </w:rPr>
              <w:t>585,000.00</w:t>
            </w:r>
          </w:p>
        </w:tc>
        <w:tc>
          <w:tcPr>
            <w:tcW w:w="1800" w:type="dxa"/>
            <w:tcBorders>
              <w:top w:val="single" w:sz="12" w:space="0" w:color="D3D3D3"/>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585,000.00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杨海洲</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585,000.00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叶子瑜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曾  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任  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李进一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38,147.14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38,147.14</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程  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刘佩莲</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高符生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77,146.71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77,146.71</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祝立新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351,000.00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杨永明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323,800.00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冯丰穗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职工监事、工会主席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247,620.00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247,620.00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陈振光</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束  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陈建良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李叶东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康  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216,300.00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罗攀峰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魏  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705,000.00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蒋春晨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616,000.00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10,666,213.85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12,511,013.85</w:t>
            </w:r>
          </w:p>
        </w:tc>
      </w:tr>
    </w:tbl>
    <w:p>
      <w:pPr>
        <w:pStyle w:val="BodyText"/>
        <w:spacing w:line="240" w:lineRule="auto" w:before="51"/>
        <w:ind w:right="90"/>
        <w:jc w:val="left"/>
      </w:pPr>
      <w:r>
        <w:rPr/>
        <w:t>公司董事、监事、高级管理人员报告期内被授予的股权激励情况</w:t>
      </w:r>
    </w:p>
    <w:p>
      <w:pPr>
        <w:pStyle w:val="BodyText"/>
        <w:spacing w:line="240" w:lineRule="auto" w:before="116"/>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121"/>
        <w:gridCol w:w="154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第二届监事会任期届满不再担任公司监事职务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李进一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因连任公司独立董事时间已满六年离任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因个人原因申请辞去公司副总经理职务及其他职务</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rPr>
          <w:rFonts w:ascii="Times New Roman" w:hAnsi="Times New Roman" w:cs="Times New Roman" w:eastAsia="Times New Roman" w:hint="default"/>
        </w:rPr>
      </w:pPr>
      <w:r>
        <w:rPr/>
        <w:t>截至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2"/>
        </w:rPr>
        <w:t>日，与公司签订正式劳动用工合同的员工总数为</w:t>
      </w:r>
      <w:r>
        <w:rPr>
          <w:spacing w:val="-46"/>
        </w:rPr>
        <w:t> </w:t>
      </w:r>
      <w:r>
        <w:rPr>
          <w:rFonts w:ascii="Times New Roman" w:hAnsi="Times New Roman" w:cs="Times New Roman" w:eastAsia="Times New Roman" w:hint="default"/>
        </w:rPr>
        <w:t>4,729</w:t>
      </w:r>
      <w:r>
        <w:rPr>
          <w:rFonts w:ascii="Times New Roman" w:hAnsi="Times New Roman" w:cs="Times New Roman" w:eastAsia="Times New Roman" w:hint="default"/>
          <w:spacing w:val="-1"/>
        </w:rPr>
        <w:t> </w:t>
      </w:r>
      <w:r>
        <w:rPr>
          <w:spacing w:val="-13"/>
        </w:rPr>
        <w:t>人（其中：本部</w:t>
      </w:r>
      <w:r>
        <w:rPr>
          <w:spacing w:val="-46"/>
        </w:rPr>
        <w:t> </w:t>
      </w:r>
      <w:r>
        <w:rPr>
          <w:rFonts w:ascii="Times New Roman" w:hAnsi="Times New Roman" w:cs="Times New Roman" w:eastAsia="Times New Roman" w:hint="default"/>
        </w:rPr>
        <w:t>1,581</w:t>
      </w:r>
      <w:r>
        <w:rPr>
          <w:rFonts w:ascii="Times New Roman" w:hAnsi="Times New Roman" w:cs="Times New Roman" w:eastAsia="Times New Roman" w:hint="default"/>
          <w:spacing w:val="-1"/>
        </w:rPr>
        <w:t> </w:t>
      </w:r>
      <w:r>
        <w:rPr>
          <w:spacing w:val="-6"/>
        </w:rPr>
        <w:t>人，全资子公司</w:t>
      </w:r>
      <w:r>
        <w:rPr>
          <w:spacing w:val="-46"/>
        </w:rPr>
        <w:t> </w:t>
      </w:r>
      <w:r>
        <w:rPr>
          <w:rFonts w:ascii="Times New Roman" w:hAnsi="Times New Roman" w:cs="Times New Roman" w:eastAsia="Times New Roman" w:hint="default"/>
        </w:rPr>
        <w:t>2,813</w:t>
      </w:r>
    </w:p>
    <w:p>
      <w:pPr>
        <w:pStyle w:val="BodyText"/>
        <w:spacing w:line="240" w:lineRule="auto" w:before="64"/>
        <w:ind w:right="0"/>
        <w:jc w:val="left"/>
      </w:pPr>
      <w:r>
        <w:rPr/>
        <w:t>人，控股子公司</w:t>
      </w:r>
      <w:r>
        <w:rPr>
          <w:spacing w:val="-46"/>
        </w:rPr>
        <w:t> </w:t>
      </w:r>
      <w:r>
        <w:rPr>
          <w:rFonts w:ascii="Times New Roman" w:hAnsi="Times New Roman" w:cs="Times New Roman" w:eastAsia="Times New Roman" w:hint="default"/>
        </w:rPr>
        <w:t>335</w:t>
      </w:r>
      <w:r>
        <w:rPr>
          <w:rFonts w:ascii="Times New Roman" w:hAnsi="Times New Roman" w:cs="Times New Roman" w:eastAsia="Times New Roman" w:hint="default"/>
          <w:spacing w:val="-1"/>
        </w:rPr>
        <w:t> </w:t>
      </w:r>
      <w:r>
        <w:rPr/>
        <w:t>人</w:t>
      </w:r>
      <w:r>
        <w:rPr>
          <w:spacing w:val="-90"/>
        </w:rPr>
        <w:t>）</w:t>
      </w:r>
      <w:r>
        <w:rPr/>
        <w:t>。</w:t>
      </w:r>
      <w:r>
        <w:rPr>
          <w:spacing w:val="1"/>
        </w:rPr>
        <w:t>其</w:t>
      </w:r>
      <w:r>
        <w:rPr/>
        <w:t>专业构成、教育程度情况如下：</w:t>
      </w:r>
    </w:p>
    <w:p>
      <w:pPr>
        <w:pStyle w:val="BodyText"/>
        <w:spacing w:line="240" w:lineRule="auto" w:before="102"/>
        <w:ind w:left="514" w:right="0"/>
        <w:jc w:val="left"/>
      </w:pPr>
      <w:r>
        <w:rPr>
          <w:rFonts w:ascii="Times New Roman" w:hAnsi="Times New Roman" w:cs="Times New Roman" w:eastAsia="Times New Roman" w:hint="default"/>
        </w:rPr>
        <w:t>1</w:t>
      </w:r>
      <w:r>
        <w:rPr/>
        <w:t>、专业构成情况如下：</w:t>
      </w:r>
    </w:p>
    <w:p>
      <w:pPr>
        <w:spacing w:line="240" w:lineRule="auto" w:before="13"/>
        <w:rPr>
          <w:rFonts w:ascii="宋体" w:hAnsi="宋体" w:cs="宋体" w:eastAsia="宋体" w:hint="default"/>
          <w:sz w:val="6"/>
          <w:szCs w:val="6"/>
        </w:rPr>
      </w:pPr>
    </w:p>
    <w:tbl>
      <w:tblPr>
        <w:tblW w:w="0" w:type="auto"/>
        <w:jc w:val="left"/>
        <w:tblInd w:w="361" w:type="dxa"/>
        <w:tblLayout w:type="fixed"/>
        <w:tblCellMar>
          <w:top w:w="0" w:type="dxa"/>
          <w:left w:w="0" w:type="dxa"/>
          <w:bottom w:w="0" w:type="dxa"/>
          <w:right w:w="0" w:type="dxa"/>
        </w:tblCellMar>
        <w:tblLook w:val="01E0"/>
      </w:tblPr>
      <w:tblGrid>
        <w:gridCol w:w="2671"/>
        <w:gridCol w:w="3114"/>
        <w:gridCol w:w="3427"/>
      </w:tblGrid>
      <w:tr>
        <w:trPr>
          <w:trHeight w:val="580" w:hRule="exact"/>
        </w:trPr>
        <w:tc>
          <w:tcPr>
            <w:tcW w:w="2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3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占公司总人数比例（</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r>
      <w:tr>
        <w:trPr>
          <w:trHeight w:val="340"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397</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8.40%</w:t>
            </w:r>
          </w:p>
        </w:tc>
      </w:tr>
      <w:tr>
        <w:trPr>
          <w:trHeight w:val="340"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285</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6.03%</w:t>
            </w:r>
          </w:p>
        </w:tc>
      </w:tr>
      <w:tr>
        <w:trPr>
          <w:trHeight w:val="341"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565</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11.95%</w:t>
            </w:r>
          </w:p>
        </w:tc>
      </w:tr>
      <w:tr>
        <w:trPr>
          <w:trHeight w:val="340"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834</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17.64%</w:t>
            </w:r>
          </w:p>
        </w:tc>
      </w:tr>
      <w:tr>
        <w:trPr>
          <w:trHeight w:val="340"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营运人员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0.82%</w:t>
            </w:r>
          </w:p>
        </w:tc>
      </w:tr>
      <w:tr>
        <w:trPr>
          <w:trHeight w:val="341" w:hRule="exact"/>
        </w:trPr>
        <w:tc>
          <w:tcPr>
            <w:tcW w:w="2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服务人员</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2,609</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55.17%</w:t>
            </w:r>
          </w:p>
        </w:tc>
      </w:tr>
      <w:tr>
        <w:trPr>
          <w:trHeight w:val="340" w:hRule="exact"/>
        </w:trPr>
        <w:tc>
          <w:tcPr>
            <w:tcW w:w="26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4,729</w:t>
            </w:r>
          </w:p>
        </w:tc>
        <w:tc>
          <w:tcPr>
            <w:tcW w:w="3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sz w:val="14"/>
          <w:szCs w:val="14"/>
        </w:rPr>
      </w:pPr>
    </w:p>
    <w:p>
      <w:pPr>
        <w:pStyle w:val="Heading4"/>
        <w:spacing w:line="240" w:lineRule="auto"/>
        <w:ind w:right="0"/>
        <w:jc w:val="center"/>
        <w:rPr>
          <w:b w:val="0"/>
          <w:bCs w:val="0"/>
        </w:rPr>
      </w:pPr>
      <w:r>
        <w:rPr/>
        <w:t>专业构成</w:t>
      </w:r>
      <w:r>
        <w:rPr>
          <w:b w:val="0"/>
          <w:bCs w:val="0"/>
        </w:rPr>
      </w:r>
    </w:p>
    <w:p>
      <w:pPr>
        <w:spacing w:line="240" w:lineRule="auto" w:before="1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3"/>
        <w:rPr>
          <w:rFonts w:ascii="宋体" w:hAnsi="宋体" w:cs="宋体" w:eastAsia="宋体" w:hint="default"/>
          <w:b/>
          <w:bCs/>
          <w:sz w:val="10"/>
          <w:szCs w:val="10"/>
        </w:rPr>
      </w:pPr>
    </w:p>
    <w:p>
      <w:pPr>
        <w:spacing w:line="186" w:lineRule="exact" w:before="0"/>
        <w:ind w:left="3439" w:right="0" w:hanging="114"/>
        <w:jc w:val="left"/>
        <w:rPr>
          <w:rFonts w:ascii="宋体" w:hAnsi="宋体" w:cs="宋体" w:eastAsia="宋体" w:hint="default"/>
          <w:sz w:val="15"/>
          <w:szCs w:val="15"/>
        </w:rPr>
      </w:pPr>
      <w:r>
        <w:rPr>
          <w:rFonts w:ascii="宋体" w:hAnsi="宋体" w:cs="宋体" w:eastAsia="宋体" w:hint="default"/>
          <w:spacing w:val="-1"/>
          <w:sz w:val="15"/>
          <w:szCs w:val="15"/>
        </w:rPr>
        <w:t>销售人员285</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人,6.03%</w:t>
      </w:r>
    </w:p>
    <w:p>
      <w:pPr>
        <w:spacing w:line="240" w:lineRule="auto" w:before="6"/>
        <w:rPr>
          <w:rFonts w:ascii="宋体" w:hAnsi="宋体" w:cs="宋体" w:eastAsia="宋体" w:hint="default"/>
          <w:sz w:val="19"/>
          <w:szCs w:val="19"/>
        </w:rPr>
      </w:pPr>
    </w:p>
    <w:p>
      <w:pPr>
        <w:spacing w:line="186" w:lineRule="exact" w:before="0"/>
        <w:ind w:left="3064" w:right="371" w:hanging="114"/>
        <w:jc w:val="left"/>
        <w:rPr>
          <w:rFonts w:ascii="宋体" w:hAnsi="宋体" w:cs="宋体" w:eastAsia="宋体" w:hint="default"/>
          <w:sz w:val="15"/>
          <w:szCs w:val="15"/>
        </w:rPr>
      </w:pPr>
      <w:r>
        <w:rPr>
          <w:rFonts w:ascii="宋体" w:hAnsi="宋体" w:cs="宋体" w:eastAsia="宋体" w:hint="default"/>
          <w:sz w:val="15"/>
          <w:szCs w:val="15"/>
        </w:rPr>
        <w:t>管理人员397</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人,8.40%</w:t>
      </w:r>
    </w:p>
    <w:p>
      <w:pPr>
        <w:spacing w:line="186" w:lineRule="exact" w:before="82"/>
        <w:ind w:left="556" w:right="641" w:hanging="76"/>
        <w:jc w:val="left"/>
        <w:rPr>
          <w:rFonts w:ascii="宋体" w:hAnsi="宋体" w:cs="宋体" w:eastAsia="宋体" w:hint="default"/>
          <w:sz w:val="15"/>
          <w:szCs w:val="15"/>
        </w:rPr>
      </w:pPr>
      <w:r>
        <w:rPr/>
        <w:br w:type="column"/>
      </w:r>
      <w:r>
        <w:rPr>
          <w:rFonts w:ascii="宋体" w:hAnsi="宋体" w:cs="宋体" w:eastAsia="宋体" w:hint="default"/>
          <w:sz w:val="15"/>
          <w:szCs w:val="15"/>
        </w:rPr>
        <w:t>研发人员565</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人,11.95%</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3"/>
        <w:rPr>
          <w:rFonts w:ascii="宋体" w:hAnsi="宋体" w:cs="宋体" w:eastAsia="宋体" w:hint="default"/>
          <w:sz w:val="10"/>
          <w:szCs w:val="10"/>
        </w:rPr>
      </w:pPr>
    </w:p>
    <w:p>
      <w:pPr>
        <w:spacing w:line="186" w:lineRule="exact" w:before="0"/>
        <w:ind w:left="1201" w:right="0" w:hanging="76"/>
        <w:jc w:val="left"/>
        <w:rPr>
          <w:rFonts w:ascii="宋体" w:hAnsi="宋体" w:cs="宋体" w:eastAsia="宋体" w:hint="default"/>
          <w:sz w:val="15"/>
          <w:szCs w:val="15"/>
        </w:rPr>
      </w:pPr>
      <w:r>
        <w:rPr/>
        <w:pict>
          <v:group style="position:absolute;margin-left:239.490005pt;margin-top:-24.15016pt;width:139.15pt;height:112.25pt;mso-position-horizontal-relative:page;mso-position-vertical-relative:paragraph;z-index:-1105768" coordorigin="4790,-483" coordsize="2783,2245">
            <v:group style="position:absolute;left:5545;top:-386;width:910;height:957" coordorigin="5545,-386" coordsize="910,957">
              <v:shape style="position:absolute;left:5545;top:-386;width:910;height:957" coordorigin="5545,-386" coordsize="910,957" path="m6113,-386l6033,-384,5954,-377,5875,-366,5796,-351,5718,-332,5641,-309,5564,-282,5545,-275,6132,570,6455,-354,6433,-359,6353,-371,6273,-380,6193,-385,6113,-386xe" filled="true" fillcolor="#ffffcc" stroked="false">
                <v:path arrowok="t"/>
                <v:fill type="solid"/>
              </v:shape>
            </v:group>
            <v:group style="position:absolute;left:5545;top:-386;width:910;height:957" coordorigin="5545,-386" coordsize="910,957">
              <v:shape style="position:absolute;left:5545;top:-386;width:910;height:957" coordorigin="5545,-386" coordsize="910,957" path="m5545,-275l5641,-309,5718,-332,5796,-351,5875,-366,5954,-377,6033,-384,6113,-386,6193,-385,6273,-380,6353,-371,6433,-359,6455,-354,6132,570,5545,-275xe" filled="false" stroked="true" strokeweight=".459pt" strokecolor="#000000">
                <v:path arrowok="t"/>
              </v:shape>
            </v:group>
            <v:group style="position:absolute;left:5980;top:-482;width:108;height:104" coordorigin="5980,-482" coordsize="108,104">
              <v:shape style="position:absolute;left:5980;top:-482;width:108;height:104" coordorigin="5980,-482" coordsize="108,104" path="m6088,-482l6088,-408,5980,-379e" filled="false" stroked="true" strokeweight=".06pt" strokecolor="#000000">
                <v:path arrowok="t"/>
              </v:shape>
            </v:group>
            <v:group style="position:absolute;left:5176;top:-275;width:957;height:845" coordorigin="5176,-275" coordsize="957,845">
              <v:shape style="position:absolute;left:5176;top:-275;width:957;height:845" coordorigin="5176,-275" coordsize="957,845" path="m5545,-275l5454,-233,5384,-195,5316,-154,5251,-108,5176,-44,6132,570,5545,-275xe" filled="true" fillcolor="#9a3365" stroked="false">
                <v:path arrowok="t"/>
                <v:fill type="solid"/>
              </v:shape>
            </v:group>
            <v:group style="position:absolute;left:5176;top:-275;width:957;height:845" coordorigin="5176,-275" coordsize="957,845">
              <v:shape style="position:absolute;left:5176;top:-275;width:957;height:845" coordorigin="5176,-275" coordsize="957,845" path="m5176,-44l5190,-56,5251,-108,5316,-154,5384,-195,5454,-233,5526,-266,5545,-275,6132,570,5176,-44xe" filled="false" stroked="true" strokeweight=".459pt" strokecolor="#000000">
                <v:path arrowok="t"/>
              </v:shape>
            </v:group>
            <v:group style="position:absolute;left:5166;top:-275;width:180;height:102" coordorigin="5166,-275" coordsize="180,102">
              <v:shape style="position:absolute;left:5166;top:-275;width:180;height:102" coordorigin="5166,-275" coordsize="180,102" path="m5166,-275l5242,-275,5346,-173e" filled="false" stroked="true" strokeweight=".06pt" strokecolor="#000000">
                <v:path arrowok="t"/>
              </v:shape>
            </v:group>
            <v:group style="position:absolute;left:6132;top:-354;width:1220;height:924" coordorigin="6132,-354" coordsize="1220,924">
              <v:shape style="position:absolute;left:6132;top:-354;width:1220;height:924" coordorigin="6132,-354" coordsize="1220,924" path="m6455,-354l6132,570,7351,372,7348,355,7320,280,7286,209,7247,142,7202,79,7152,20,7097,-35,7039,-86,6976,-133,6911,-176,6842,-215,6772,-250,6699,-281,6625,-308,6551,-331,6475,-349,6455,-354xe" filled="true" fillcolor="#ccffff" stroked="false">
                <v:path arrowok="t"/>
                <v:fill type="solid"/>
              </v:shape>
            </v:group>
            <v:group style="position:absolute;left:6132;top:-354;width:1220;height:924" coordorigin="6132,-354" coordsize="1220,924">
              <v:shape style="position:absolute;left:6132;top:-354;width:1220;height:924" coordorigin="6132,-354" coordsize="1220,924" path="m6455,-354l6551,-331,6625,-308,6699,-281,6772,-250,6842,-215,6911,-176,6976,-133,7039,-86,7097,-35,7152,20,7202,79,7247,142,7286,209,7320,280,7348,355,7351,372,6132,570,6455,-354xe" filled="false" stroked="true" strokeweight=".459pt" strokecolor="#000000">
                <v:path arrowok="t"/>
              </v:shape>
            </v:group>
            <v:group style="position:absolute;left:4902;top:-44;width:1230;height:615" coordorigin="4902,-44" coordsize="1230,615">
              <v:shape style="position:absolute;left:4902;top:-44;width:1230;height:615" coordorigin="4902,-44" coordsize="1230,615" path="m5176,-44l5105,26,5052,90,5004,160,4963,235,4930,311,4907,389,4902,404,6132,570,5176,-44xe" filled="true" fillcolor="#9a9aff" stroked="false">
                <v:path arrowok="t"/>
                <v:fill type="solid"/>
              </v:shape>
            </v:group>
            <v:group style="position:absolute;left:4902;top:-44;width:1230;height:615" coordorigin="4902,-44" coordsize="1230,615">
              <v:shape style="position:absolute;left:4902;top:-44;width:1230;height:615" coordorigin="4902,-44" coordsize="1230,615" path="m4902,404l4907,389,4930,311,4963,235,5004,160,5052,90,5105,26,5162,-31,5176,-44,6132,570,4902,404xe" filled="false" stroked="true" strokeweight=".459pt" strokecolor="#000000">
                <v:path arrowok="t"/>
              </v:shape>
            </v:group>
            <v:group style="position:absolute;left:4790;top:167;width:210;height:185" coordorigin="4790,167" coordsize="210,185">
              <v:shape style="position:absolute;left:4790;top:167;width:210;height:185" coordorigin="4790,167" coordsize="210,185" path="m4790,352l4865,352,5000,167e" filled="false" stroked="true" strokeweight=".06pt" strokecolor="#000000">
                <v:path arrowok="t"/>
              </v:shape>
            </v:group>
            <v:group style="position:absolute;left:6132;top:372;width:1232;height:198" coordorigin="6132,372" coordsize="1232,198">
              <v:shape style="position:absolute;left:6132;top:372;width:1232;height:198" coordorigin="6132,372" coordsize="1232,198" path="m7351,372l6132,570,7363,421,7360,404,7356,389,7351,372xe" filled="true" fillcolor="#650065" stroked="false">
                <v:path arrowok="t"/>
                <v:fill type="solid"/>
              </v:shape>
            </v:group>
            <v:group style="position:absolute;left:6132;top:372;width:1232;height:198" coordorigin="6132,372" coordsize="1232,198">
              <v:shape style="position:absolute;left:6132;top:372;width:1232;height:198" coordorigin="6132,372" coordsize="1232,198" path="m7351,372l7356,389,7360,404,7363,421,6132,570,7351,372xe" filled="false" stroked="true" strokeweight=".459pt" strokecolor="#000000">
                <v:path arrowok="t"/>
              </v:shape>
            </v:group>
            <v:group style="position:absolute;left:7356;top:343;width:216;height:45" coordorigin="7356,343" coordsize="216,45">
              <v:shape style="position:absolute;left:7356;top:343;width:216;height:45" coordorigin="7356,343" coordsize="216,45" path="m7572,343l7498,343,7356,388e" filled="false" stroked="true" strokeweight=".06pt" strokecolor="#000000">
                <v:path arrowok="t"/>
              </v:shape>
            </v:group>
            <v:group style="position:absolute;left:4884;top:588;width:2495;height:1169" coordorigin="4884,588" coordsize="2495,1169">
              <v:shape style="position:absolute;left:4884;top:588;width:2495;height:1169" coordorigin="4884,588" coordsize="2495,1169" path="m4884,604l4884,817,4890,892,4903,963,4921,1032,4945,1097,4975,1160,5009,1220,5048,1277,5092,1330,5139,1381,5190,1429,5245,1473,5302,1515,5362,1553,5425,1588,5490,1620,5556,1649,5624,1674,5692,1696,5762,1715,5832,1730,5902,1742,5972,1750,6041,1755,6109,1757,6154,1757,6222,1755,6291,1750,6361,1742,6431,1730,6501,1714,6571,1696,6639,1674,6707,1648,6773,1620,6838,1588,6900,1553,6938,1529,6109,1529,6038,1527,5967,1521,5895,1512,5822,1499,5750,1483,5678,1462,5607,1439,5538,1412,5470,1381,5404,1347,5340,1310,5279,1269,5220,1225,5166,1177,5115,1127,5068,1073,5025,1015,4988,955,4955,891,4928,824,4907,753,4892,680,4884,604xe" filled="true" fillcolor="#804040" stroked="false">
                <v:path arrowok="t"/>
                <v:fill type="solid"/>
              </v:shape>
              <v:shape style="position:absolute;left:4884;top:588;width:2495;height:1169" coordorigin="4884,588" coordsize="2495,1169" path="m7379,588l7370,680,7355,753,7334,824,7307,891,7275,955,7237,1015,7195,1073,7148,1127,7097,1178,7042,1225,6984,1269,6923,1310,6859,1347,6793,1381,6725,1412,6655,1439,6584,1462,6513,1482,6440,1499,6368,1512,6296,1521,6224,1527,6154,1529,6938,1529,7018,1473,7072,1429,7123,1381,7171,1330,7214,1276,7253,1220,7288,1160,7317,1097,7341,1031,7360,963,7372,892,7379,817,7379,588xe" filled="true" fillcolor="#804040" stroked="false">
                <v:path arrowok="t"/>
                <v:fill type="solid"/>
              </v:shape>
            </v:group>
            <v:group style="position:absolute;left:4884;top:570;width:2495;height:1187" coordorigin="4884,570" coordsize="2495,1187">
              <v:shape style="position:absolute;left:4884;top:570;width:2495;height:1187" coordorigin="4884,570" coordsize="2495,1187" path="m7379,570l7379,588,7378,604,7370,680,7355,753,7334,824,7307,891,7275,955,7237,1015,7195,1073,7148,1127,7097,1177,7042,1225,6984,1269,6923,1310,6859,1347,6793,1381,6725,1412,6655,1439,6584,1462,6513,1482,6440,1499,6368,1512,6296,1521,6224,1527,6154,1529,6109,1529,6038,1527,5967,1521,5895,1512,5822,1499,5750,1483,5678,1462,5607,1439,5538,1412,5470,1381,5404,1347,5340,1310,5279,1269,5221,1225,5166,1178,5115,1127,5068,1073,5025,1015,4988,955,4955,891,4928,824,4907,753,4892,680,4884,604,4884,570,4884,817,4890,891,4903,963,4921,1031,4945,1097,4975,1160,5009,1220,5048,1276,5092,1330,5139,1381,5190,1429,5245,1473,5302,1515,5362,1553,5425,1588,5490,1620,5556,1649,5624,1674,5692,1696,5762,1715,5832,1730,5902,1742,5972,1750,6041,1755,6109,1757,6154,1757,6222,1755,6291,1750,6361,1742,6431,1730,6501,1714,6571,1696,6639,1674,6707,1648,6773,1620,6838,1588,6900,1553,6960,1515,7018,1473,7072,1429,7123,1381,7171,1330,7214,1277,7253,1220,7288,1160,7317,1097,7341,1032,7360,963,7372,892,7379,817,7379,570xe" filled="false" stroked="true" strokeweight=".459pt" strokecolor="#000000">
                <v:path arrowok="t"/>
              </v:shape>
            </v:group>
            <v:group style="position:absolute;left:4884;top:404;width:2495;height:1125" coordorigin="4884,404" coordsize="2495,1125">
              <v:shape style="position:absolute;left:4884;top:404;width:2495;height:1125" coordorigin="4884,404" coordsize="2495,1125" path="m4902,404l4895,438,4892,455,4884,532,4884,607,4892,681,4906,752,4927,822,4954,889,4988,954,5027,1017,5072,1076,5121,1133,5176,1187,5190,1199,5203,1212,5267,1261,5333,1306,5402,1347,5472,1383,5545,1416,5619,1444,5694,1468,5771,1487,5849,1503,5928,1515,6007,1523,6109,1529,6154,1529,6255,1523,6334,1515,6413,1503,6491,1487,6568,1467,6644,1444,6718,1415,6791,1383,6861,1347,6930,1306,6995,1261,7058,1212,7073,1199,7087,1187,7146,1128,7199,1067,7245,1002,7286,934,7320,863,7346,790,7365,714,7376,635,7378,570,6132,570,4902,404xe" filled="true" fillcolor="#ff8080" stroked="false">
                <v:path arrowok="t"/>
                <v:fill type="solid"/>
              </v:shape>
              <v:shape style="position:absolute;left:4884;top:404;width:2495;height:1125" coordorigin="4884,404" coordsize="2495,1125" path="m7363,421l6132,570,7378,570,7379,554,7373,470,7370,455,7363,421xe" filled="true" fillcolor="#ff8080" stroked="false">
                <v:path arrowok="t"/>
                <v:fill type="solid"/>
              </v:shape>
            </v:group>
            <v:group style="position:absolute;left:4884;top:404;width:2495;height:1125" coordorigin="4884,404" coordsize="2495,1125">
              <v:shape style="position:absolute;left:4884;top:404;width:2495;height:1125" coordorigin="4884,404" coordsize="2495,1125" path="m7363,421l7367,438,7370,455,7373,470,7379,554,7376,635,7365,714,7346,790,7320,863,7286,934,7245,1002,7199,1067,7146,1128,7087,1187,7073,1199,7058,1212,6995,1261,6930,1306,6861,1347,6791,1383,6718,1415,6644,1444,6568,1468,6491,1487,6413,1503,6334,1515,6255,1523,6175,1528,6154,1529,6109,1529,6088,1528,6007,1523,5928,1515,5849,1503,5771,1487,5694,1467,5619,1444,5545,1416,5472,1383,5402,1347,5333,1306,5267,1261,5203,1212,5190,1199,5176,1187,5121,1133,5072,1076,5027,1017,4988,954,4954,889,4927,822,4906,752,4892,681,4884,607,4884,532,4892,455,4895,438,4902,404,6132,570,7363,421xe" filled="false" stroked="true" strokeweight=".459pt" strokecolor="#000000">
                <v:path arrowok="t"/>
              </v:shape>
            </v:group>
            <w10:wrap type="none"/>
          </v:group>
        </w:pict>
      </w:r>
      <w:r>
        <w:rPr>
          <w:rFonts w:ascii="宋体" w:hAnsi="宋体" w:cs="宋体" w:eastAsia="宋体" w:hint="default"/>
          <w:spacing w:val="-1"/>
          <w:sz w:val="15"/>
          <w:szCs w:val="15"/>
        </w:rPr>
        <w:t>生产人员834</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人,17.64%</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5"/>
          <w:szCs w:val="15"/>
        </w:rPr>
      </w:pPr>
    </w:p>
    <w:p>
      <w:pPr>
        <w:spacing w:line="186" w:lineRule="exact" w:before="0"/>
        <w:ind w:left="475" w:right="2562" w:hanging="76"/>
        <w:jc w:val="left"/>
        <w:rPr>
          <w:rFonts w:ascii="宋体" w:hAnsi="宋体" w:cs="宋体" w:eastAsia="宋体" w:hint="default"/>
          <w:sz w:val="15"/>
          <w:szCs w:val="15"/>
        </w:rPr>
      </w:pPr>
      <w:r>
        <w:rPr>
          <w:rFonts w:ascii="宋体" w:hAnsi="宋体" w:cs="宋体" w:eastAsia="宋体" w:hint="default"/>
          <w:sz w:val="15"/>
          <w:szCs w:val="15"/>
        </w:rPr>
        <w:t>营运人员39</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人,0.82%</w:t>
      </w:r>
    </w:p>
    <w:p>
      <w:pPr>
        <w:spacing w:after="0" w:line="186" w:lineRule="exact"/>
        <w:jc w:val="left"/>
        <w:rPr>
          <w:rFonts w:ascii="宋体" w:hAnsi="宋体" w:cs="宋体" w:eastAsia="宋体" w:hint="default"/>
          <w:sz w:val="15"/>
          <w:szCs w:val="15"/>
        </w:rPr>
        <w:sectPr>
          <w:type w:val="continuous"/>
          <w:pgSz w:w="11910" w:h="16840"/>
          <w:pgMar w:top="1060" w:bottom="1180" w:left="980" w:right="980"/>
          <w:cols w:num="3" w:equalWidth="0">
            <w:col w:w="4167" w:space="40"/>
            <w:col w:w="1967" w:space="40"/>
            <w:col w:w="3736"/>
          </w:cols>
        </w:sectPr>
      </w:pPr>
    </w:p>
    <w:p>
      <w:pPr>
        <w:spacing w:line="240" w:lineRule="auto" w:before="1"/>
        <w:rPr>
          <w:rFonts w:ascii="宋体" w:hAnsi="宋体" w:cs="宋体" w:eastAsia="宋体" w:hint="default"/>
          <w:sz w:val="16"/>
          <w:szCs w:val="16"/>
        </w:rPr>
      </w:pPr>
    </w:p>
    <w:p>
      <w:pPr>
        <w:spacing w:line="186" w:lineRule="exact" w:before="82"/>
        <w:ind w:left="4706" w:right="4316" w:firstLine="0"/>
        <w:jc w:val="center"/>
        <w:rPr>
          <w:rFonts w:ascii="宋体" w:hAnsi="宋体" w:cs="宋体" w:eastAsia="宋体" w:hint="default"/>
          <w:sz w:val="15"/>
          <w:szCs w:val="15"/>
        </w:rPr>
      </w:pPr>
      <w:r>
        <w:rPr>
          <w:rFonts w:ascii="宋体" w:hAnsi="宋体" w:cs="宋体" w:eastAsia="宋体" w:hint="default"/>
          <w:sz w:val="15"/>
          <w:szCs w:val="15"/>
        </w:rPr>
        <w:t>服务人员2609</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人,55.17%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783" w:right="0"/>
        <w:jc w:val="left"/>
      </w:pPr>
      <w:r>
        <w:rPr>
          <w:rFonts w:ascii="Times New Roman" w:hAnsi="Times New Roman" w:cs="Times New Roman" w:eastAsia="Times New Roman" w:hint="default"/>
        </w:rPr>
        <w:t>2</w:t>
      </w:r>
      <w:r>
        <w:rPr/>
        <w:t>、教育程度情况如下：</w:t>
      </w:r>
    </w:p>
    <w:p>
      <w:pPr>
        <w:spacing w:after="0" w:line="240" w:lineRule="auto"/>
        <w:jc w:val="left"/>
        <w:sectPr>
          <w:type w:val="continuous"/>
          <w:pgSz w:w="11910" w:h="16840"/>
          <w:pgMar w:top="1060" w:bottom="1180" w:left="980" w:right="980"/>
        </w:sectPr>
      </w:pPr>
    </w:p>
    <w:p>
      <w:pPr>
        <w:spacing w:line="240" w:lineRule="auto" w:before="7"/>
        <w:rPr>
          <w:rFonts w:ascii="宋体" w:hAnsi="宋体" w:cs="宋体" w:eastAsia="宋体" w:hint="default"/>
          <w:sz w:val="28"/>
          <w:szCs w:val="28"/>
        </w:rPr>
      </w:pPr>
    </w:p>
    <w:tbl>
      <w:tblPr>
        <w:tblW w:w="0" w:type="auto"/>
        <w:jc w:val="left"/>
        <w:tblInd w:w="564" w:type="dxa"/>
        <w:tblLayout w:type="fixed"/>
        <w:tblCellMar>
          <w:top w:w="0" w:type="dxa"/>
          <w:left w:w="0" w:type="dxa"/>
          <w:bottom w:w="0" w:type="dxa"/>
          <w:right w:w="0" w:type="dxa"/>
        </w:tblCellMar>
        <w:tblLook w:val="01E0"/>
      </w:tblPr>
      <w:tblGrid>
        <w:gridCol w:w="2369"/>
        <w:gridCol w:w="3406"/>
        <w:gridCol w:w="3034"/>
      </w:tblGrid>
      <w:tr>
        <w:trPr>
          <w:trHeight w:val="632" w:hRule="exact"/>
        </w:trPr>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3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占公司总人数比例（</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r>
      <w:tr>
        <w:trPr>
          <w:trHeight w:val="39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w:t>
            </w:r>
          </w:p>
        </w:tc>
      </w:tr>
      <w:tr>
        <w:trPr>
          <w:trHeight w:val="39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本科及大专</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3,666</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77.52%</w:t>
            </w:r>
          </w:p>
        </w:tc>
      </w:tr>
      <w:tr>
        <w:trPr>
          <w:trHeight w:val="39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826</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17.47%</w:t>
            </w:r>
          </w:p>
        </w:tc>
      </w:tr>
      <w:tr>
        <w:trPr>
          <w:trHeight w:val="39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w:t>
            </w:r>
          </w:p>
        </w:tc>
      </w:tr>
      <w:tr>
        <w:trPr>
          <w:trHeight w:val="391" w:hRule="exact"/>
        </w:trPr>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4,729</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0"/>
        <w:rPr>
          <w:rFonts w:ascii="宋体" w:hAnsi="宋体" w:cs="宋体" w:eastAsia="宋体" w:hint="default"/>
          <w:sz w:val="22"/>
          <w:szCs w:val="22"/>
        </w:rPr>
      </w:pPr>
    </w:p>
    <w:p>
      <w:pPr>
        <w:pStyle w:val="Heading4"/>
        <w:spacing w:line="240" w:lineRule="auto"/>
        <w:ind w:left="3591" w:right="3509"/>
        <w:jc w:val="center"/>
        <w:rPr>
          <w:b w:val="0"/>
          <w:bCs w:val="0"/>
        </w:rPr>
      </w:pPr>
      <w:r>
        <w:rPr/>
        <w:t>教育程度</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spacing w:line="186" w:lineRule="exact" w:before="82"/>
        <w:ind w:left="3894" w:right="-4" w:hanging="76"/>
        <w:jc w:val="left"/>
        <w:rPr>
          <w:rFonts w:ascii="宋体" w:hAnsi="宋体" w:cs="宋体" w:eastAsia="宋体" w:hint="default"/>
          <w:sz w:val="15"/>
          <w:szCs w:val="15"/>
        </w:rPr>
      </w:pPr>
      <w:r>
        <w:rPr/>
        <w:pict>
          <v:group style="position:absolute;margin-left:233.3367pt;margin-top:13.130496pt;width:128.4pt;height:120.4pt;mso-position-horizontal-relative:page;mso-position-vertical-relative:paragraph;z-index:-1105744" coordorigin="4667,263" coordsize="2568,2408">
            <v:group style="position:absolute;left:4985;top:467;width:1275;height:982" coordorigin="4985,467" coordsize="1275,982">
              <v:shape style="position:absolute;left:4985;top:467;width:1275;height:982" coordorigin="4985,467" coordsize="1275,982" path="m5933,467l5855,470,5777,476,5700,486,5623,500,5547,517,5472,539,5398,563,5326,592,5256,625,5188,661,5122,701,5059,745,4999,792,4985,804,5951,1449,6259,496,6239,492,6164,481,6087,473,6010,468,5933,467xe" filled="true" fillcolor="#ffffcc" stroked="false">
                <v:path arrowok="t"/>
                <v:fill type="solid"/>
              </v:shape>
            </v:group>
            <v:group style="position:absolute;left:4985;top:467;width:1275;height:982" coordorigin="4985,467" coordsize="1275,982">
              <v:shape style="position:absolute;left:4985;top:467;width:1275;height:982" coordorigin="4985,467" coordsize="1275,982" path="m4985,804l5059,745,5122,701,5188,661,5256,625,5326,592,5398,563,5472,539,5547,517,5623,500,5700,486,5777,476,5855,470,5933,467,6010,468,6087,473,6164,481,6239,492,6259,496,5951,1449,4985,804xe" filled="false" stroked="true" strokeweight=".459pt" strokecolor="#000000">
                <v:path arrowok="t"/>
              </v:shape>
            </v:group>
            <v:group style="position:absolute;left:5951;top:496;width:438;height:953" coordorigin="5951,496" coordsize="438,953">
              <v:shape style="position:absolute;left:5951;top:496;width:438;height:953" coordorigin="5951,496" coordsize="438,953" path="m6259,496l5951,1449,6389,526,6367,520,6346,515,6325,510,6282,501,6259,496xe" filled="true" fillcolor="#ccffff" stroked="false">
                <v:path arrowok="t"/>
                <v:fill type="solid"/>
              </v:shape>
            </v:group>
            <v:group style="position:absolute;left:5951;top:496;width:438;height:953" coordorigin="5951,496" coordsize="438,953">
              <v:shape style="position:absolute;left:5951;top:496;width:438;height:953" coordorigin="5951,496" coordsize="438,953" path="m6259,496l6282,501,6325,510,6346,515,6367,520,6389,526,5951,1449,6259,496xe" filled="false" stroked="true" strokeweight=".459pt" strokecolor="#000000">
                <v:path arrowok="t"/>
              </v:shape>
            </v:group>
            <v:group style="position:absolute;left:5582;top:263;width:742;height:246" coordorigin="5582,263" coordsize="742,246">
              <v:shape style="position:absolute;left:5582;top:263;width:742;height:246" coordorigin="5582,263" coordsize="742,246" path="m5582,263l5659,263,6324,509e" filled="false" stroked="true" strokeweight=".06pt" strokecolor="#000000">
                <v:path arrowok="t"/>
              </v:shape>
            </v:group>
            <v:group style="position:absolute;left:5951;top:526;width:678;height:923" coordorigin="5951,526" coordsize="678,923">
              <v:shape style="position:absolute;left:5951;top:526;width:678;height:923" coordorigin="5951,526" coordsize="678,923" path="m6389,526l5951,1449,6629,616,6560,586,6511,567,6460,549,6409,532,6389,526xe" filled="true" fillcolor="#9a9aff" stroked="false">
                <v:path arrowok="t"/>
                <v:fill type="solid"/>
              </v:shape>
            </v:group>
            <v:group style="position:absolute;left:5951;top:526;width:678;height:923" coordorigin="5951,526" coordsize="678,923">
              <v:shape style="position:absolute;left:5951;top:526;width:678;height:923" coordorigin="5951,526" coordsize="678,923" path="m6389,526l6460,549,6560,586,6629,616,5951,1449,6389,526xe" filled="false" stroked="true" strokeweight=".459pt" strokecolor="#000000">
                <v:path arrowok="t"/>
              </v:shape>
            </v:group>
            <v:group style="position:absolute;left:6511;top:334;width:220;height:232" coordorigin="6511,334" coordsize="220,232">
              <v:shape style="position:absolute;left:6511;top:334;width:220;height:232" coordorigin="6511,334" coordsize="220,232" path="m6731,334l6654,334,6511,566e" filled="false" stroked="true" strokeweight=".06pt" strokecolor="#000000">
                <v:path arrowok="t"/>
              </v:shape>
            </v:group>
            <v:group style="position:absolute;left:4672;top:1466;width:2559;height:1200" coordorigin="4672,1466" coordsize="2559,1200">
              <v:shape style="position:absolute;left:4672;top:1466;width:2559;height:1200" coordorigin="4672,1466" coordsize="2559,1200" path="m4672,1482l4672,1701,4678,1777,4691,1850,4710,1921,4734,1988,4765,2053,4800,2114,4840,2172,4885,2227,4933,2279,4986,2328,5042,2374,5100,2416,5162,2455,5226,2491,5292,2524,5361,2553,5430,2579,5501,2602,5572,2621,5644,2637,5715,2649,5787,2658,5858,2664,5928,2666,5974,2666,6044,2664,6115,2658,6187,2649,6259,2637,6330,2621,6402,2602,6472,2579,6542,2553,6609,2524,6676,2491,6740,2455,6779,2430,5928,2430,5858,2428,5788,2423,5717,2414,5645,2402,5574,2387,5504,2368,5434,2346,5365,2320,5298,2292,5232,2260,5168,2225,5107,2186,5049,2145,4993,2100,4941,2052,4892,2001,4847,1947,4807,1890,4771,1829,4740,1766,4714,1700,4694,1630,4680,1558,4672,1482xe" filled="true" fillcolor="#4d1a33" stroked="false">
                <v:path arrowok="t"/>
                <v:fill type="solid"/>
              </v:shape>
              <v:shape style="position:absolute;left:4672;top:1466;width:2559;height:1200" coordorigin="4672,1466" coordsize="2559,1200" path="m7230,1466l7221,1558,7207,1630,7187,1699,7161,1766,7131,1829,7095,1889,7054,1946,7010,2001,6961,2052,6909,2100,6853,2144,6794,2186,6733,2224,6669,2260,6603,2292,6536,2320,6467,2346,6397,2368,6327,2387,6255,2402,6184,2414,6113,2423,6043,2429,5974,2430,6779,2430,6860,2374,6916,2328,6968,2279,7016,2228,7061,2172,7101,2114,7136,2053,7166,1989,7191,1921,7210,1851,7223,1777,7230,1701,7230,1466xe" filled="true" fillcolor="#4d1a33" stroked="false">
                <v:path arrowok="t"/>
                <v:fill type="solid"/>
              </v:shape>
            </v:group>
            <v:group style="position:absolute;left:4672;top:1449;width:2559;height:1217" coordorigin="4672,1449" coordsize="2559,1217">
              <v:shape style="position:absolute;left:4672;top:1449;width:2559;height:1217" coordorigin="4672,1449" coordsize="2559,1217" path="m7230,1449l7230,1466,7229,1482,7221,1558,7207,1630,7187,1699,7161,1766,7131,1829,7095,1889,7054,1946,7010,2001,6961,2052,6909,2100,6853,2144,6794,2186,6733,2224,6669,2260,6603,2292,6536,2320,6467,2346,6397,2368,6327,2387,6255,2402,6184,2414,6113,2423,6043,2429,5974,2430,5928,2430,5858,2428,5788,2423,5717,2414,5645,2402,5574,2387,5504,2368,5434,2346,5365,2320,5298,2292,5232,2260,5168,2225,5107,2186,5049,2145,4993,2100,4941,2052,4892,2001,4847,1947,4807,1890,4771,1829,4740,1766,4714,1700,4694,1630,4680,1558,4672,1482,4672,1449,4672,1701,4678,1777,4691,1850,4710,1921,4734,1988,4765,2053,4800,2114,4840,2172,4885,2227,4933,2279,4986,2328,5041,2374,5100,2416,5162,2455,5226,2491,5292,2524,5361,2553,5430,2579,5501,2602,5572,2621,5644,2637,5715,2649,5787,2658,5858,2664,5928,2666,5974,2666,6044,2664,6115,2658,6187,2649,6259,2637,6330,2621,6402,2602,6472,2579,6542,2553,6609,2524,6676,2491,6740,2455,6801,2416,6860,2374,6916,2328,6968,2279,7016,2228,7061,2172,7101,2114,7136,2053,7166,1989,7191,1921,7210,1851,7223,1777,7230,1701,7230,1449xe" filled="false" stroked="true" strokeweight=".459pt" strokecolor="#000000">
                <v:path arrowok="t"/>
              </v:shape>
            </v:group>
            <v:group style="position:absolute;left:4671;top:616;width:2558;height:1814" coordorigin="4671,616" coordsize="2558,1814">
              <v:shape style="position:absolute;left:4671;top:616;width:2558;height:1814" coordorigin="4671,616" coordsize="2558,1814" path="m4985,804l4970,818,4957,831,4943,844,4888,902,4839,962,4796,1025,4760,1090,4729,1157,4705,1225,4687,1294,4676,1364,4671,1435,4673,1506,4682,1577,4698,1649,4721,1719,4750,1789,4787,1858,4831,1925,4843,1940,4854,1954,4904,2013,4957,2067,5015,2118,5076,2165,5140,2208,5206,2247,5276,2282,5347,2314,5420,2341,5494,2365,5570,2385,5647,2402,5724,2414,5801,2423,5879,2428,5956,2430,6032,2428,6107,2422,6173,2415,6270,2399,6344,2383,6419,2362,6492,2338,6565,2309,6637,2277,6706,2240,6773,2200,6837,2156,6898,2108,6955,2057,7008,2001,7057,1942,7100,1879,7139,1813,7171,1743,7196,1670,7222,1557,7229,1480,7229,1449,5951,1449,4985,804xe" filled="true" fillcolor="#9a3365" stroked="false">
                <v:path arrowok="t"/>
                <v:fill type="solid"/>
              </v:shape>
              <v:shape style="position:absolute;left:4671;top:616;width:2558;height:1814" coordorigin="4671,616" coordsize="2558,1814" path="m6629,616l5951,1449,7229,1449,7221,1329,7206,1257,7184,1187,7156,1119,7122,1053,7082,991,7038,931,6988,874,6934,821,6877,771,6816,725,6751,683,6684,645,6666,634,6647,626,6629,616xe" filled="true" fillcolor="#9a3365" stroked="false">
                <v:path arrowok="t"/>
                <v:fill type="solid"/>
              </v:shape>
            </v:group>
            <v:group style="position:absolute;left:4671;top:616;width:2558;height:1814" coordorigin="4671,616" coordsize="2558,1814">
              <v:shape style="position:absolute;left:4671;top:616;width:2558;height:1814" coordorigin="4671,616" coordsize="2558,1814" path="m6629,616l6647,626,6666,634,6684,645,6751,683,6816,725,6877,771,6934,821,6988,874,7038,931,7082,991,7122,1053,7156,1119,7184,1187,7206,1257,7221,1329,7229,1404,7229,1480,7222,1557,7206,1636,7171,1743,7139,1813,7100,1879,7057,1942,7008,2001,6955,2057,6898,2108,6837,2156,6773,2200,6706,2240,6637,2277,6565,2309,6492,2338,6419,2362,6344,2383,6270,2399,6196,2411,6150,2417,6107,2422,6032,2428,5956,2430,5879,2428,5801,2423,5724,2414,5647,2402,5570,2385,5494,2365,5420,2341,5347,2314,5276,2282,5206,2247,5140,2208,5076,2165,5015,2118,4957,2067,4904,2013,4854,1954,4843,1940,4831,1925,4787,1858,4750,1789,4721,1719,4698,1649,4682,1577,4673,1506,4671,1435,4676,1364,4687,1294,4705,1225,4729,1157,4760,1090,4796,1025,4839,962,4888,902,4943,844,4957,831,4970,818,4985,804,5951,1449,6629,616xe" filled="false" stroked="true" strokeweight=".459pt" strokecolor="#000000">
                <v:path arrowok="t"/>
              </v:shape>
            </v:group>
            <w10:wrap type="none"/>
          </v:group>
        </w:pict>
      </w:r>
      <w:r>
        <w:rPr>
          <w:rFonts w:ascii="宋体" w:hAnsi="宋体" w:cs="宋体" w:eastAsia="宋体" w:hint="default"/>
          <w:sz w:val="15"/>
          <w:szCs w:val="15"/>
        </w:rPr>
        <w:t>中专以下78</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人,1.65%</w:t>
      </w:r>
    </w:p>
    <w:p>
      <w:pPr>
        <w:spacing w:line="240" w:lineRule="auto" w:before="8"/>
        <w:rPr>
          <w:rFonts w:ascii="宋体" w:hAnsi="宋体" w:cs="宋体" w:eastAsia="宋体" w:hint="default"/>
          <w:sz w:val="11"/>
          <w:szCs w:val="11"/>
        </w:rPr>
      </w:pPr>
      <w:r>
        <w:rPr/>
        <w:br w:type="column"/>
      </w:r>
      <w:r>
        <w:rPr>
          <w:rFonts w:ascii="宋体"/>
          <w:sz w:val="11"/>
        </w:rPr>
      </w:r>
    </w:p>
    <w:p>
      <w:pPr>
        <w:spacing w:line="188" w:lineRule="exact" w:before="0"/>
        <w:ind w:left="1413" w:right="2509" w:hanging="267"/>
        <w:jc w:val="left"/>
        <w:rPr>
          <w:rFonts w:ascii="宋体" w:hAnsi="宋体" w:cs="宋体" w:eastAsia="宋体" w:hint="default"/>
          <w:sz w:val="15"/>
          <w:szCs w:val="15"/>
        </w:rPr>
      </w:pPr>
      <w:r>
        <w:rPr>
          <w:rFonts w:ascii="宋体" w:hAnsi="宋体" w:cs="宋体" w:eastAsia="宋体" w:hint="default"/>
          <w:sz w:val="15"/>
          <w:szCs w:val="15"/>
        </w:rPr>
        <w:t>研究生及以上159</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人,3.36%</w:t>
      </w:r>
    </w:p>
    <w:p>
      <w:pPr>
        <w:spacing w:after="0" w:line="188" w:lineRule="exact"/>
        <w:jc w:val="left"/>
        <w:rPr>
          <w:rFonts w:ascii="宋体" w:hAnsi="宋体" w:cs="宋体" w:eastAsia="宋体" w:hint="default"/>
          <w:sz w:val="15"/>
          <w:szCs w:val="15"/>
        </w:rPr>
        <w:sectPr>
          <w:type w:val="continuous"/>
          <w:pgSz w:w="11910" w:h="16840"/>
          <w:pgMar w:top="1060" w:bottom="1180" w:left="980" w:right="940"/>
          <w:cols w:num="2" w:equalWidth="0">
            <w:col w:w="4585" w:space="40"/>
            <w:col w:w="5365"/>
          </w:cols>
        </w:sectPr>
      </w:pPr>
    </w:p>
    <w:p>
      <w:pPr>
        <w:spacing w:line="240" w:lineRule="auto" w:before="6"/>
        <w:rPr>
          <w:rFonts w:ascii="宋体" w:hAnsi="宋体" w:cs="宋体" w:eastAsia="宋体" w:hint="default"/>
          <w:sz w:val="13"/>
          <w:szCs w:val="13"/>
        </w:rPr>
      </w:pPr>
    </w:p>
    <w:p>
      <w:pPr>
        <w:spacing w:line="186" w:lineRule="exact" w:before="0"/>
        <w:ind w:left="4324" w:right="4891" w:firstLine="0"/>
        <w:jc w:val="center"/>
        <w:rPr>
          <w:rFonts w:ascii="宋体" w:hAnsi="宋体" w:cs="宋体" w:eastAsia="宋体" w:hint="default"/>
          <w:sz w:val="15"/>
          <w:szCs w:val="15"/>
        </w:rPr>
      </w:pPr>
      <w:r>
        <w:rPr>
          <w:rFonts w:ascii="宋体" w:hAnsi="宋体" w:cs="宋体" w:eastAsia="宋体" w:hint="default"/>
          <w:sz w:val="15"/>
          <w:szCs w:val="15"/>
        </w:rPr>
        <w:t>中专826人,</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17.47%</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5"/>
          <w:szCs w:val="15"/>
        </w:rPr>
      </w:pPr>
    </w:p>
    <w:p>
      <w:pPr>
        <w:spacing w:line="186" w:lineRule="exact" w:before="0"/>
        <w:ind w:left="4324" w:right="4271" w:firstLine="0"/>
        <w:jc w:val="center"/>
        <w:rPr>
          <w:rFonts w:ascii="宋体" w:hAnsi="宋体" w:cs="宋体" w:eastAsia="宋体" w:hint="default"/>
          <w:sz w:val="15"/>
          <w:szCs w:val="15"/>
        </w:rPr>
      </w:pPr>
      <w:r>
        <w:rPr>
          <w:rFonts w:ascii="宋体" w:hAnsi="宋体" w:cs="宋体" w:eastAsia="宋体" w:hint="default"/>
          <w:sz w:val="15"/>
          <w:szCs w:val="15"/>
        </w:rPr>
        <w:t>本科及大专3666</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人,77.52%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513" w:right="90"/>
        <w:jc w:val="left"/>
      </w:pPr>
      <w:r>
        <w:rPr>
          <w:rFonts w:ascii="Times New Roman" w:hAnsi="Times New Roman" w:cs="Times New Roman" w:eastAsia="Times New Roman" w:hint="default"/>
        </w:rPr>
        <w:t>3</w:t>
      </w:r>
      <w:r>
        <w:rPr/>
        <w:t>、公司没有需承担费用的离退休职工。</w:t>
      </w:r>
    </w:p>
    <w:p>
      <w:pPr>
        <w:pStyle w:val="BodyText"/>
        <w:spacing w:line="338" w:lineRule="auto" w:before="103"/>
        <w:ind w:left="513" w:right="90"/>
        <w:jc w:val="left"/>
      </w:pPr>
      <w:r>
        <w:rPr>
          <w:rFonts w:ascii="Times New Roman" w:hAnsi="Times New Roman" w:cs="Times New Roman" w:eastAsia="Times New Roman" w:hint="default"/>
        </w:rPr>
        <w:t>4</w:t>
      </w:r>
      <w:r>
        <w:rPr/>
        <w:t>、公司员工薪酬政策 </w:t>
      </w:r>
      <w:r>
        <w:rPr>
          <w:spacing w:val="-2"/>
        </w:rPr>
        <w:t>为适应企业发展需要，充分发挥薪酬的激励作用，以公平、竞争、激励、经济、合法的原则制定薪酬政策。根据岗位价</w:t>
      </w:r>
    </w:p>
    <w:p>
      <w:pPr>
        <w:pStyle w:val="BodyText"/>
        <w:spacing w:line="319" w:lineRule="auto" w:before="2"/>
        <w:ind w:left="153" w:right="187"/>
        <w:jc w:val="both"/>
      </w:pPr>
      <w:r>
        <w:rPr>
          <w:spacing w:val="-2"/>
        </w:rPr>
        <w:t>值、个人能力、工作绩效结合市场薪酬水平和公司的支付能力提供较具竞争力的薪酬水平。同时，根据岗位性质提供各种薪</w:t>
      </w:r>
      <w:r>
        <w:rPr>
          <w:spacing w:val="-66"/>
        </w:rPr>
        <w:t> </w:t>
      </w:r>
      <w:r>
        <w:rPr>
          <w:spacing w:val="-66"/>
        </w:rPr>
      </w:r>
      <w:r>
        <w:rPr>
          <w:spacing w:val="-2"/>
        </w:rPr>
        <w:t>酬结构，以吸引优秀人才。根据各系统的业务特点和岗位性质构建相对科学的考核体系，建立考核与工资、奖金、调薪、普</w:t>
      </w:r>
      <w:r>
        <w:rPr>
          <w:spacing w:val="-66"/>
        </w:rPr>
        <w:t> </w:t>
      </w:r>
      <w:r>
        <w:rPr>
          <w:spacing w:val="-66"/>
        </w:rPr>
      </w:r>
      <w:r>
        <w:rPr/>
        <w:t>升及培训挂钩的机制。为骨干员工和优秀人才提供中长期的激励政策，最大限度地发挥和调动员工的积极性和主动性。</w:t>
      </w:r>
    </w:p>
    <w:p>
      <w:pPr>
        <w:pStyle w:val="BodyText"/>
        <w:spacing w:line="338" w:lineRule="auto" w:before="56"/>
        <w:ind w:left="513" w:right="90"/>
        <w:jc w:val="left"/>
      </w:pPr>
      <w:r>
        <w:rPr>
          <w:rFonts w:ascii="Times New Roman" w:hAnsi="Times New Roman" w:cs="Times New Roman" w:eastAsia="Times New Roman" w:hint="default"/>
        </w:rPr>
        <w:t>5</w:t>
      </w:r>
      <w:r>
        <w:rPr/>
        <w:t>、公司培训政策 </w:t>
      </w:r>
      <w:r>
        <w:rPr>
          <w:spacing w:val="-4"/>
        </w:rPr>
        <w:t>公司建立了多维度的综合培训体系，从层级上覆盖了公司、各业务系统以及各子公司，既考虑了现阶段遇到的业务问题，</w:t>
      </w:r>
    </w:p>
    <w:p>
      <w:pPr>
        <w:pStyle w:val="BodyText"/>
        <w:spacing w:line="240" w:lineRule="auto" w:before="2"/>
        <w:ind w:left="153" w:right="0"/>
        <w:jc w:val="both"/>
        <w:rPr>
          <w:rFonts w:ascii="Times New Roman" w:hAnsi="Times New Roman" w:cs="Times New Roman" w:eastAsia="Times New Roman" w:hint="default"/>
        </w:rPr>
      </w:pPr>
      <w:r>
        <w:rPr/>
        <w:t>也从长远角度考虑了员工的职业能力发展，将动态和静态的培训相结合，为组织贡献最大的力量。</w:t>
      </w:r>
      <w:r>
        <w:rPr>
          <w:rFonts w:ascii="Times New Roman" w:hAnsi="Times New Roman" w:cs="Times New Roman" w:eastAsia="Times New Roman" w:hint="default"/>
        </w:rPr>
        <w:t>2012  </w:t>
      </w:r>
      <w:r>
        <w:rPr/>
        <w:t>年公司共培训</w:t>
      </w:r>
      <w:r>
        <w:rPr>
          <w:spacing w:val="6"/>
        </w:rPr>
        <w:t> </w:t>
      </w:r>
      <w:r>
        <w:rPr>
          <w:rFonts w:ascii="Times New Roman" w:hAnsi="Times New Roman" w:cs="Times New Roman" w:eastAsia="Times New Roman" w:hint="default"/>
        </w:rPr>
        <w:t>530</w:t>
      </w:r>
    </w:p>
    <w:p>
      <w:pPr>
        <w:pStyle w:val="BodyText"/>
        <w:spacing w:line="240" w:lineRule="auto" w:before="64"/>
        <w:ind w:right="0"/>
        <w:jc w:val="both"/>
      </w:pPr>
      <w:r>
        <w:rPr/>
        <w:t>场次，培训课时</w:t>
      </w:r>
      <w:r>
        <w:rPr>
          <w:spacing w:val="-46"/>
        </w:rPr>
        <w:t> </w:t>
      </w:r>
      <w:r>
        <w:rPr>
          <w:rFonts w:ascii="Times New Roman" w:hAnsi="Times New Roman" w:cs="Times New Roman" w:eastAsia="Times New Roman" w:hint="default"/>
        </w:rPr>
        <w:t>38005</w:t>
      </w:r>
      <w:r>
        <w:rPr>
          <w:rFonts w:ascii="Times New Roman" w:hAnsi="Times New Roman" w:cs="Times New Roman" w:eastAsia="Times New Roman" w:hint="default"/>
          <w:spacing w:val="-1"/>
        </w:rPr>
        <w:t> </w:t>
      </w:r>
      <w:r>
        <w:rPr/>
        <w:t>小时，合计培训</w:t>
      </w:r>
      <w:r>
        <w:rPr>
          <w:spacing w:val="-46"/>
        </w:rPr>
        <w:t> </w:t>
      </w:r>
      <w:r>
        <w:rPr>
          <w:rFonts w:ascii="Times New Roman" w:hAnsi="Times New Roman" w:cs="Times New Roman" w:eastAsia="Times New Roman" w:hint="default"/>
        </w:rPr>
        <w:t>13780</w:t>
      </w:r>
      <w:r>
        <w:rPr>
          <w:rFonts w:ascii="Times New Roman" w:hAnsi="Times New Roman" w:cs="Times New Roman" w:eastAsia="Times New Roman" w:hint="default"/>
          <w:spacing w:val="-1"/>
        </w:rPr>
        <w:t> </w:t>
      </w:r>
      <w:r>
        <w:rPr/>
        <w:t>人次，大大提高了公司员工的综合素质，为企业的发展进一步提升了竞争力。</w:t>
      </w:r>
    </w:p>
    <w:p>
      <w:pPr>
        <w:spacing w:after="0" w:line="240" w:lineRule="auto"/>
        <w:jc w:val="both"/>
        <w:sectPr>
          <w:type w:val="continuous"/>
          <w:pgSz w:w="11910" w:h="16840"/>
          <w:pgMar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90" w:firstLine="357"/>
        <w:jc w:val="left"/>
      </w:pPr>
      <w:r>
        <w:rPr>
          <w:spacing w:val="-4"/>
        </w:rPr>
        <w:t>公司严格按照《公司法》、《证券法》、《上市公司治理准则》及《深圳证券交易所股票上市规则》等法律法规的要求，</w:t>
      </w:r>
      <w:r>
        <w:rPr/>
        <w:t> </w:t>
      </w:r>
      <w:r>
        <w:rPr>
          <w:spacing w:val="-2"/>
        </w:rPr>
        <w:t>规范运作，不断完善公司法人治理结构，建立了较为完备的公司治理及内部控制的各项规章制度，并积极结合公司实际情况</w:t>
      </w:r>
      <w:r>
        <w:rPr>
          <w:spacing w:val="-66"/>
        </w:rPr>
        <w:t> </w:t>
      </w:r>
      <w:r>
        <w:rPr>
          <w:spacing w:val="-66"/>
        </w:rPr>
      </w:r>
      <w:r>
        <w:rPr/>
        <w:t>及监管部门的最新要求，及时对规章制度进行修订和完善，以不断提高公司治理水平。</w:t>
      </w:r>
    </w:p>
    <w:p>
      <w:pPr>
        <w:pStyle w:val="BodyText"/>
        <w:spacing w:line="314" w:lineRule="auto" w:before="56"/>
        <w:ind w:right="90" w:firstLine="360"/>
        <w:jc w:val="left"/>
      </w:pPr>
      <w:r>
        <w:rPr>
          <w:rFonts w:ascii="Times New Roman" w:hAnsi="Times New Roman" w:cs="Times New Roman" w:eastAsia="Times New Roman" w:hint="default"/>
          <w:spacing w:val="-12"/>
        </w:rPr>
        <w:t>1</w:t>
      </w:r>
      <w:r>
        <w:rPr>
          <w:spacing w:val="-12"/>
        </w:rPr>
        <w:t>、关于股东与股东大会：公司严格按照《公司法》、《上市公司股东大会规则》、《公司股东大会议事规则》、《公司章程》</w:t>
      </w:r>
      <w:r>
        <w:rPr/>
        <w:t> </w:t>
      </w:r>
      <w:r>
        <w:rPr>
          <w:spacing w:val="-2"/>
        </w:rPr>
        <w:t>以及《深交所中小企业板上市公司规范运作指引》等有关规定和要求，股东大会召集、召开、表决等程序合法、合规，平等</w:t>
      </w:r>
      <w:r>
        <w:rPr>
          <w:spacing w:val="-65"/>
        </w:rPr>
        <w:t> </w:t>
      </w:r>
      <w:r>
        <w:rPr>
          <w:spacing w:val="-65"/>
        </w:rPr>
      </w:r>
      <w:r>
        <w:rPr/>
        <w:t>对待所有股东，确保所有股东特别是中小股东享有平等地位和充分行使股东的权利。公司还通过投资者关系管理网络平台、 </w:t>
      </w:r>
      <w:r>
        <w:rPr>
          <w:spacing w:val="-2"/>
        </w:rPr>
        <w:t>热线电话等形式，保证了与中小股东信息交流的畅通和公平性。报告期内，公司召开的股东大会均由董事会召集召开。自公</w:t>
      </w:r>
      <w:r>
        <w:rPr>
          <w:spacing w:val="-66"/>
        </w:rPr>
        <w:t> </w:t>
      </w:r>
      <w:r>
        <w:rPr>
          <w:spacing w:val="-66"/>
        </w:rPr>
      </w:r>
      <w:r>
        <w:rPr>
          <w:spacing w:val="-5"/>
        </w:rPr>
        <w:t>司上市以来，公司股东大会均按照《股东大会议事规则》和《公司章程》等有关规定由见证律师进行了现场见证并出具了《法</w:t>
      </w:r>
      <w:r>
        <w:rPr>
          <w:spacing w:val="-81"/>
        </w:rPr>
        <w:t> </w:t>
      </w:r>
      <w:r>
        <w:rPr>
          <w:spacing w:val="-81"/>
        </w:rPr>
      </w:r>
      <w:r>
        <w:rPr>
          <w:spacing w:val="-15"/>
        </w:rPr>
        <w:t>律意见书》。</w:t>
      </w:r>
    </w:p>
    <w:p>
      <w:pPr>
        <w:pStyle w:val="BodyText"/>
        <w:spacing w:line="312" w:lineRule="auto" w:before="59"/>
        <w:ind w:right="90" w:firstLine="360"/>
        <w:jc w:val="left"/>
      </w:pPr>
      <w:r>
        <w:rPr>
          <w:rFonts w:ascii="Times New Roman" w:hAnsi="Times New Roman" w:cs="Times New Roman" w:eastAsia="Times New Roman" w:hint="default"/>
          <w:spacing w:val="-2"/>
        </w:rPr>
        <w:t>2</w:t>
      </w:r>
      <w:r>
        <w:rPr>
          <w:spacing w:val="-2"/>
        </w:rPr>
        <w:t>、关于公司与控股股东：公司拥有独立的业务和经营自主能力，在业务、人员、资产、机构、财务上独立于控股股东，</w:t>
      </w:r>
      <w:r>
        <w:rPr/>
        <w:t> </w:t>
      </w:r>
      <w:r>
        <w:rPr>
          <w:spacing w:val="-2"/>
        </w:rPr>
        <w:t>公司董事会、监事会和内部经营机构能够独立运作；公司控股股东严格规范自己的行为，依法行使股东权利，没有超越公司</w:t>
      </w:r>
      <w:r>
        <w:rPr>
          <w:spacing w:val="-66"/>
        </w:rPr>
        <w:t> </w:t>
      </w:r>
      <w:r>
        <w:rPr>
          <w:spacing w:val="-66"/>
        </w:rPr>
      </w:r>
      <w:r>
        <w:rPr>
          <w:spacing w:val="-2"/>
        </w:rPr>
        <w:t>股东大会直接或间接干预公司的决策和经营活动；此外，公司不存在控股股东占用公司资金的现象，公司也不存在为控股股</w:t>
      </w:r>
      <w:r>
        <w:rPr>
          <w:spacing w:val="-66"/>
        </w:rPr>
        <w:t> </w:t>
      </w:r>
      <w:r>
        <w:rPr>
          <w:spacing w:val="-66"/>
        </w:rPr>
      </w:r>
      <w:r>
        <w:rPr/>
        <w:t>东及其子公司提供担保的情形。</w:t>
      </w:r>
    </w:p>
    <w:p>
      <w:pPr>
        <w:pStyle w:val="BodyText"/>
        <w:spacing w:line="314" w:lineRule="auto" w:before="61"/>
        <w:ind w:right="90" w:firstLine="360"/>
        <w:jc w:val="left"/>
      </w:pPr>
      <w:r>
        <w:rPr>
          <w:rFonts w:ascii="Times New Roman" w:hAnsi="Times New Roman" w:cs="Times New Roman" w:eastAsia="Times New Roman" w:hint="default"/>
          <w:spacing w:val="-4"/>
        </w:rPr>
        <w:t>3</w:t>
      </w:r>
      <w:r>
        <w:rPr>
          <w:spacing w:val="-4"/>
        </w:rPr>
        <w:t>、关于董事与董事会：公司能严格按照《公司法》、《公司章程》规定的选聘程序选举董事；公司董事会会议的召集、</w:t>
      </w:r>
      <w:r>
        <w:rPr/>
        <w:t> </w:t>
      </w:r>
      <w:r>
        <w:rPr>
          <w:spacing w:val="-5"/>
        </w:rPr>
        <w:t>召开和表决程序符合《深圳证券交易所股票上市规则》、《公司章程》及《董事会议事规则》的相关规定；公司全体董事能够</w:t>
      </w:r>
      <w:r>
        <w:rPr>
          <w:spacing w:val="-80"/>
        </w:rPr>
        <w:t> </w:t>
      </w:r>
      <w:r>
        <w:rPr>
          <w:spacing w:val="-80"/>
        </w:rPr>
      </w:r>
      <w:r>
        <w:rPr>
          <w:spacing w:val="-7"/>
        </w:rPr>
        <w:t>依据《董事会议事规则》、《中小企业板块上市公司董事行为指引》等要求勤勉尽职的开展工作，认真出席董事会和股东大会，</w:t>
      </w:r>
      <w:r>
        <w:rPr>
          <w:spacing w:val="-54"/>
        </w:rPr>
        <w:t> </w:t>
      </w:r>
      <w:r>
        <w:rPr>
          <w:spacing w:val="-54"/>
        </w:rPr>
      </w:r>
      <w:r>
        <w:rPr>
          <w:spacing w:val="-2"/>
        </w:rPr>
        <w:t>积极参加相关知识的培训，熟悉有关法律法规。公司董事会下设各专门委员会各尽其责，充分发挥专业职能作用，大大提高</w:t>
      </w:r>
      <w:r>
        <w:rPr>
          <w:spacing w:val="-66"/>
        </w:rPr>
        <w:t> </w:t>
      </w:r>
      <w:r>
        <w:rPr>
          <w:spacing w:val="-66"/>
        </w:rPr>
      </w:r>
      <w:r>
        <w:rPr/>
        <w:t>了董事会运作效率。</w:t>
      </w:r>
    </w:p>
    <w:p>
      <w:pPr>
        <w:pStyle w:val="BodyText"/>
        <w:spacing w:line="312" w:lineRule="auto" w:before="60"/>
        <w:ind w:right="188" w:firstLine="360"/>
        <w:jc w:val="both"/>
      </w:pPr>
      <w:r>
        <w:rPr>
          <w:rFonts w:ascii="Times New Roman" w:hAnsi="Times New Roman" w:cs="Times New Roman" w:eastAsia="Times New Roman" w:hint="default"/>
          <w:spacing w:val="-4"/>
        </w:rPr>
        <w:t>4</w:t>
      </w:r>
      <w:r>
        <w:rPr>
          <w:spacing w:val="-4"/>
        </w:rPr>
        <w:t>、关于监事与监事会：公司严格按照《公司法》、《公司章程》等有关规定选举监事，监事会的人数及构成符合有关法</w:t>
      </w:r>
      <w:r>
        <w:rPr/>
        <w:t> </w:t>
      </w:r>
      <w:r>
        <w:rPr>
          <w:spacing w:val="-8"/>
        </w:rPr>
        <w:t>律法规的要求。公司监事会会议的召集、召开和表决程序符合《深圳证券交易所股票上市规则》、《公司章程》、《监事会议事</w:t>
      </w:r>
      <w:r>
        <w:rPr>
          <w:spacing w:val="-86"/>
        </w:rPr>
        <w:t> </w:t>
      </w:r>
      <w:r>
        <w:rPr>
          <w:spacing w:val="-86"/>
        </w:rPr>
      </w:r>
      <w:r>
        <w:rPr>
          <w:spacing w:val="-2"/>
        </w:rPr>
        <w:t>规则》的有关规定。公司监事能够按照要求，本着对股东负责的态度，认真履行职责，对公司财务状况、关联交易、内部控</w:t>
      </w:r>
      <w:r>
        <w:rPr>
          <w:spacing w:val="-65"/>
        </w:rPr>
        <w:t> </w:t>
      </w:r>
      <w:r>
        <w:rPr>
          <w:spacing w:val="-65"/>
        </w:rPr>
      </w:r>
      <w:r>
        <w:rPr/>
        <w:t>制执行情况等重大事项以及董事、高级管理人员履职情况进行有效监督，并发表意见，全力维护公司及股东的合法权益。</w:t>
      </w:r>
    </w:p>
    <w:p>
      <w:pPr>
        <w:pStyle w:val="BodyText"/>
        <w:spacing w:line="302" w:lineRule="auto" w:before="61"/>
        <w:ind w:right="180" w:firstLine="360"/>
        <w:jc w:val="left"/>
      </w:pPr>
      <w:r>
        <w:rPr>
          <w:rFonts w:ascii="Times New Roman" w:hAnsi="Times New Roman" w:cs="Times New Roman" w:eastAsia="Times New Roman" w:hint="default"/>
        </w:rPr>
        <w:t>5</w:t>
      </w:r>
      <w:r>
        <w:rPr/>
        <w:t>、关于绩效评价和激励约束机制：公司已建立了企业绩效评价激励体系和激励约束机制，并根据自身经营发展状况不 断完善，经营管理层和员工的收入与企业经营业绩挂钩；高级管理人员的聘任公开、透明，合法合规。</w:t>
      </w:r>
    </w:p>
    <w:p>
      <w:pPr>
        <w:pStyle w:val="BodyText"/>
        <w:spacing w:line="309" w:lineRule="auto" w:before="68"/>
        <w:ind w:right="188" w:firstLine="360"/>
        <w:jc w:val="both"/>
      </w:pPr>
      <w:r>
        <w:rPr>
          <w:rFonts w:ascii="Times New Roman" w:hAnsi="Times New Roman" w:cs="Times New Roman" w:eastAsia="Times New Roman" w:hint="default"/>
        </w:rPr>
        <w:t>6</w:t>
      </w:r>
      <w:r>
        <w:rPr/>
        <w:t>、关于相关利益者：公司在注重企业经营的同时，积极参与社会公益事业，主动承担社会责任，充分尊重和维护利益 </w:t>
      </w:r>
      <w:r>
        <w:rPr>
          <w:spacing w:val="-2"/>
        </w:rPr>
        <w:t>相关者的合法权利，加强与各方的沟通和合作，促进公司、股东、员工、客户、供应商、最终用户、社会等各方利益均衡实</w:t>
      </w:r>
      <w:r>
        <w:rPr>
          <w:spacing w:val="-67"/>
        </w:rPr>
        <w:t> </w:t>
      </w:r>
      <w:r>
        <w:rPr>
          <w:spacing w:val="-67"/>
        </w:rPr>
      </w:r>
      <w:r>
        <w:rPr/>
        <w:t>现。</w:t>
      </w:r>
    </w:p>
    <w:p>
      <w:pPr>
        <w:pStyle w:val="BodyText"/>
        <w:spacing w:line="307" w:lineRule="auto" w:before="64"/>
        <w:ind w:right="188" w:firstLine="360"/>
        <w:jc w:val="both"/>
      </w:pPr>
      <w:r>
        <w:rPr>
          <w:rFonts w:ascii="Times New Roman" w:hAnsi="Times New Roman" w:cs="Times New Roman" w:eastAsia="Times New Roman" w:hint="default"/>
        </w:rPr>
        <w:t>7</w:t>
      </w:r>
      <w:r>
        <w:rPr/>
        <w:t>、关于信息披露与透明度：公司严格按照深交所有关文件及其他有关法律法规要求，不断建立健全有关公司信息披露 的管理制度，加强信息披露事务管理，履行信息披露义务，并指定《证券时报》和巨潮资讯网（</w:t>
      </w:r>
      <w:hyperlink r:id="rId11">
        <w:r>
          <w:rPr>
            <w:rFonts w:ascii="Times New Roman" w:hAnsi="Times New Roman" w:cs="Times New Roman" w:eastAsia="Times New Roman" w:hint="default"/>
          </w:rPr>
          <w:t>www.cninfo.com.cn</w:t>
        </w:r>
      </w:hyperlink>
      <w:r>
        <w:rPr/>
        <w:t>）为公</w:t>
      </w:r>
      <w:r>
        <w:rPr>
          <w:spacing w:val="-33"/>
        </w:rPr>
        <w:t> </w:t>
      </w:r>
      <w:r>
        <w:rPr>
          <w:spacing w:val="-33"/>
        </w:rPr>
      </w:r>
      <w:r>
        <w:rPr>
          <w:spacing w:val="-2"/>
        </w:rPr>
        <w:t>司信息披露的报纸和网站，真实、准确、及时、完整地披露信息，确保所有投资者公平获取公司信息；同时，公司建立了畅</w:t>
      </w:r>
      <w:r>
        <w:rPr>
          <w:spacing w:val="-65"/>
        </w:rPr>
        <w:t> </w:t>
      </w:r>
      <w:r>
        <w:rPr>
          <w:spacing w:val="-65"/>
        </w:rPr>
      </w:r>
      <w:r>
        <w:rPr/>
        <w:t>通的沟通渠道，设立投资者专线、创建投资者关系互动平台与投资者进行沟通交流。</w:t>
      </w:r>
    </w:p>
    <w:p>
      <w:pPr>
        <w:spacing w:line="240" w:lineRule="auto" w:before="4"/>
        <w:rPr>
          <w:rFonts w:ascii="宋体" w:hAnsi="宋体" w:cs="宋体" w:eastAsia="宋体" w:hint="default"/>
          <w:sz w:val="20"/>
          <w:szCs w:val="20"/>
        </w:rPr>
      </w:pPr>
    </w:p>
    <w:p>
      <w:pPr>
        <w:pStyle w:val="BodyText"/>
        <w:spacing w:line="240" w:lineRule="auto"/>
        <w:ind w:right="90"/>
        <w:jc w:val="left"/>
      </w:pPr>
      <w:r>
        <w:rPr/>
        <w:t>公司治理与《公司法》和中国证监会相关规定的要求是否存在差异</w:t>
      </w:r>
    </w:p>
    <w:p>
      <w:pPr>
        <w:pStyle w:val="BodyText"/>
        <w:spacing w:line="357" w:lineRule="auto" w:before="117"/>
        <w:ind w:right="4590"/>
        <w:jc w:val="left"/>
      </w:pPr>
      <w:r>
        <w:rPr/>
        <w:t>□ 是 √ 否 公司治理与《公司法》和中国证监会相关规定的要求不存在差异。</w:t>
      </w:r>
    </w:p>
    <w:p>
      <w:pPr>
        <w:spacing w:line="240" w:lineRule="auto" w:before="5"/>
        <w:rPr>
          <w:rFonts w:ascii="宋体" w:hAnsi="宋体" w:cs="宋体" w:eastAsia="宋体" w:hint="default"/>
          <w:sz w:val="17"/>
          <w:szCs w:val="17"/>
        </w:rPr>
      </w:pPr>
    </w:p>
    <w:p>
      <w:pPr>
        <w:pStyle w:val="BodyText"/>
        <w:spacing w:line="240" w:lineRule="auto"/>
        <w:ind w:right="90"/>
        <w:jc w:val="left"/>
      </w:pPr>
      <w:r>
        <w:rPr/>
        <w:t>公司治理专项活动开展情况以及内幕信息知情人登记管理制度的制定、实施情况</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13" w:right="90"/>
        <w:jc w:val="left"/>
      </w:pPr>
      <w:r>
        <w:rPr>
          <w:rFonts w:ascii="Times New Roman" w:hAnsi="Times New Roman" w:cs="Times New Roman" w:eastAsia="Times New Roman" w:hint="default"/>
        </w:rPr>
        <w:t>1</w:t>
      </w:r>
      <w:r>
        <w:rPr/>
        <w:t>、公司治理专项活动开展情况</w:t>
      </w:r>
    </w:p>
    <w:p>
      <w:pPr>
        <w:pStyle w:val="BodyText"/>
        <w:spacing w:line="307" w:lineRule="auto" w:before="101"/>
        <w:ind w:right="191" w:firstLine="357"/>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月，根据广东证监局《关于印发</w:t>
      </w:r>
      <w:r>
        <w:rPr>
          <w:rFonts w:ascii="Times New Roman" w:hAnsi="Times New Roman" w:cs="Times New Roman" w:eastAsia="Times New Roman" w:hint="default"/>
          <w:spacing w:val="-2"/>
        </w:rPr>
        <w:t>&lt;</w:t>
      </w:r>
      <w:r>
        <w:rPr>
          <w:spacing w:val="-2"/>
        </w:rPr>
        <w:t>关于加强上市公司董事会秘书管理的意见</w:t>
      </w:r>
      <w:r>
        <w:rPr>
          <w:rFonts w:ascii="Times New Roman" w:hAnsi="Times New Roman" w:cs="Times New Roman" w:eastAsia="Times New Roman" w:hint="default"/>
          <w:spacing w:val="-2"/>
        </w:rPr>
        <w:t>&gt;</w:t>
      </w:r>
      <w:r>
        <w:rPr>
          <w:spacing w:val="-2"/>
        </w:rPr>
        <w:t>的通知》（广东证监</w:t>
      </w:r>
      <w:r>
        <w:rPr>
          <w:rFonts w:ascii="Times New Roman" w:hAnsi="Times New Roman" w:cs="Times New Roman" w:eastAsia="Times New Roman" w:hint="default"/>
          <w:spacing w:val="-2"/>
        </w:rPr>
        <w:t>[2011]174</w:t>
      </w:r>
      <w:r>
        <w:rPr>
          <w:spacing w:val="-2"/>
        </w:rPr>
        <w:t>号）</w:t>
      </w:r>
      <w:r>
        <w:rPr>
          <w:spacing w:val="1"/>
        </w:rPr>
        <w:t> </w:t>
      </w:r>
      <w:r>
        <w:rPr>
          <w:spacing w:val="-3"/>
        </w:rPr>
        <w:t>及《关于开展上市公司董事会秘书工作制度落实情况专项检查的通知》（广东证监</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rFonts w:ascii="Times New Roman" w:hAnsi="Times New Roman" w:cs="Times New Roman" w:eastAsia="Times New Roman" w:hint="default"/>
          <w:spacing w:val="-1"/>
        </w:rPr>
        <w:t>80</w:t>
      </w:r>
      <w:r>
        <w:rPr>
          <w:spacing w:val="-1"/>
        </w:rPr>
        <w:t>号）的要求，为切实加强公司董</w:t>
      </w:r>
      <w:r>
        <w:rPr>
          <w:spacing w:val="-40"/>
        </w:rPr>
        <w:t> </w:t>
      </w:r>
      <w:r>
        <w:rPr>
          <w:spacing w:val="-2"/>
        </w:rPr>
        <w:t>事会秘书管理，进一步明确董事会秘书的职责、权利、义务和责任，建立健全专门的董事会秘书工作制度，促进公司规范运</w:t>
      </w:r>
      <w:r>
        <w:rPr>
          <w:spacing w:val="-66"/>
        </w:rPr>
        <w:t> </w:t>
      </w:r>
      <w:r>
        <w:rPr>
          <w:spacing w:val="-66"/>
        </w:rPr>
      </w:r>
      <w:r>
        <w:rPr>
          <w:spacing w:val="-2"/>
        </w:rPr>
        <w:t>作，报告期内公司对董事会秘书工作制度落实情况进行了深度自查，形成自查报告报送广东证监局，并根据文件要求修订了</w:t>
      </w:r>
    </w:p>
    <w:p>
      <w:pPr>
        <w:pStyle w:val="BodyText"/>
        <w:spacing w:line="302" w:lineRule="auto" w:before="26"/>
        <w:ind w:right="180"/>
        <w:jc w:val="left"/>
      </w:pPr>
      <w:r>
        <w:rPr/>
        <w:t>《董事会秘书工作制度</w:t>
      </w:r>
      <w:r>
        <w:rPr>
          <w:spacing w:val="-90"/>
        </w:rPr>
        <w:t>》</w:t>
      </w:r>
      <w:r>
        <w:rPr/>
        <w:t>，经第三届董事会第四次（临时）会议审议批准后执行</w:t>
      </w:r>
      <w:r>
        <w:rPr>
          <w:spacing w:val="-90"/>
        </w:rPr>
        <w:t>，</w:t>
      </w:r>
      <w:r>
        <w:rPr/>
        <w:t>《董事会秘书工作制度》已于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 </w:t>
      </w:r>
      <w:r>
        <w:rPr/>
        <w:t>日刊登于巨潮资讯网（</w:t>
      </w:r>
      <w:r>
        <w:rPr>
          <w:rFonts w:ascii="Times New Roman" w:hAnsi="Times New Roman" w:cs="Times New Roman" w:eastAsia="Times New Roman" w:hint="default"/>
        </w:rPr>
      </w:r>
      <w:hyperlink r:id="rId11">
        <w:r>
          <w:rPr>
            <w:rFonts w:ascii="Times New Roman" w:hAnsi="Times New Roman" w:cs="Times New Roman" w:eastAsia="Times New Roman" w:hint="default"/>
            <w:u w:val="single" w:color="000000"/>
          </w:rPr>
          <w:t>ww</w:t>
        </w:r>
        <w:r>
          <w:rPr>
            <w:rFonts w:ascii="Times New Roman" w:hAnsi="Times New Roman" w:cs="Times New Roman" w:eastAsia="Times New Roman" w:hint="default"/>
            <w:spacing w:val="-13"/>
            <w:u w:val="single" w:color="000000"/>
          </w:rPr>
          <w:t>w</w:t>
        </w:r>
        <w:r>
          <w:rPr>
            <w:rFonts w:ascii="Times New Roman" w:hAnsi="Times New Roman" w:cs="Times New Roman" w:eastAsia="Times New Roman" w:hint="default"/>
            <w:u w:val="single" w:color="000000"/>
          </w:rPr>
          <w:t>.cninfo.com.cn</w:t>
        </w:r>
        <w:r>
          <w:rPr>
            <w:rFonts w:ascii="Times New Roman" w:hAnsi="Times New Roman" w:cs="Times New Roman" w:eastAsia="Times New Roman" w:hint="default"/>
          </w:rPr>
        </w:r>
      </w:hyperlink>
      <w:r>
        <w:rPr>
          <w:spacing w:val="-90"/>
        </w:rPr>
        <w:t>）</w:t>
      </w:r>
      <w:r>
        <w:rPr/>
        <w:t>。</w:t>
      </w:r>
    </w:p>
    <w:p>
      <w:pPr>
        <w:pStyle w:val="BodyText"/>
        <w:spacing w:line="307" w:lineRule="auto" w:before="50"/>
        <w:ind w:left="153" w:right="90" w:firstLine="447"/>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5-6</w:t>
      </w:r>
      <w:r>
        <w:rPr/>
        <w:t>月，根据中国证监会《关于进一步落实上市公司现金分红有关事项的通知》及广东证监局《关于进一步落实 </w:t>
      </w:r>
      <w:r>
        <w:rPr>
          <w:spacing w:val="-2"/>
        </w:rPr>
        <w:t>上市公司分红相关规定的通知》（广东证监</w:t>
      </w:r>
      <w:r>
        <w:rPr>
          <w:rFonts w:ascii="Times New Roman" w:hAnsi="Times New Roman" w:cs="Times New Roman" w:eastAsia="Times New Roman" w:hint="default"/>
          <w:spacing w:val="-2"/>
        </w:rPr>
        <w:t>[2012]91</w:t>
      </w:r>
      <w:r>
        <w:rPr>
          <w:spacing w:val="-2"/>
        </w:rPr>
        <w:t>号）的要求，公司对历年分红情况进行严格自查，形成整改报告报送广</w:t>
      </w:r>
      <w:r>
        <w:rPr>
          <w:spacing w:val="-65"/>
        </w:rPr>
        <w:t> </w:t>
      </w:r>
      <w:r>
        <w:rPr>
          <w:spacing w:val="-65"/>
        </w:rPr>
      </w:r>
      <w:r>
        <w:rPr>
          <w:spacing w:val="-4"/>
        </w:rPr>
        <w:t>东证监局，并根据整改报告进行整改，修订完善了《公司章程》中有关利润分配政策条款，制定了明确的三年股东回报规划，</w:t>
      </w:r>
      <w:r>
        <w:rPr>
          <w:spacing w:val="-44"/>
        </w:rPr>
        <w:t> </w:t>
      </w:r>
      <w:r>
        <w:rPr>
          <w:spacing w:val="-44"/>
        </w:rPr>
      </w:r>
      <w:r>
        <w:rPr>
          <w:spacing w:val="-2"/>
        </w:rPr>
        <w:t>经</w:t>
      </w:r>
      <w:r>
        <w:rPr>
          <w:rFonts w:ascii="Times New Roman" w:hAnsi="Times New Roman" w:cs="Times New Roman" w:eastAsia="Times New Roman" w:hint="default"/>
          <w:spacing w:val="-2"/>
        </w:rPr>
        <w:t>2012</w:t>
      </w:r>
      <w:r>
        <w:rPr>
          <w:spacing w:val="-2"/>
        </w:rPr>
        <w:t>年第二次临时股东大会审议批准后正式实施。上述制度已于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日刊登于巨潮资讯网（</w:t>
      </w:r>
      <w:r>
        <w:rPr>
          <w:rFonts w:ascii="Times New Roman" w:hAnsi="Times New Roman" w:cs="Times New Roman" w:eastAsia="Times New Roman" w:hint="default"/>
          <w:spacing w:val="-2"/>
        </w:rPr>
      </w:r>
      <w:hyperlink r:id="rId11">
        <w:r>
          <w:rPr>
            <w:rFonts w:ascii="Times New Roman" w:hAnsi="Times New Roman" w:cs="Times New Roman" w:eastAsia="Times New Roman" w:hint="default"/>
            <w:spacing w:val="-2"/>
            <w:u w:val="single" w:color="000000"/>
          </w:rPr>
          <w:t>www.cninfo.com.cn</w:t>
        </w:r>
        <w:r>
          <w:rPr>
            <w:rFonts w:ascii="Times New Roman" w:hAnsi="Times New Roman" w:cs="Times New Roman" w:eastAsia="Times New Roman" w:hint="default"/>
            <w:spacing w:val="-2"/>
          </w:rPr>
        </w:r>
      </w:hyperlink>
      <w:r>
        <w:rPr>
          <w:spacing w:val="-2"/>
        </w:rPr>
        <w:t>）。</w:t>
      </w:r>
    </w:p>
    <w:p>
      <w:pPr>
        <w:pStyle w:val="BodyText"/>
        <w:spacing w:line="240" w:lineRule="auto" w:before="46"/>
        <w:ind w:left="513" w:right="90"/>
        <w:jc w:val="left"/>
      </w:pPr>
      <w:r>
        <w:rPr>
          <w:rFonts w:ascii="Times New Roman" w:hAnsi="Times New Roman" w:cs="Times New Roman" w:eastAsia="Times New Roman" w:hint="default"/>
        </w:rPr>
        <w:t>2</w:t>
      </w:r>
      <w:r>
        <w:rPr/>
        <w:t>、公司内幕信息知情人登记管理制度的制定、实施情况如下：</w:t>
      </w:r>
    </w:p>
    <w:p>
      <w:pPr>
        <w:pStyle w:val="BodyText"/>
        <w:spacing w:line="240" w:lineRule="auto" w:before="101"/>
        <w:ind w:left="513" w:right="9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 </w:t>
      </w:r>
      <w:r>
        <w:rPr/>
        <w:t>日，公司第二董事会第七次会议审议通过了《内幕信息知情人备案制度</w:t>
      </w:r>
      <w:r>
        <w:rPr>
          <w:spacing w:val="-90"/>
        </w:rPr>
        <w:t>》</w:t>
      </w:r>
      <w:r>
        <w:rPr/>
        <w:t>，规定了内幕信息知情人的登</w:t>
      </w:r>
    </w:p>
    <w:p>
      <w:pPr>
        <w:pStyle w:val="BodyText"/>
        <w:spacing w:line="312" w:lineRule="auto" w:before="63"/>
        <w:ind w:right="90"/>
        <w:jc w:val="left"/>
      </w:pPr>
      <w:r>
        <w:rPr/>
        <w:t>记管理、保密管理以及责任追究制度。</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日，公司第二届董事会第十八次（临时）会议按照相关法律法规的 </w:t>
      </w:r>
      <w:r>
        <w:rPr>
          <w:spacing w:val="-2"/>
        </w:rPr>
        <w:t>规定和要求，对《公司内幕信息知情人备案制度》进行了全面修订，修订后的《公司内幕信息知情人备案制度》更名为《公</w:t>
      </w:r>
      <w:r>
        <w:rPr>
          <w:spacing w:val="-65"/>
        </w:rPr>
        <w:t> </w:t>
      </w:r>
      <w:r>
        <w:rPr>
          <w:spacing w:val="-65"/>
        </w:rPr>
      </w:r>
      <w:r>
        <w:rPr>
          <w:spacing w:val="-2"/>
        </w:rPr>
        <w:t>司内幕信息知情人登记管理制度》，进一步细化和完善了内幕信息在公司内部的保密管理和登记管理，以及外部信息使用人</w:t>
      </w:r>
      <w:r>
        <w:rPr>
          <w:spacing w:val="-72"/>
        </w:rPr>
        <w:t> </w:t>
      </w:r>
      <w:r>
        <w:rPr>
          <w:spacing w:val="-72"/>
        </w:rPr>
      </w:r>
      <w:r>
        <w:rPr/>
        <w:t>对内幕信息的使用管理。</w:t>
      </w:r>
    </w:p>
    <w:p>
      <w:pPr>
        <w:pStyle w:val="BodyText"/>
        <w:spacing w:line="319" w:lineRule="auto" w:before="62"/>
        <w:ind w:right="90" w:firstLine="360"/>
        <w:jc w:val="left"/>
      </w:pPr>
      <w:r>
        <w:rPr>
          <w:spacing w:val="-5"/>
        </w:rPr>
        <w:t>报告期内，公司严格按照《信息披露管理制度》、《内幕信息知情人登记管理制度》等有关制度的规定和要求，积极做好</w:t>
      </w:r>
      <w:r>
        <w:rPr/>
        <w:t> </w:t>
      </w:r>
      <w:r>
        <w:rPr>
          <w:spacing w:val="-2"/>
        </w:rPr>
        <w:t>内幕信息保密和管理工作。在报告期内公司未发生内幕信息知情人在影响公司股价的重大敏感信息披露前利用内幕信息买卖</w:t>
      </w:r>
      <w:r>
        <w:rPr>
          <w:spacing w:val="-64"/>
        </w:rPr>
        <w:t> </w:t>
      </w:r>
      <w:r>
        <w:rPr>
          <w:spacing w:val="-64"/>
        </w:rPr>
      </w:r>
      <w:r>
        <w:rPr>
          <w:spacing w:val="-2"/>
        </w:rPr>
        <w:t>公司股票的情况，也未受到监管部门的查处。在接待特定对象（机构投资者、媒体）的过程中，公司严格按照《深圳证券交</w:t>
      </w:r>
      <w:r>
        <w:rPr>
          <w:spacing w:val="-65"/>
        </w:rPr>
        <w:t> </w:t>
      </w:r>
      <w:r>
        <w:rPr>
          <w:spacing w:val="-65"/>
        </w:rPr>
      </w:r>
      <w:r>
        <w:rPr/>
        <w:t>易所中小企业板上市公司规范运作指引》的要求，认真做好特定对象来访接待工作。对于来访的特定对象均要求事前预约， </w:t>
      </w:r>
      <w:r>
        <w:rPr>
          <w:spacing w:val="-2"/>
        </w:rPr>
        <w:t>如果接待时间在重大信息披露窗口期，则建议来访对象尽量避开；在接待特定对象时，公司要求来访人员签署《承诺书》，</w:t>
      </w:r>
      <w:r>
        <w:rPr>
          <w:spacing w:val="-67"/>
        </w:rPr>
        <w:t> </w:t>
      </w:r>
      <w:r>
        <w:rPr>
          <w:spacing w:val="-67"/>
        </w:rPr>
      </w:r>
      <w:r>
        <w:rPr>
          <w:spacing w:val="-4"/>
        </w:rPr>
        <w:t>安排两人以上陪同接待来访人员，同时按照《投资者关系活动记录表》的格式记录谈话主要内容并及时报备深圳证券交易所，</w:t>
      </w:r>
      <w:r>
        <w:rPr>
          <w:spacing w:val="-44"/>
        </w:rPr>
        <w:t> </w:t>
      </w:r>
      <w:r>
        <w:rPr>
          <w:spacing w:val="-44"/>
        </w:rPr>
      </w:r>
      <w:r>
        <w:rPr/>
        <w:t>披露于深交所互动易平台。</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80"/>
        <w:gridCol w:w="1080"/>
        <w:gridCol w:w="3420"/>
        <w:gridCol w:w="898"/>
        <w:gridCol w:w="1082"/>
        <w:gridCol w:w="2106"/>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董事会工作报告》</w:t>
            </w:r>
          </w:p>
        </w:tc>
        <w:tc>
          <w:tcPr>
            <w:tcW w:w="898" w:type="dxa"/>
            <w:tcBorders>
              <w:top w:val="single" w:sz="4" w:space="0" w:color="000000"/>
              <w:left w:val="single" w:sz="4" w:space="0" w:color="000000"/>
              <w:bottom w:val="nil" w:sz="6" w:space="0" w:color="auto"/>
              <w:right w:val="single" w:sz="4" w:space="0" w:color="000000"/>
            </w:tcBorders>
          </w:tcPr>
          <w:p>
            <w:pPr/>
          </w:p>
        </w:tc>
        <w:tc>
          <w:tcPr>
            <w:tcW w:w="1082" w:type="dxa"/>
            <w:tcBorders>
              <w:top w:val="single" w:sz="4" w:space="0" w:color="000000"/>
              <w:left w:val="single" w:sz="4" w:space="0" w:color="000000"/>
              <w:bottom w:val="nil" w:sz="6" w:space="0" w:color="auto"/>
              <w:right w:val="single" w:sz="4" w:space="0" w:color="000000"/>
            </w:tcBorders>
          </w:tcPr>
          <w:p>
            <w:pPr/>
          </w:p>
        </w:tc>
        <w:tc>
          <w:tcPr>
            <w:tcW w:w="2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监事会工作报告》</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财务决算报告》</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
        </w:tc>
      </w:tr>
      <w:tr>
        <w:trPr>
          <w:trHeight w:val="343"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年度利润分配及资本公积金</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2012-015</w:t>
            </w:r>
          </w:p>
        </w:tc>
      </w:tr>
      <w:tr>
        <w:trPr>
          <w:trHeight w:val="95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00" w:lineRule="auto"/>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 东大会</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转增股本的议案》</w:t>
            </w: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年</w:t>
            </w:r>
            <w:r>
              <w:rPr>
                <w:rFonts w:ascii="宋体" w:hAnsi="宋体" w:cs="宋体" w:eastAsia="宋体" w:hint="default"/>
                <w:sz w:val="18"/>
                <w:szCs w:val="18"/>
              </w:rPr>
              <w:t>度报告及摘要》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118"/>
                <w:sz w:val="18"/>
                <w:szCs w:val="18"/>
              </w:rPr>
              <w:t>、</w:t>
            </w:r>
            <w:r>
              <w:rPr>
                <w:rFonts w:ascii="宋体" w:hAnsi="宋体" w:cs="宋体" w:eastAsia="宋体" w:hint="default"/>
                <w:sz w:val="18"/>
                <w:szCs w:val="18"/>
              </w:rPr>
              <w:t>《关于聘请立信会计师事务</w:t>
            </w:r>
            <w:r>
              <w:rPr>
                <w:rFonts w:ascii="宋体" w:hAnsi="宋体" w:cs="宋体" w:eastAsia="宋体" w:hint="default"/>
                <w:spacing w:val="-28"/>
                <w:sz w:val="18"/>
                <w:szCs w:val="18"/>
              </w:rPr>
              <w:t>所</w:t>
            </w:r>
            <w:r>
              <w:rPr>
                <w:rFonts w:ascii="宋体" w:hAnsi="宋体" w:cs="宋体" w:eastAsia="宋体" w:hint="default"/>
                <w:sz w:val="18"/>
                <w:szCs w:val="18"/>
              </w:rPr>
              <w:t>（特殊普通</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309" w:lineRule="auto" w:before="34"/>
              <w:ind w:left="22" w:right="23"/>
              <w:jc w:val="left"/>
              <w:rPr>
                <w:rFonts w:ascii="宋体" w:hAnsi="宋体" w:cs="宋体" w:eastAsia="宋体" w:hint="default"/>
                <w:sz w:val="18"/>
                <w:szCs w:val="18"/>
              </w:rPr>
            </w:pPr>
            <w:r>
              <w:rPr>
                <w:rFonts w:ascii="宋体" w:hAnsi="宋体" w:cs="宋体" w:eastAsia="宋体" w:hint="default"/>
                <w:spacing w:val="-15"/>
                <w:sz w:val="18"/>
                <w:szCs w:val="18"/>
              </w:rPr>
              <w:t>公告名称：《广电运通</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年度股东大会决议公告》 披露网站：巨潮资讯网</w:t>
            </w:r>
          </w:p>
        </w:tc>
      </w:tr>
      <w:tr>
        <w:trPr>
          <w:trHeight w:val="336"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合伙）为公司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年度审计机构的议案》</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23"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《关于增加为全资子公司广电运通国际</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有限公司提供担保额度的议案》</w:t>
            </w:r>
          </w:p>
        </w:tc>
        <w:tc>
          <w:tcPr>
            <w:tcW w:w="898" w:type="dxa"/>
            <w:tcBorders>
              <w:top w:val="nil" w:sz="6" w:space="0" w:color="auto"/>
              <w:left w:val="single" w:sz="4" w:space="0" w:color="000000"/>
              <w:bottom w:val="nil" w:sz="6" w:space="0" w:color="auto"/>
              <w:right w:val="single" w:sz="4" w:space="0" w:color="000000"/>
            </w:tcBorders>
          </w:tcPr>
          <w:p>
            <w:pPr/>
          </w:p>
        </w:tc>
        <w:tc>
          <w:tcPr>
            <w:tcW w:w="1082" w:type="dxa"/>
            <w:tcBorders>
              <w:top w:val="nil" w:sz="6" w:space="0" w:color="auto"/>
              <w:left w:val="single" w:sz="4" w:space="0" w:color="000000"/>
              <w:bottom w:val="nil" w:sz="6" w:space="0" w:color="auto"/>
              <w:right w:val="single" w:sz="4" w:space="0" w:color="000000"/>
            </w:tcBorders>
          </w:tcPr>
          <w:p>
            <w:pPr/>
          </w:p>
        </w:tc>
        <w:tc>
          <w:tcPr>
            <w:tcW w:w="2106" w:type="dxa"/>
            <w:tcBorders>
              <w:top w:val="nil" w:sz="6" w:space="0" w:color="auto"/>
              <w:left w:val="single" w:sz="4" w:space="0" w:color="000000"/>
              <w:bottom w:val="nil" w:sz="6" w:space="0" w:color="auto"/>
              <w:right w:val="single" w:sz="4" w:space="0" w:color="000000"/>
            </w:tcBorders>
          </w:tcPr>
          <w:p>
            <w:pPr/>
          </w:p>
        </w:tc>
      </w:tr>
      <w:tr>
        <w:trPr>
          <w:trHeight w:val="376"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898" w:type="dxa"/>
            <w:tcBorders>
              <w:top w:val="nil" w:sz="6" w:space="0" w:color="auto"/>
              <w:left w:val="single" w:sz="4" w:space="0" w:color="000000"/>
              <w:bottom w:val="single" w:sz="4" w:space="0" w:color="000000"/>
              <w:right w:val="single" w:sz="4" w:space="0" w:color="000000"/>
            </w:tcBorders>
          </w:tcPr>
          <w:p>
            <w:pPr/>
          </w:p>
        </w:tc>
        <w:tc>
          <w:tcPr>
            <w:tcW w:w="1082" w:type="dxa"/>
            <w:tcBorders>
              <w:top w:val="nil" w:sz="6" w:space="0" w:color="auto"/>
              <w:left w:val="single" w:sz="4" w:space="0" w:color="000000"/>
              <w:bottom w:val="single" w:sz="4" w:space="0" w:color="000000"/>
              <w:right w:val="single" w:sz="4" w:space="0" w:color="000000"/>
            </w:tcBorders>
          </w:tcPr>
          <w:p>
            <w:pPr/>
          </w:p>
        </w:tc>
        <w:tc>
          <w:tcPr>
            <w:tcW w:w="2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r>
        <w:rPr/>
        <w:pict>
          <v:group style="position:absolute;margin-left:344.940002pt;margin-top:189.699997pt;width:44.55pt;height:31.2pt;mso-position-horizontal-relative:page;mso-position-vertical-relative:page;z-index:-1105720" coordorigin="6899,3794" coordsize="891,624">
            <v:shape style="position:absolute;left:6899;top:3794;width:891;height:624" coordorigin="6899,3794" coordsize="891,624" path="m6899,4418l7789,4418,7789,3794,6899,3794,6899,4418xe" filled="true" fillcolor="#ffffff" stroked="false">
              <v:path arrowok="t"/>
              <v:fill type="solid"/>
            </v:shape>
            <w10:wrap type="none"/>
          </v:group>
        </w:pict>
      </w:r>
    </w:p>
    <w:p>
      <w:pPr>
        <w:spacing w:before="35"/>
        <w:ind w:left="294" w:right="2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900"/>
        <w:gridCol w:w="900"/>
        <w:gridCol w:w="4140"/>
        <w:gridCol w:w="900"/>
        <w:gridCol w:w="976"/>
        <w:gridCol w:w="2106"/>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0" w:hRule="exact"/>
        </w:trPr>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《关于更换会计师事务所的议案》</w:t>
            </w:r>
          </w:p>
        </w:tc>
        <w:tc>
          <w:tcPr>
            <w:tcW w:w="900"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2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公告编号：临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167"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309" w:lineRule="auto" w:before="124"/>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 股东大会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13" w:space="0" w:color="FFFFFF"/>
            </w:tcBorders>
          </w:tcPr>
          <w:p>
            <w:pPr>
              <w:pStyle w:val="TableParagraph"/>
              <w:spacing w:line="240" w:lineRule="auto" w:before="8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40" w:lineRule="auto" w:before="102"/>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《关于选举公司第三届董事会非独立董事的议案》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《关于选举公司第三届董事会独立董事的议案》</w:t>
            </w:r>
          </w:p>
        </w:tc>
        <w:tc>
          <w:tcPr>
            <w:tcW w:w="900"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11" w:right="145"/>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w:t>
            </w:r>
            <w:r>
              <w:rPr>
                <w:rFonts w:ascii="宋体" w:hAnsi="宋体" w:cs="宋体" w:eastAsia="宋体" w:hint="default"/>
                <w:spacing w:val="-155"/>
                <w:sz w:val="18"/>
                <w:szCs w:val="18"/>
              </w:rPr>
              <w:t>：</w:t>
            </w:r>
            <w:r>
              <w:rPr>
                <w:rFonts w:ascii="宋体" w:hAnsi="宋体" w:cs="宋体" w:eastAsia="宋体" w:hint="default"/>
                <w:sz w:val="18"/>
                <w:szCs w:val="18"/>
              </w:rPr>
              <w:t>《广电运通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16" w:lineRule="auto" w:before="63"/>
              <w:ind w:left="24" w:right="90"/>
              <w:jc w:val="left"/>
              <w:rPr>
                <w:rFonts w:ascii="宋体" w:hAnsi="宋体" w:cs="宋体" w:eastAsia="宋体" w:hint="default"/>
                <w:sz w:val="18"/>
                <w:szCs w:val="18"/>
              </w:rPr>
            </w:pPr>
            <w:r>
              <w:rPr>
                <w:rFonts w:ascii="宋体" w:hAnsi="宋体" w:cs="宋体" w:eastAsia="宋体" w:hint="default"/>
                <w:sz w:val="18"/>
                <w:szCs w:val="18"/>
              </w:rPr>
              <w:t>年第一次临时股东大会决 议公告》 披露网站：巨潮资讯网</w:t>
            </w:r>
          </w:p>
        </w:tc>
      </w:tr>
      <w:tr>
        <w:trPr>
          <w:trHeight w:val="395" w:hRule="exact"/>
        </w:trPr>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《关于选举公司第三届监事会非职工监事的议案》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2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2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2012-022</w:t>
            </w:r>
          </w:p>
        </w:tc>
      </w:tr>
      <w:tr>
        <w:trPr>
          <w:trHeight w:val="1247"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09"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 股东大会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101"/>
                <w:sz w:val="18"/>
                <w:szCs w:val="18"/>
              </w:rPr>
              <w:t>、</w:t>
            </w:r>
            <w:r>
              <w:rPr>
                <w:rFonts w:ascii="宋体" w:hAnsi="宋体" w:cs="宋体" w:eastAsia="宋体" w:hint="default"/>
                <w:sz w:val="18"/>
                <w:szCs w:val="18"/>
              </w:rPr>
              <w:t>《关于制定</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公司未来三年股东回报规</w:t>
            </w:r>
            <w:r>
              <w:rPr>
                <w:rFonts w:ascii="宋体" w:hAnsi="宋体" w:cs="宋体" w:eastAsia="宋体" w:hint="default"/>
                <w:spacing w:val="-11"/>
                <w:sz w:val="18"/>
                <w:szCs w:val="18"/>
              </w:rPr>
              <w:t>划</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全部审议 通过</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06"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4" w:right="20"/>
              <w:jc w:val="left"/>
              <w:rPr>
                <w:rFonts w:ascii="宋体" w:hAnsi="宋体" w:cs="宋体" w:eastAsia="宋体" w:hint="default"/>
                <w:sz w:val="18"/>
                <w:szCs w:val="18"/>
              </w:rPr>
            </w:pPr>
            <w:r>
              <w:rPr>
                <w:rFonts w:ascii="宋体" w:hAnsi="宋体" w:cs="宋体" w:eastAsia="宋体" w:hint="default"/>
                <w:spacing w:val="-16"/>
                <w:sz w:val="18"/>
                <w:szCs w:val="18"/>
              </w:rPr>
              <w:t>公告名称：《广电运通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年第二次临时股东大会决 议公告》 披露网站：巨潮资讯网</w:t>
            </w: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2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b/>
          <w:bCs/>
          <w:sz w:val="18"/>
          <w:szCs w:val="18"/>
        </w:rPr>
      </w:pPr>
    </w:p>
    <w:p>
      <w:pPr>
        <w:spacing w:before="26"/>
        <w:ind w:left="294" w:right="230" w:firstLine="0"/>
        <w:jc w:val="left"/>
        <w:rPr>
          <w:rFonts w:ascii="宋体" w:hAnsi="宋体" w:cs="宋体" w:eastAsia="宋体" w:hint="default"/>
          <w:sz w:val="24"/>
          <w:szCs w:val="24"/>
        </w:rPr>
      </w:pPr>
      <w:r>
        <w:rPr>
          <w:rFonts w:ascii="宋体" w:hAnsi="宋体" w:cs="宋体" w:eastAsia="宋体" w:hint="default"/>
          <w:b/>
          <w:bCs/>
          <w:sz w:val="24"/>
          <w:szCs w:val="24"/>
        </w:rPr>
        <w:t>三、报告期内独立董事履行职责的情况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294" w:right="2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程  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刘佩莲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高符生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06"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、独立董事程昆列席股东大会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、独立董事刘佩莲列席股东大会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、独立董事高符生列席股东大会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tc>
      </w:tr>
    </w:tbl>
    <w:p>
      <w:pPr>
        <w:pStyle w:val="BodyText"/>
        <w:spacing w:line="357" w:lineRule="auto" w:before="51"/>
        <w:ind w:left="293" w:right="7151"/>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left="294" w:right="23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4" w:right="230"/>
        <w:jc w:val="left"/>
      </w:pPr>
      <w:r>
        <w:rPr/>
        <w:t>独立董事对公司有关事项是否提出异议</w:t>
      </w:r>
    </w:p>
    <w:p>
      <w:pPr>
        <w:pStyle w:val="BodyText"/>
        <w:spacing w:line="357" w:lineRule="auto" w:before="117"/>
        <w:ind w:left="293" w:right="6071"/>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3"/>
        <w:spacing w:line="240" w:lineRule="auto"/>
        <w:ind w:left="294" w:right="23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94" w:right="230"/>
        <w:jc w:val="left"/>
      </w:pPr>
      <w:r>
        <w:rPr/>
        <w:t>独立董事对公司有关建议是否被采纳</w:t>
      </w:r>
    </w:p>
    <w:p>
      <w:pPr>
        <w:spacing w:after="0" w:line="240" w:lineRule="auto"/>
        <w:jc w:val="left"/>
        <w:sectPr>
          <w:pgSz w:w="11910" w:h="16840"/>
          <w:pgMar w:header="747" w:footer="982" w:top="1060" w:bottom="1180" w:left="840" w:right="900"/>
        </w:sectPr>
      </w:pPr>
    </w:p>
    <w:p>
      <w:pPr>
        <w:spacing w:line="240" w:lineRule="auto" w:before="13"/>
        <w:rPr>
          <w:rFonts w:ascii="宋体" w:hAnsi="宋体" w:cs="宋体" w:eastAsia="宋体" w:hint="default"/>
          <w:sz w:val="25"/>
          <w:szCs w:val="25"/>
        </w:rPr>
      </w:pPr>
    </w:p>
    <w:p>
      <w:pPr>
        <w:pStyle w:val="BodyText"/>
        <w:spacing w:line="357" w:lineRule="auto" w:before="44"/>
        <w:ind w:left="153" w:right="5851"/>
        <w:jc w:val="left"/>
      </w:pPr>
      <w:r>
        <w:rPr/>
        <w:t>√ 是 □ 否 独立董事对公司有关建议被采纳或未被采纳的说明</w:t>
      </w:r>
    </w:p>
    <w:p>
      <w:pPr>
        <w:pStyle w:val="BodyText"/>
        <w:spacing w:line="319" w:lineRule="auto" w:before="28"/>
        <w:ind w:left="153" w:right="190" w:firstLine="360"/>
        <w:jc w:val="both"/>
      </w:pPr>
      <w:r>
        <w:rPr>
          <w:spacing w:val="-9"/>
        </w:rPr>
        <w:t>公司独立董事根据《公司法》、《证券法》、《公司章程》和《独立董事工作制度》等法律法规的规定，关注公司运作的规</w:t>
      </w:r>
      <w:r>
        <w:rPr/>
        <w:t> </w:t>
      </w:r>
      <w:r>
        <w:rPr>
          <w:spacing w:val="-2"/>
        </w:rPr>
        <w:t>范性，独立履行职责，对公司的制度完善和日常经营决策等方面提出了许多宝贵的专业性意见，对报告期内公司发生的聘请</w:t>
      </w:r>
      <w:r>
        <w:rPr>
          <w:spacing w:val="-66"/>
        </w:rPr>
        <w:t> </w:t>
      </w:r>
      <w:r>
        <w:rPr>
          <w:spacing w:val="-66"/>
        </w:rPr>
      </w:r>
      <w:r>
        <w:rPr>
          <w:spacing w:val="-2"/>
        </w:rPr>
        <w:t>年度报告审计机构、关联交易、对外担保、聘任高级管理人员等需要独立董事发表意见的事项出具了独立、公正的独立董事</w:t>
      </w:r>
      <w:r>
        <w:rPr>
          <w:spacing w:val="-66"/>
        </w:rPr>
        <w:t> </w:t>
      </w:r>
      <w:r>
        <w:rPr>
          <w:spacing w:val="-66"/>
        </w:rPr>
      </w:r>
      <w:r>
        <w:rPr/>
        <w:t>意见，为完善公司监督机制，维护公司和全体股东的合法权益发挥了应有的作用。</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四、董事会下设专门委员会在报告期内履行职责情况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0" w:right="90"/>
        <w:jc w:val="left"/>
      </w:pPr>
      <w:r>
        <w:rPr>
          <w:rFonts w:ascii="Times New Roman" w:hAnsi="Times New Roman" w:cs="Times New Roman" w:eastAsia="Times New Roman" w:hint="default"/>
        </w:rPr>
        <w:t>1</w:t>
      </w:r>
      <w:r>
        <w:rPr/>
        <w:t>、审计委员会</w:t>
      </w:r>
    </w:p>
    <w:p>
      <w:pPr>
        <w:pStyle w:val="BodyText"/>
        <w:spacing w:line="312" w:lineRule="auto" w:before="101"/>
        <w:ind w:left="153" w:right="191" w:firstLine="436"/>
        <w:jc w:val="both"/>
      </w:pPr>
      <w:r>
        <w:rPr>
          <w:rFonts w:ascii="Times New Roman" w:hAnsi="Times New Roman" w:cs="Times New Roman" w:eastAsia="Times New Roman" w:hint="default"/>
          <w:spacing w:val="-2"/>
        </w:rPr>
        <w:t>2012</w:t>
      </w:r>
      <w:r>
        <w:rPr>
          <w:spacing w:val="-2"/>
        </w:rPr>
        <w:t>年董事会审计委员会共召开了</w:t>
      </w:r>
      <w:r>
        <w:rPr>
          <w:rFonts w:ascii="Times New Roman" w:hAnsi="Times New Roman" w:cs="Times New Roman" w:eastAsia="Times New Roman" w:hint="default"/>
          <w:spacing w:val="-2"/>
        </w:rPr>
        <w:t>5</w:t>
      </w:r>
      <w:r>
        <w:rPr>
          <w:spacing w:val="-2"/>
        </w:rPr>
        <w:t>次会议，严格按照《审计委员会工作细则》开展各项工作，对公司审计部提交的季</w:t>
      </w:r>
      <w:r>
        <w:rPr/>
        <w:t> </w:t>
      </w:r>
      <w:r>
        <w:rPr>
          <w:spacing w:val="-2"/>
        </w:rPr>
        <w:t>度经营审计报告、年度内部控制自我评价报告、内部审计工作计划、外部审计机构的工作总结报告、续聘会计师事务所等事</w:t>
      </w:r>
      <w:r>
        <w:rPr>
          <w:spacing w:val="-66"/>
        </w:rPr>
        <w:t> </w:t>
      </w:r>
      <w:r>
        <w:rPr>
          <w:spacing w:val="-66"/>
        </w:rPr>
      </w:r>
      <w:r>
        <w:rPr>
          <w:spacing w:val="-2"/>
        </w:rPr>
        <w:t>项进行审议，对相关事项讨论后，形成决议提交公司董事会进行审议；对内部控制的实施情况进行监督；严格按照《董事会</w:t>
      </w:r>
      <w:r>
        <w:rPr>
          <w:spacing w:val="-66"/>
        </w:rPr>
        <w:t> </w:t>
      </w:r>
      <w:r>
        <w:rPr>
          <w:spacing w:val="-66"/>
        </w:rPr>
      </w:r>
      <w:r>
        <w:rPr/>
        <w:t>审计委员会年报工作规程》对年审会计师完成审计工作情况及其执业质量进行全面客观的评价，提高年报的披露质量。</w:t>
      </w:r>
    </w:p>
    <w:p>
      <w:pPr>
        <w:pStyle w:val="BodyText"/>
        <w:spacing w:line="240" w:lineRule="auto" w:before="62"/>
        <w:ind w:left="590" w:right="90"/>
        <w:jc w:val="left"/>
      </w:pPr>
      <w:r>
        <w:rPr>
          <w:rFonts w:ascii="Times New Roman" w:hAnsi="Times New Roman" w:cs="Times New Roman" w:eastAsia="Times New Roman" w:hint="default"/>
        </w:rPr>
        <w:t>2</w:t>
      </w:r>
      <w:r>
        <w:rPr/>
        <w:t>、薪酬与考核委员会</w:t>
      </w:r>
    </w:p>
    <w:p>
      <w:pPr>
        <w:pStyle w:val="BodyText"/>
        <w:spacing w:line="302" w:lineRule="auto" w:before="102"/>
        <w:ind w:left="153" w:right="191" w:firstLine="436"/>
        <w:jc w:val="both"/>
      </w:pPr>
      <w:r>
        <w:rPr>
          <w:rFonts w:ascii="Times New Roman" w:hAnsi="Times New Roman" w:cs="Times New Roman" w:eastAsia="Times New Roman" w:hint="default"/>
          <w:spacing w:val="-2"/>
        </w:rPr>
        <w:t>2012</w:t>
      </w:r>
      <w:r>
        <w:rPr>
          <w:spacing w:val="-2"/>
        </w:rPr>
        <w:t>年董事会薪酬与考核委员会召开了</w:t>
      </w:r>
      <w:r>
        <w:rPr>
          <w:rFonts w:ascii="Times New Roman" w:hAnsi="Times New Roman" w:cs="Times New Roman" w:eastAsia="Times New Roman" w:hint="default"/>
          <w:spacing w:val="-2"/>
        </w:rPr>
        <w:t>1</w:t>
      </w:r>
      <w:r>
        <w:rPr>
          <w:spacing w:val="-2"/>
        </w:rPr>
        <w:t>次会议，根据公司业绩考核与薪酬管理制度对公司高级管理人员进行考核，确</w:t>
      </w:r>
      <w:r>
        <w:rPr/>
        <w:t> 定其</w:t>
      </w:r>
      <w:r>
        <w:rPr>
          <w:rFonts w:ascii="Times New Roman" w:hAnsi="Times New Roman" w:cs="Times New Roman" w:eastAsia="Times New Roman" w:hint="default"/>
        </w:rPr>
        <w:t>2011</w:t>
      </w:r>
      <w:r>
        <w:rPr/>
        <w:t>年薪酬及</w:t>
      </w:r>
      <w:r>
        <w:rPr>
          <w:rFonts w:ascii="Times New Roman" w:hAnsi="Times New Roman" w:cs="Times New Roman" w:eastAsia="Times New Roman" w:hint="default"/>
        </w:rPr>
        <w:t>2012</w:t>
      </w:r>
      <w:r>
        <w:rPr/>
        <w:t>年度考核目标，并形成议案提交董事会审议。</w:t>
      </w:r>
    </w:p>
    <w:p>
      <w:pPr>
        <w:pStyle w:val="BodyText"/>
        <w:spacing w:line="240" w:lineRule="auto" w:before="50"/>
        <w:ind w:left="590" w:right="90"/>
        <w:jc w:val="left"/>
      </w:pPr>
      <w:r>
        <w:rPr>
          <w:rFonts w:ascii="Times New Roman" w:hAnsi="Times New Roman" w:cs="Times New Roman" w:eastAsia="Times New Roman" w:hint="default"/>
        </w:rPr>
        <w:t>3</w:t>
      </w:r>
      <w:r>
        <w:rPr/>
        <w:t>、提名委员会</w:t>
      </w:r>
    </w:p>
    <w:p>
      <w:pPr>
        <w:pStyle w:val="BodyText"/>
        <w:spacing w:line="309" w:lineRule="auto" w:before="101"/>
        <w:ind w:left="153" w:right="188" w:firstLine="436"/>
        <w:jc w:val="both"/>
      </w:pPr>
      <w:r>
        <w:rPr>
          <w:rFonts w:ascii="Times New Roman" w:hAnsi="Times New Roman" w:cs="Times New Roman" w:eastAsia="Times New Roman" w:hint="default"/>
          <w:spacing w:val="-2"/>
        </w:rPr>
        <w:t>2012</w:t>
      </w:r>
      <w:r>
        <w:rPr>
          <w:spacing w:val="-2"/>
        </w:rPr>
        <w:t>年董事会提名委员会召开了</w:t>
      </w:r>
      <w:r>
        <w:rPr>
          <w:rFonts w:ascii="Times New Roman" w:hAnsi="Times New Roman" w:cs="Times New Roman" w:eastAsia="Times New Roman" w:hint="default"/>
          <w:spacing w:val="-2"/>
        </w:rPr>
        <w:t>1</w:t>
      </w:r>
      <w:r>
        <w:rPr>
          <w:spacing w:val="-2"/>
        </w:rPr>
        <w:t>次会议，根据公司经营管理的需要，经总经理提名，拟聘任罗攀峰先生、魏东先生为</w:t>
      </w:r>
      <w:r>
        <w:rPr/>
        <w:t> </w:t>
      </w:r>
      <w:r>
        <w:rPr>
          <w:spacing w:val="-5"/>
        </w:rPr>
        <w:t>公司副总经理。提名委员会委员对上述人选的教育背景、任职经历、专业能力和职业素养等方面进行了审查，审议通过了《关</w:t>
      </w:r>
      <w:r>
        <w:rPr>
          <w:spacing w:val="-78"/>
        </w:rPr>
        <w:t> </w:t>
      </w:r>
      <w:r>
        <w:rPr>
          <w:spacing w:val="-78"/>
        </w:rPr>
      </w:r>
      <w:r>
        <w:rPr/>
        <w:t>于聘任罗攀峰先生、魏东先生为公司副总经理的议案》，并形成议案提交董事会进行审议。</w:t>
      </w:r>
    </w:p>
    <w:p>
      <w:pPr>
        <w:spacing w:line="240" w:lineRule="auto" w:before="1"/>
        <w:rPr>
          <w:rFonts w:ascii="宋体" w:hAnsi="宋体" w:cs="宋体" w:eastAsia="宋体" w:hint="default"/>
          <w:sz w:val="21"/>
          <w:szCs w:val="21"/>
        </w:rPr>
      </w:pPr>
    </w:p>
    <w:p>
      <w:pPr>
        <w:pStyle w:val="Heading2"/>
        <w:spacing w:line="240" w:lineRule="auto"/>
        <w:ind w:right="9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监事会在报告期内的监督活动中发现公司是否存在风险</w:t>
      </w:r>
    </w:p>
    <w:p>
      <w:pPr>
        <w:pStyle w:val="BodyText"/>
        <w:spacing w:line="357" w:lineRule="auto" w:before="117"/>
        <w:ind w:left="153" w:right="6751"/>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right="90"/>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报告期内，公司与控股股东在业务、人员、资产、机构、财务等方面完全分开，具有独立完整的业务及自主经营能力。</w:t>
      </w:r>
    </w:p>
    <w:p>
      <w:pPr>
        <w:pStyle w:val="BodyText"/>
        <w:spacing w:line="328" w:lineRule="auto" w:before="77"/>
        <w:ind w:right="90" w:firstLine="360"/>
        <w:jc w:val="left"/>
      </w:pPr>
      <w:r>
        <w:rPr>
          <w:rFonts w:ascii="Times New Roman" w:hAnsi="Times New Roman" w:cs="Times New Roman" w:eastAsia="Times New Roman" w:hint="default"/>
        </w:rPr>
        <w:t>1</w:t>
      </w:r>
      <w:r>
        <w:rPr/>
        <w:t>、业务独立情况：公司业务独立于控股股东、实际控制人及其控制的其他企业，拥有独立完整的供应、生产和销售 </w:t>
      </w:r>
      <w:r>
        <w:rPr>
          <w:spacing w:val="-2"/>
        </w:rPr>
        <w:t>系统，独立开展业务，不依赖于股东或其它任何关联方，与控股股东、实际控制人及其控制的其他企业不存在同业竞争或者</w:t>
      </w:r>
      <w:r>
        <w:rPr>
          <w:spacing w:val="-66"/>
        </w:rPr>
        <w:t> </w:t>
      </w:r>
      <w:r>
        <w:rPr>
          <w:spacing w:val="-66"/>
        </w:rPr>
      </w:r>
      <w:r>
        <w:rPr/>
        <w:t>显失公平的关联交易。</w:t>
      </w:r>
    </w:p>
    <w:p>
      <w:pPr>
        <w:pStyle w:val="BodyText"/>
        <w:spacing w:line="312" w:lineRule="auto" w:before="48"/>
        <w:ind w:right="189"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和人事管理制度，拥有独立的劳动用工权利，不存在受控股股东干涉的现象。公司总经理、副总经理和其他高级管理人员以</w:t>
      </w:r>
      <w:r>
        <w:rPr>
          <w:spacing w:val="-66"/>
        </w:rPr>
        <w:t> </w:t>
      </w:r>
      <w:r>
        <w:rPr>
          <w:spacing w:val="-66"/>
        </w:rPr>
      </w:r>
      <w:r>
        <w:rPr>
          <w:spacing w:val="-2"/>
        </w:rPr>
        <w:t>及核心技术人员等均专职在本公司及控股子公司工作并领取薪酬，未在控股股东、实际控制人及其控制的其他企业中担任其</w:t>
      </w:r>
      <w:r>
        <w:rPr>
          <w:spacing w:val="-64"/>
        </w:rPr>
        <w:t> </w:t>
      </w:r>
      <w:r>
        <w:rPr>
          <w:spacing w:val="-64"/>
        </w:rPr>
      </w:r>
      <w:r>
        <w:rPr/>
        <w:t>他职务或领取薪酬。</w:t>
      </w:r>
    </w:p>
    <w:p>
      <w:pPr>
        <w:pStyle w:val="BodyText"/>
        <w:spacing w:line="314" w:lineRule="auto" w:before="61"/>
        <w:ind w:right="90" w:firstLine="360"/>
        <w:jc w:val="left"/>
      </w:pPr>
      <w:r>
        <w:rPr>
          <w:rFonts w:ascii="Times New Roman" w:hAnsi="Times New Roman" w:cs="Times New Roman" w:eastAsia="Times New Roman" w:hint="default"/>
        </w:rPr>
        <w:t>3</w:t>
      </w:r>
      <w:r>
        <w:rPr/>
        <w:t>、资产独立情况：随着募集资金项目全部竣工投入使用，公司拥有独立于控股股东的生产经营场所，拥有独立完整的 </w:t>
      </w:r>
      <w:r>
        <w:rPr>
          <w:spacing w:val="-4"/>
        </w:rPr>
        <w:t>资产结构，拥有独立的生产系统、辅助生产系统和配套设施、土地使用权、房屋所有权等资产，拥有独立的采购和销售系统，</w:t>
      </w:r>
      <w:r>
        <w:rPr>
          <w:spacing w:val="-44"/>
        </w:rPr>
        <w:t> </w:t>
      </w:r>
      <w:r>
        <w:rPr>
          <w:spacing w:val="-44"/>
        </w:rPr>
      </w:r>
      <w:r>
        <w:rPr>
          <w:spacing w:val="-2"/>
        </w:rPr>
        <w:t>对所有资产拥有完全的控制支配权。另外，公司全资子公司深圳银通根据经营需要目前仍向公司控股股东广电集团租赁部分</w:t>
      </w:r>
      <w:r>
        <w:rPr>
          <w:spacing w:val="-64"/>
        </w:rPr>
        <w:t> </w:t>
      </w:r>
      <w:r>
        <w:rPr>
          <w:spacing w:val="-64"/>
        </w:rPr>
      </w:r>
      <w:r>
        <w:rPr>
          <w:spacing w:val="-2"/>
        </w:rPr>
        <w:t>办公场地，深圳银通就房屋租赁事宜与广电集团签署了相关协议并经公司董事会批准，价格公允合理，权利义务明确。公司</w:t>
      </w:r>
      <w:r>
        <w:rPr>
          <w:spacing w:val="-66"/>
        </w:rPr>
        <w:t> </w:t>
      </w:r>
      <w:r>
        <w:rPr>
          <w:spacing w:val="-66"/>
        </w:rPr>
      </w:r>
      <w:r>
        <w:rPr>
          <w:spacing w:val="-4"/>
        </w:rPr>
        <w:t>不存在资产、资金被控股股东、实际控制人及其控制的其他企业违规占用而损害公司利益的情况；不存在以承包、委托经营、</w:t>
      </w:r>
    </w:p>
    <w:p>
      <w:pPr>
        <w:spacing w:after="0" w:line="314"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租赁或其他类似方式，依赖股东单位及其他关联方进行生产经营的情况。</w:t>
      </w:r>
    </w:p>
    <w:p>
      <w:pPr>
        <w:pStyle w:val="BodyText"/>
        <w:spacing w:line="302" w:lineRule="auto" w:before="115"/>
        <w:ind w:left="153" w:right="198" w:firstLine="360"/>
        <w:jc w:val="both"/>
      </w:pPr>
      <w:r>
        <w:rPr>
          <w:rFonts w:ascii="Times New Roman" w:hAnsi="Times New Roman" w:cs="Times New Roman" w:eastAsia="Times New Roman" w:hint="default"/>
        </w:rPr>
        <w:t>4</w:t>
      </w:r>
      <w:r>
        <w:rPr/>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BodyText"/>
        <w:spacing w:line="302" w:lineRule="auto" w:before="69"/>
        <w:ind w:left="153" w:right="101" w:firstLine="360"/>
        <w:jc w:val="both"/>
      </w:pPr>
      <w:r>
        <w:rPr>
          <w:rFonts w:ascii="Times New Roman" w:hAnsi="Times New Roman" w:cs="Times New Roman" w:eastAsia="Times New Roman" w:hint="default"/>
          <w:spacing w:val="-2"/>
        </w:rPr>
        <w:t>5</w:t>
      </w:r>
      <w:r>
        <w:rPr>
          <w:spacing w:val="-2"/>
        </w:rPr>
        <w:t>、机构独立情况：公司建立了健全的法人治理机构，公司根据《公司法》和《公司章程》及其他有关法律法规的规定，</w:t>
      </w:r>
      <w:r>
        <w:rPr/>
        <w:t> 设立了股东大会、董事会、监事会以及经营管理层，并制定了相关议事规则和工作细则。</w:t>
      </w:r>
    </w:p>
    <w:p>
      <w:pPr>
        <w:pStyle w:val="BodyText"/>
        <w:spacing w:line="319" w:lineRule="auto" w:before="68"/>
        <w:ind w:left="153" w:right="191" w:firstLine="360"/>
        <w:jc w:val="both"/>
      </w:pPr>
      <w:r>
        <w:rPr>
          <w:spacing w:val="-2"/>
        </w:rPr>
        <w:t>公司已经按照法律、法规的规定和公司的实际情况设置了公司的组织机构，独立于控股股东和其他关联方，具有健全的</w:t>
      </w:r>
      <w:r>
        <w:rPr/>
        <w:t> </w:t>
      </w:r>
      <w:r>
        <w:rPr>
          <w:spacing w:val="-2"/>
        </w:rPr>
        <w:t>内部经营管理机构，独立行使经营管理职权，公司及其职能部门与控股股东及其职能部门之间不存在上下级关系，不存在与</w:t>
      </w:r>
      <w:r>
        <w:rPr>
          <w:spacing w:val="-66"/>
        </w:rPr>
        <w:t> </w:t>
      </w:r>
      <w:r>
        <w:rPr>
          <w:spacing w:val="-66"/>
        </w:rPr>
      </w:r>
      <w:r>
        <w:rPr/>
        <w:t>控股股东及其下属企业机构混同或从属的情形。</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公司控股股东广电集团及其下属核心企业与公司不存在从事相同、相似业务的情况，与公司不构成同业竞争。</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89" w:firstLine="360"/>
        <w:jc w:val="both"/>
      </w:pPr>
      <w:r>
        <w:rPr>
          <w:spacing w:val="-2"/>
        </w:rPr>
        <w:t>公司建立了高级管理人员绩效考评体系、薪酬制度以及《高管层年度业绩考核与薪酬管理办法》。公司高级管理人员的</w:t>
      </w:r>
      <w:r>
        <w:rPr/>
        <w:t> </w:t>
      </w:r>
      <w:r>
        <w:rPr>
          <w:spacing w:val="-2"/>
        </w:rPr>
        <w:t>工作绩效与其收入直接挂钩，每年年初，公司与高管层分别签订年度经营责任书，落实有关考核指标及相关事项。在年度结</w:t>
      </w:r>
      <w:r>
        <w:rPr>
          <w:spacing w:val="-66"/>
        </w:rPr>
        <w:t> </w:t>
      </w:r>
      <w:r>
        <w:rPr>
          <w:spacing w:val="-66"/>
        </w:rPr>
      </w:r>
      <w:r>
        <w:rPr>
          <w:spacing w:val="-2"/>
        </w:rPr>
        <w:t>束后，由董事会薪酬与考核委员会负责按量化考核指标，对高管责任目标完成情况进行考评，制定薪酬方案报公司董事会审</w:t>
      </w:r>
      <w:r>
        <w:rPr>
          <w:spacing w:val="-66"/>
        </w:rPr>
        <w:t> </w:t>
      </w:r>
      <w:r>
        <w:rPr>
          <w:spacing w:val="-66"/>
        </w:rPr>
      </w:r>
      <w:r>
        <w:rPr/>
        <w:t>批。公司目前还没有实施股权激励。</w:t>
      </w:r>
    </w:p>
    <w:p>
      <w:pPr>
        <w:spacing w:after="0" w:line="319"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847"/>
        <w:jc w:val="center"/>
        <w:rPr>
          <w:b w:val="0"/>
          <w:bCs w:val="0"/>
        </w:rPr>
      </w:pPr>
      <w:r>
        <w:rPr/>
        <w:t>第九节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0" w:firstLine="360"/>
        <w:jc w:val="left"/>
      </w:pPr>
      <w:r>
        <w:rPr>
          <w:spacing w:val="-10"/>
        </w:rPr>
        <w:t>为规范经营管理，控制风险，保证经营业务活动的正常开展，公司根据《公司法》、《证券法》、《企业内部控制基本规范》</w:t>
      </w:r>
      <w:r>
        <w:rPr/>
        <w:t> </w:t>
      </w:r>
      <w:r>
        <w:rPr>
          <w:spacing w:val="-2"/>
        </w:rPr>
        <w:t>等有关法律、法规和规章制度，结合公司的实际情况、自身特点和管理需要，制定了贯穿于公司经营管理各层面、各环节的</w:t>
      </w:r>
      <w:r>
        <w:rPr>
          <w:spacing w:val="-66"/>
        </w:rPr>
        <w:t> </w:t>
      </w:r>
      <w:r>
        <w:rPr>
          <w:spacing w:val="-66"/>
        </w:rPr>
      </w:r>
      <w:r>
        <w:rPr>
          <w:spacing w:val="-2"/>
        </w:rPr>
        <w:t>内部控制体系，特别是与财务报告相关的内部控制制度，对关联交易、对外担保、证券投资等方面制定专门制度进行防范控</w:t>
      </w:r>
      <w:r>
        <w:rPr>
          <w:spacing w:val="-66"/>
        </w:rPr>
        <w:t> </w:t>
      </w:r>
      <w:r>
        <w:rPr>
          <w:spacing w:val="-66"/>
        </w:rPr>
      </w:r>
      <w:r>
        <w:rPr>
          <w:spacing w:val="-2"/>
        </w:rPr>
        <w:t>制，并及时根据最新的法律、法规不断完善、不断健全内部控制体系，强化对内控制度的检查，有效防控了经营决策及管理</w:t>
      </w:r>
      <w:r>
        <w:rPr>
          <w:spacing w:val="-66"/>
        </w:rPr>
        <w:t> </w:t>
      </w:r>
      <w:r>
        <w:rPr>
          <w:spacing w:val="-66"/>
        </w:rPr>
      </w:r>
      <w:r>
        <w:rPr/>
        <w:t>风险，确保了公司的稳健经营。公司内部控制体系具备了较好的完整性、合理性和有效性。</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249" w:firstLine="360"/>
        <w:jc w:val="both"/>
      </w:pPr>
      <w:r>
        <w:rPr>
          <w:spacing w:val="-2"/>
        </w:rPr>
        <w:t>公司董事会及管理层十分重视内部控制体系的建立健全工作，公司按照《企业内部控制基本规范》和《企业内部控制配</w:t>
      </w:r>
      <w:r>
        <w:rPr/>
        <w:t> </w:t>
      </w:r>
      <w:r>
        <w:rPr>
          <w:spacing w:val="-2"/>
        </w:rPr>
        <w:t>套指引》的相关要求逐步建立健全内部控制体系，提高公司风险防范能力和规范运作水平，保证企业经营管理合法合规、资</w:t>
      </w:r>
      <w:r>
        <w:rPr>
          <w:spacing w:val="-66"/>
        </w:rPr>
        <w:t> </w:t>
      </w:r>
      <w:r>
        <w:rPr>
          <w:spacing w:val="-66"/>
        </w:rPr>
      </w:r>
      <w:r>
        <w:rPr>
          <w:spacing w:val="-2"/>
        </w:rPr>
        <w:t>产安全、财务报告及相关信息真实完整，提高经营效率和效果，促进公司发展战略的实现。公司董事会在内部控制自我评价</w:t>
      </w:r>
      <w:r>
        <w:rPr>
          <w:spacing w:val="-66"/>
        </w:rPr>
        <w:t> </w:t>
      </w:r>
      <w:r>
        <w:rPr>
          <w:spacing w:val="-66"/>
        </w:rPr>
      </w:r>
      <w:r>
        <w:rPr/>
        <w:t>过程中未发现重大风险、严重管理舞弊及重要流程错误等缺陷。</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2"/>
        </w:rPr>
        <w:t>公司根据《会计法》及财政部颁布的各项会计准则建立了完备的会计核算体系，并建立健全了关于财务会计核算方面的</w:t>
      </w:r>
      <w:r>
        <w:rPr/>
        <w:t> </w:t>
      </w:r>
      <w:r>
        <w:rPr>
          <w:spacing w:val="-4"/>
        </w:rPr>
        <w:t>内部控制制度。公司财务部负责公司财务工作和指导监督各子公司的财务工作，在货币资金、采购、生产、销售收入的确认、</w:t>
      </w:r>
      <w:r>
        <w:rPr>
          <w:spacing w:val="-44"/>
        </w:rPr>
        <w:t> </w:t>
      </w:r>
      <w:r>
        <w:rPr>
          <w:spacing w:val="-44"/>
        </w:rPr>
      </w:r>
      <w:r>
        <w:rPr>
          <w:spacing w:val="-4"/>
        </w:rPr>
        <w:t>成本的结转、货款的回收、费用的发生与归集、投资与筹资、财务报告编制等环节均制定了较为明确详尽的分权审批、授权、</w:t>
      </w:r>
      <w:r>
        <w:rPr>
          <w:spacing w:val="-44"/>
        </w:rPr>
        <w:t> </w:t>
      </w:r>
      <w:r>
        <w:rPr>
          <w:spacing w:val="-44"/>
        </w:rPr>
      </w:r>
      <w:r>
        <w:rPr/>
        <w:t>签章等制度，公司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年度财务报告在内部控制等方面不存在重大缺陷。</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21"/>
        <w:gridCol w:w="614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报告期内未发现重大内部控制缺陷。</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1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日巨潮资讯网</w:t>
            </w:r>
            <w:r>
              <w:rPr>
                <w:rFonts w:ascii="宋体" w:hAnsi="宋体" w:cs="宋体" w:eastAsia="宋体" w:hint="default"/>
                <w:spacing w:val="-48"/>
                <w:sz w:val="18"/>
                <w:szCs w:val="18"/>
              </w:rPr>
              <w:t>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上的《</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年度内部控 </w:t>
            </w:r>
            <w:r>
              <w:rPr>
                <w:rFonts w:ascii="宋体" w:hAnsi="宋体" w:cs="宋体" w:eastAsia="宋体" w:hint="default"/>
                <w:spacing w:val="-10"/>
                <w:sz w:val="18"/>
                <w:szCs w:val="18"/>
              </w:rPr>
              <w:t>制自我评价报告》。</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44"/>
        <w:ind w:left="0" w:right="107"/>
        <w:jc w:val="right"/>
      </w:pPr>
      <w:r>
        <w:rPr/>
        <w:pict>
          <v:shape style="position:absolute;margin-left:56.459999pt;margin-top:-76.747978pt;width:486.75pt;height:96.5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4"/>
                    <w:gridCol w:w="7086"/>
                  </w:tblGrid>
                  <w:tr>
                    <w:trPr>
                      <w:trHeight w:val="402" w:hRule="exact"/>
                    </w:trPr>
                    <w:tc>
                      <w:tcPr>
                        <w:tcW w:w="9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日在所有重大 方面保持了与财务报表相关的有效的内部控制。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70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70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日巨潮资讯网</w:t>
                        </w:r>
                        <w:r>
                          <w:rPr>
                            <w:rFonts w:ascii="宋体" w:hAnsi="宋体" w:cs="宋体" w:eastAsia="宋体" w:hint="default"/>
                            <w:spacing w:val="-58"/>
                            <w:sz w:val="18"/>
                            <w:szCs w:val="18"/>
                          </w:rPr>
                          <w:t> </w:t>
                        </w:r>
                        <w:hyperlink r:id="rId11">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3"/>
                              <w:sz w:val="18"/>
                              <w:szCs w:val="18"/>
                            </w:rPr>
                            <w:t> </w:t>
                          </w:r>
                        </w:hyperlink>
                        <w:r>
                          <w:rPr>
                            <w:rFonts w:ascii="宋体" w:hAnsi="宋体" w:cs="宋体" w:eastAsia="宋体" w:hint="default"/>
                            <w:sz w:val="18"/>
                            <w:szCs w:val="18"/>
                          </w:rPr>
                          <w:t>上</w:t>
                        </w:r>
                        <w:r>
                          <w:rPr>
                            <w:rFonts w:ascii="宋体" w:hAnsi="宋体" w:cs="宋体" w:eastAsia="宋体" w:hint="default"/>
                            <w:spacing w:val="-90"/>
                            <w:sz w:val="18"/>
                            <w:szCs w:val="18"/>
                          </w:rPr>
                          <w:t>的</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年度内部控制鉴证报告</w:t>
                        </w:r>
                        <w:r>
                          <w:rPr>
                            <w:rFonts w:ascii="宋体" w:hAnsi="宋体" w:cs="宋体" w:eastAsia="宋体" w:hint="default"/>
                            <w:spacing w:val="-90"/>
                            <w:sz w:val="18"/>
                            <w:szCs w:val="18"/>
                          </w:rPr>
                          <w:t>》</w:t>
                        </w:r>
                        <w:r>
                          <w:rPr>
                            <w:rFonts w:ascii="宋体" w:hAnsi="宋体" w:cs="宋体" w:eastAsia="宋体" w:hint="default"/>
                            <w:sz w:val="18"/>
                            <w:szCs w:val="18"/>
                          </w:rPr>
                        </w:r>
                      </w:p>
                    </w:tc>
                  </w:tr>
                </w:tbl>
                <w:p>
                  <w:pPr/>
                </w:p>
              </w:txbxContent>
            </v:textbox>
            <w10:wrap type="none"/>
          </v:shape>
        </w:pict>
      </w:r>
      <w:r>
        <w:rPr/>
        <w:t>。</w:t>
      </w:r>
    </w:p>
    <w:p>
      <w:pPr>
        <w:spacing w:after="0" w:line="240" w:lineRule="auto"/>
        <w:jc w:val="right"/>
        <w:sectPr>
          <w:pgSz w:w="11910" w:h="16840"/>
          <w:pgMar w:header="747" w:footer="982" w:top="1060" w:bottom="1180" w:left="980" w:right="8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会计师事务所是否出具非标准意见的内部控制审计报告</w:t>
      </w:r>
    </w:p>
    <w:p>
      <w:pPr>
        <w:pStyle w:val="BodyText"/>
        <w:spacing w:line="360" w:lineRule="auto" w:before="116"/>
        <w:ind w:left="153" w:right="3651"/>
        <w:jc w:val="left"/>
      </w:pPr>
      <w:r>
        <w:rPr/>
        <w:t>□ 是 √ 否 会计师事务所出具的内部控制审计报告与董事会的自我评价报告意见是否一致</w:t>
      </w:r>
    </w:p>
    <w:p>
      <w:pPr>
        <w:pStyle w:val="BodyText"/>
        <w:spacing w:line="240" w:lineRule="auto" w:before="26"/>
        <w:ind w:left="15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48" w:firstLine="360"/>
        <w:jc w:val="left"/>
      </w:pPr>
      <w:r>
        <w:rPr>
          <w:spacing w:val="-4"/>
        </w:rPr>
        <w:t>公司制定了《年报信息披露重大差错责任追究制度》，于</w:t>
      </w:r>
      <w:r>
        <w:rPr>
          <w:spacing w:val="-45"/>
        </w:rPr>
        <w:t> </w:t>
      </w:r>
      <w:r>
        <w:rPr>
          <w:rFonts w:ascii="Times New Roman" w:hAnsi="Times New Roman" w:cs="Times New Roman" w:eastAsia="Times New Roman" w:hint="default"/>
        </w:rPr>
        <w:t>2010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日第二届董事会第七次会议审议通过。报告期 内公司严格执行此项制度，无相关人员在披露年度报告时出现重大差错责任。</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before="0"/>
        <w:ind w:left="2" w:right="0" w:firstLine="0"/>
        <w:jc w:val="center"/>
        <w:rPr>
          <w:rFonts w:ascii="宋体" w:hAnsi="宋体" w:cs="宋体" w:eastAsia="宋体" w:hint="default"/>
          <w:sz w:val="24"/>
          <w:szCs w:val="24"/>
        </w:rPr>
      </w:pPr>
      <w:r>
        <w:rPr>
          <w:rFonts w:ascii="宋体" w:hAnsi="宋体" w:cs="宋体" w:eastAsia="宋体" w:hint="default"/>
          <w:sz w:val="24"/>
          <w:szCs w:val="24"/>
        </w:rPr>
        <w:t>审计报告正文</w:t>
      </w:r>
    </w:p>
    <w:p>
      <w:pPr>
        <w:spacing w:line="340" w:lineRule="auto" w:before="10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广州广电运通金融电子股份有限公司全体股东：</w:t>
      </w:r>
      <w:r>
        <w:rPr>
          <w:rFonts w:ascii="宋体" w:hAnsi="宋体" w:cs="宋体" w:eastAsia="宋体" w:hint="default"/>
          <w:b/>
          <w:bCs/>
          <w:w w:val="99"/>
          <w:sz w:val="21"/>
          <w:szCs w:val="21"/>
        </w:rPr>
        <w:t> </w:t>
      </w:r>
      <w:r>
        <w:rPr>
          <w:rFonts w:ascii="宋体" w:hAnsi="宋体" w:cs="宋体" w:eastAsia="宋体" w:hint="default"/>
          <w:spacing w:val="-2"/>
          <w:sz w:val="21"/>
          <w:szCs w:val="21"/>
        </w:rPr>
        <w:t>我们审计了后附的广州广电运通金融电子股份有限公司（以下简称贵公司）财务报表，包括2012年12</w:t>
      </w:r>
      <w:r>
        <w:rPr>
          <w:rFonts w:ascii="宋体" w:hAnsi="宋体" w:cs="宋体" w:eastAsia="宋体" w:hint="default"/>
          <w:sz w:val="21"/>
          <w:szCs w:val="21"/>
        </w:rPr>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月31日的资产负债表和合并资产负债表、2012年度的利润表和合并利润表、2012年度的现金流量表和合并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现金流量表、2012年度的所有者权益变动表和合并所有者权益变动表以及财务报表附注。</w:t>
      </w:r>
    </w:p>
    <w:p>
      <w:pPr>
        <w:spacing w:line="340" w:lineRule="auto" w:before="27"/>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编制和公允列报财务报表是贵公司管理层的责任。这种责任包括：（1）按照企业会计准则的规定编</w:t>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z w:val="21"/>
          <w:szCs w:val="21"/>
        </w:rPr>
        <w:t>制财务报表，并使其实现公允反映；（2）设计、执行和维护必要的内部控制，以使财务报表不存在由于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舞弊或错误导致的重大错报。</w:t>
      </w:r>
    </w:p>
    <w:p>
      <w:pPr>
        <w:spacing w:line="340" w:lineRule="auto" w:before="2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我们的责任是在执行审计工作的基础上对财务报表发表审计意见。我们按照中国注册会计师审计准则</w:t>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的规定执行了审计工作。中国注册会计师审计准则要求我们遵守中国注册会计师职业道德守则，计划和执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行审计工作以对财务报表是否不存在重大错报获取合理保证。</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审计工作涉及实施审计程序，以获取有关财务报表金额和披露的审计证据。选择的审计程序取决于注</w:t>
      </w:r>
      <w:r>
        <w:rPr>
          <w:rFonts w:ascii="宋体" w:hAnsi="宋体" w:cs="宋体" w:eastAsia="宋体" w:hint="default"/>
          <w:sz w:val="21"/>
          <w:szCs w:val="21"/>
        </w:rPr>
        <w:t> </w:t>
      </w:r>
      <w:r>
        <w:rPr>
          <w:rFonts w:ascii="宋体" w:hAnsi="宋体" w:cs="宋体" w:eastAsia="宋体" w:hint="default"/>
          <w:spacing w:val="-1"/>
          <w:sz w:val="21"/>
          <w:szCs w:val="21"/>
        </w:rPr>
        <w:t>册会计师的判断，包括对由于舞弊或错误导致的财务报表重大错报风险的评估。在进行风险评估时，注册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会计师考虑与财务报表编制和公允列报相关的内部控制，以设计恰当的审计程序，但目的并非对内部控制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的有效性发表意见。审计工作还包括评价管理层选用会计政策的恰当性和作出会计估计的合理性，以及评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价财务报表的总体列报。</w:t>
      </w:r>
    </w:p>
    <w:p>
      <w:pPr>
        <w:spacing w:line="340" w:lineRule="auto" w:before="27"/>
        <w:ind w:left="574" w:right="1581" w:firstLine="0"/>
        <w:jc w:val="left"/>
        <w:rPr>
          <w:rFonts w:ascii="宋体" w:hAnsi="宋体" w:cs="宋体" w:eastAsia="宋体" w:hint="default"/>
          <w:sz w:val="21"/>
          <w:szCs w:val="21"/>
        </w:rPr>
      </w:pPr>
      <w:r>
        <w:rPr>
          <w:rFonts w:ascii="宋体" w:hAnsi="宋体" w:cs="宋体" w:eastAsia="宋体" w:hint="default"/>
          <w:spacing w:val="-1"/>
          <w:sz w:val="21"/>
          <w:szCs w:val="21"/>
        </w:rPr>
        <w:t>我们相信，我们获取的审计证据是充分、适当的，为发表审计意见提供了基础。 </w:t>
      </w: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340" w:lineRule="auto" w:before="27"/>
        <w:ind w:left="154" w:right="148" w:firstLine="420"/>
        <w:jc w:val="both"/>
        <w:rPr>
          <w:rFonts w:ascii="宋体" w:hAnsi="宋体" w:cs="宋体" w:eastAsia="宋体" w:hint="default"/>
          <w:sz w:val="21"/>
          <w:szCs w:val="21"/>
        </w:rPr>
      </w:pPr>
      <w:r>
        <w:rPr>
          <w:rFonts w:ascii="宋体" w:hAnsi="宋体" w:cs="宋体" w:eastAsia="宋体" w:hint="default"/>
          <w:spacing w:val="-1"/>
          <w:sz w:val="21"/>
          <w:szCs w:val="21"/>
        </w:rPr>
        <w:t>我们认为，贵公司财务报表在所有重大方面按照企业会计准则的规定编制，公允反映了贵公司2012年</w:t>
      </w:r>
      <w:r>
        <w:rPr>
          <w:rFonts w:ascii="宋体" w:hAnsi="宋体" w:cs="宋体" w:eastAsia="宋体" w:hint="default"/>
          <w:sz w:val="21"/>
          <w:szCs w:val="21"/>
        </w:rPr>
        <w:t> 12月31日的财务状况以及2012年度的经营成果和现金流量。</w:t>
      </w:r>
    </w:p>
    <w:p>
      <w:pPr>
        <w:tabs>
          <w:tab w:pos="6583" w:val="left" w:leader="none"/>
        </w:tabs>
        <w:spacing w:line="340" w:lineRule="auto" w:before="27"/>
        <w:ind w:left="6581" w:right="1041" w:hanging="5796"/>
        <w:jc w:val="left"/>
        <w:rPr>
          <w:rFonts w:ascii="宋体" w:hAnsi="宋体" w:cs="宋体" w:eastAsia="宋体" w:hint="default"/>
          <w:sz w:val="21"/>
          <w:szCs w:val="21"/>
        </w:rPr>
      </w:pPr>
      <w:r>
        <w:rPr>
          <w:rFonts w:ascii="宋体" w:hAnsi="宋体" w:cs="宋体" w:eastAsia="宋体" w:hint="default"/>
          <w:b/>
          <w:bCs/>
          <w:w w:val="95"/>
          <w:sz w:val="21"/>
          <w:szCs w:val="21"/>
        </w:rPr>
        <w:t>立信会计师事务所（特殊普通合伙）</w:t>
        <w:tab/>
        <w:tab/>
      </w:r>
      <w:r>
        <w:rPr>
          <w:rFonts w:ascii="宋体" w:hAnsi="宋体" w:cs="宋体" w:eastAsia="宋体" w:hint="default"/>
          <w:b/>
          <w:bCs/>
          <w:sz w:val="21"/>
          <w:szCs w:val="21"/>
        </w:rPr>
        <w:t>中国注册会计师：王建民</w:t>
      </w:r>
      <w:r>
        <w:rPr>
          <w:rFonts w:ascii="宋体" w:hAnsi="宋体" w:cs="宋体" w:eastAsia="宋体" w:hint="default"/>
          <w:b/>
          <w:bCs/>
          <w:w w:val="99"/>
          <w:sz w:val="21"/>
          <w:szCs w:val="21"/>
        </w:rPr>
        <w:t> </w:t>
      </w:r>
      <w:r>
        <w:rPr>
          <w:rFonts w:ascii="宋体" w:hAnsi="宋体" w:cs="宋体" w:eastAsia="宋体" w:hint="default"/>
          <w:b/>
          <w:bCs/>
          <w:sz w:val="21"/>
          <w:szCs w:val="21"/>
        </w:rPr>
        <w:t>中国注册会计师：蔡洁瑜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5442" w:val="left" w:leader="none"/>
        </w:tabs>
        <w:spacing w:before="155"/>
        <w:ind w:left="168" w:right="0" w:firstLine="0"/>
        <w:jc w:val="center"/>
        <w:rPr>
          <w:rFonts w:ascii="宋体" w:hAnsi="宋体" w:cs="宋体" w:eastAsia="宋体" w:hint="default"/>
          <w:sz w:val="21"/>
          <w:szCs w:val="21"/>
        </w:rPr>
      </w:pPr>
      <w:r>
        <w:rPr>
          <w:rFonts w:ascii="宋体" w:hAnsi="宋体" w:cs="宋体" w:eastAsia="宋体" w:hint="default"/>
          <w:b/>
          <w:bCs/>
          <w:w w:val="95"/>
          <w:sz w:val="21"/>
          <w:szCs w:val="21"/>
        </w:rPr>
        <w:t>中国·上海</w:t>
        <w:tab/>
      </w:r>
      <w:r>
        <w:rPr>
          <w:rFonts w:ascii="宋体" w:hAnsi="宋体" w:cs="宋体" w:eastAsia="宋体" w:hint="default"/>
          <w:b/>
          <w:bCs/>
          <w:sz w:val="21"/>
          <w:szCs w:val="21"/>
        </w:rPr>
        <w:t>二O一三年三月二十八日</w:t>
      </w:r>
      <w:r>
        <w:rPr>
          <w:rFonts w:ascii="宋体" w:hAnsi="宋体" w:cs="宋体" w:eastAsia="宋体" w:hint="default"/>
          <w:sz w:val="21"/>
          <w:szCs w:val="21"/>
        </w:rPr>
      </w:r>
    </w:p>
    <w:p>
      <w:pPr>
        <w:spacing w:after="0"/>
        <w:jc w:val="center"/>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编制单位：广州广电运通金融电子股份有限公司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48"/>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2,003,540,034.34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1,319,600,830.71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1,987,100.00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4,697,525.00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644,263,001.21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832,957,390.58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49,453,209.32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21,913,046.96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31,953,073.30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26,095,458.40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769,594,720.41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648,598,335.04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3,500,791,138.58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2,853,862,586.69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6,564,083.46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9,060,311.32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164,079,876.42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167,462,119.40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290,435,982.97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298,227,860.77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48"/>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2,616,656.28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1,834,436.31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17,401,870.56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17,521,621.55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946,852.52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2,902,059.81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3,429,955.37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34,688,770.64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25,264,530.02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519,636,152.66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523,747,687.26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4,020,427,291.24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3,377,610,273.95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107,660,636.84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81,861,323.25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143,409,767.45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271,949,850.22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234,418,793.91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269,248,409.78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75,514,431.56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122,073,093.91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85,065,251.04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163,450,508.24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195,184,602.45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76,800,149.37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46,056,357.85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48"/>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985,383,334.77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887,309,841.10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39,553,301.46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29,278,708.33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41,264,583.89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29,278,708.33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1,026,647,918.66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916,588,549.43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622,697,755.00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444,784,111.00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178,647,184.24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359,057,056.10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256,677,653.25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203,098,728.13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1,911,456,422.49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1,430,881,774.72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-1,237,162.55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-939,775.32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2,968,241,852.43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2,436,881,894.63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25,537,520.15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24,139,829.89</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2,993,779,372.58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2,461,021,724.52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4,020,427,291.24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3,377,610,273.95</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法定代表人：赵友永</w:t>
        <w:tab/>
        <w:t>主管会计工作负责人：蒋春晨</w:t>
        <w:tab/>
        <w:t>会计机构负责人：符昀</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编制单位：广州广电运通金融电子股份有限公司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88"/>
        <w:gridCol w:w="2532"/>
        <w:gridCol w:w="2525"/>
      </w:tblGrid>
      <w:tr>
        <w:trPr>
          <w:trHeight w:val="402" w:hRule="exact"/>
        </w:trPr>
        <w:tc>
          <w:tcPr>
            <w:tcW w:w="4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219" w:right="0"/>
              <w:jc w:val="left"/>
              <w:rPr>
                <w:rFonts w:ascii="Times New Roman" w:hAnsi="Times New Roman" w:cs="Times New Roman" w:eastAsia="Times New Roman" w:hint="default"/>
                <w:sz w:val="18"/>
                <w:szCs w:val="18"/>
              </w:rPr>
            </w:pPr>
            <w:r>
              <w:rPr>
                <w:rFonts w:ascii="Times New Roman"/>
                <w:sz w:val="18"/>
              </w:rPr>
              <w:t>1,703,848,033.38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1" w:right="0"/>
              <w:jc w:val="left"/>
              <w:rPr>
                <w:rFonts w:ascii="Times New Roman" w:hAnsi="Times New Roman" w:cs="Times New Roman" w:eastAsia="Times New Roman" w:hint="default"/>
                <w:sz w:val="18"/>
                <w:szCs w:val="18"/>
              </w:rPr>
            </w:pPr>
            <w:r>
              <w:rPr>
                <w:rFonts w:ascii="Times New Roman"/>
                <w:sz w:val="18"/>
              </w:rPr>
              <w:t>1,114,891,186.74</w:t>
            </w:r>
          </w:p>
        </w:tc>
      </w:tr>
      <w:tr>
        <w:trPr>
          <w:trHeight w:val="402" w:hRule="exact"/>
        </w:trPr>
        <w:tc>
          <w:tcPr>
            <w:tcW w:w="4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48"/>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1,987,100.00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4,697,525.00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641,152,172.37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817,211,405.43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16,334,088.91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19,532,148.12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13,756,892.83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14,889,418.26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750,461,256.31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644,356,882.20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3,127,539,543.80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2,615,578,565.75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390,417,629.21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348,563,102.14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251,925,326.35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256,850,593.10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2,616,656.28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1,834,436.31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17,070,880.50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17,136,438.10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946,852.52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25,917,409.35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20,153,300.14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688,894,754.21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645,484,722.31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3,816,434,298.01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3,261,063,288.06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103,377,391.94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81,861,323.25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143,409,767.45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48"/>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290,844,256.26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233,486,229.51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211,708,816.45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58,364,086.06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98,918,105.51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73,371,123.00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151,631,127.10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186,523,789.74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61,387,798.23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44,369,556.32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896,351,426.80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842,901,944.02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39,089,395.41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28,478,708.33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39,089,395.41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28,478,708.33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935,440,822.21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871,380,652.35</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622,697,755.00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444,784,111.00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180,698,199.56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358,611,843.56</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256,677,653.25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203,098,728.13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1,820,919,867.99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1,383,187,953.02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2,880,993,475.80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2,389,682,635.71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3,816,434,298.01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3,261,063,288.06</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法定代表人：赵友永</w:t>
        <w:tab/>
        <w:t>主管会计工作负责人：蒋春晨</w:t>
        <w:tab/>
        <w:t>会计机构负责人：符昀</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编制单位：广州广电运通金融电子股份有限公司</w:t>
      </w:r>
    </w:p>
    <w:p>
      <w:pPr>
        <w:pStyle w:val="BodyText"/>
        <w:spacing w:line="240" w:lineRule="auto" w:before="116"/>
        <w:ind w:left="0" w:right="5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17"/>
        <w:gridCol w:w="2656"/>
        <w:gridCol w:w="2363"/>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1,652,881,072.67</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1,585,930,174.74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40,122,243.94</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34,911,232.38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332,901,259.58</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292,649,912.90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257,860,466.04</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203,129,434.55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-11,576,546.45</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-1,549,121.64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-1,252,368.99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5,970,518.47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-8,282,242.98</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-8,282,242.98</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507,246,237.35</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502,999,376.33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141,735,190.75</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93,195,691.12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1,399,307.40</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1,580,981.98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597,147.59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1,168,843.43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647,582,120.70</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594,614,085.47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66,233,824.12</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87,171,152.07</w:t>
            </w:r>
          </w:p>
        </w:tc>
      </w:tr>
      <w:tr>
        <w:trPr>
          <w:trHeight w:val="401"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581,348,296.58</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507,442,933.40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6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17"/>
        <w:gridCol w:w="2656"/>
        <w:gridCol w:w="2363"/>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656" w:type="dxa"/>
            <w:tcBorders>
              <w:top w:val="single" w:sz="4" w:space="0" w:color="000000"/>
              <w:left w:val="single" w:sz="10" w:space="0" w:color="D3D3D3"/>
              <w:bottom w:val="single" w:sz="4" w:space="0" w:color="000000"/>
              <w:right w:val="single" w:sz="4" w:space="0" w:color="000000"/>
            </w:tcBorders>
          </w:tcPr>
          <w:p>
            <w:pPr/>
          </w:p>
        </w:tc>
        <w:tc>
          <w:tcPr>
            <w:tcW w:w="23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578,631,983.99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506,533,839.64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2,716,312.59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909,093.76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-2,793,615.09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-9,074,979.09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578,554,681.49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498,367,954.31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575,838,368.90</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497,458,860.55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2,716,312.59</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909,093.76</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663" w:val="left" w:leader="none"/>
          <w:tab w:pos="7893" w:val="left" w:leader="none"/>
        </w:tabs>
        <w:spacing w:line="240" w:lineRule="auto" w:before="127"/>
        <w:ind w:left="153" w:right="0"/>
        <w:jc w:val="left"/>
      </w:pPr>
      <w:r>
        <w:rPr/>
        <w:t>法定代表人：赵友永</w:t>
        <w:tab/>
        <w:t>主管会计工作负责人：蒋春晨</w:t>
        <w:tab/>
        <w:t>会计机构负责人：符昀</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编制单位：广州广电运通金融电子股份有限公司</w:t>
      </w:r>
    </w:p>
    <w:p>
      <w:pPr>
        <w:pStyle w:val="BodyText"/>
        <w:spacing w:line="240" w:lineRule="auto" w:before="116"/>
        <w:ind w:left="0" w:right="5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17"/>
        <w:gridCol w:w="2498"/>
        <w:gridCol w:w="2368"/>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1,936,158,461.19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1,862,690,135.53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946,879,145.69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965,616,813.58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23,891,942.68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19,831,237.05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309,749,096.74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266,184,565.79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207,803,603.12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160,256,979.51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-9,548,244.42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-1,641,070.56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-1,593,610.87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5,909,639.35</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55"/>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98"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-6,773,029.28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49,462,119.40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3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-8,145,472.93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452,203,498.97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495,994,090.21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140,846,480.63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92,271,243.48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493,217.02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171,212.96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139,719.17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13,114.67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592,556,762.58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588,094,120.73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56,767,511.39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78,059,341.88</w:t>
            </w:r>
          </w:p>
        </w:tc>
      </w:tr>
      <w:tr>
        <w:trPr>
          <w:trHeight w:val="403"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535,789,251.19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510,034,778.85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6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17"/>
        <w:gridCol w:w="2498"/>
        <w:gridCol w:w="2368"/>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1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01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498"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535,789,251.19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510,034,778.85</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230"/>
        <w:jc w:val="left"/>
      </w:pPr>
      <w:r>
        <w:rPr/>
        <w:t>法定代表人：赵友永</w:t>
        <w:tab/>
        <w:t>主管会计工作负责人：蒋春晨</w:t>
        <w:tab/>
        <w:t>会计机构负责人：符昀</w:t>
      </w:r>
    </w:p>
    <w:p>
      <w:pPr>
        <w:spacing w:line="240" w:lineRule="auto" w:before="11"/>
        <w:rPr>
          <w:rFonts w:ascii="宋体" w:hAnsi="宋体" w:cs="宋体" w:eastAsia="宋体" w:hint="default"/>
          <w:sz w:val="26"/>
          <w:szCs w:val="26"/>
        </w:rPr>
      </w:pPr>
    </w:p>
    <w:p>
      <w:pPr>
        <w:pStyle w:val="Heading3"/>
        <w:spacing w:line="240" w:lineRule="auto"/>
        <w:ind w:right="23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30"/>
        <w:jc w:val="left"/>
      </w:pPr>
      <w:r>
        <w:rPr/>
        <w:t>编制单位：广州广电运通金融电子股份有限公司</w:t>
      </w:r>
    </w:p>
    <w:p>
      <w:pPr>
        <w:pStyle w:val="BodyText"/>
        <w:spacing w:line="240" w:lineRule="auto" w:before="117"/>
        <w:ind w:left="0" w:right="371"/>
        <w:jc w:val="right"/>
      </w:pPr>
      <w:r>
        <w:rPr/>
        <w:t>单位：元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5192"/>
        <w:gridCol w:w="2172"/>
        <w:gridCol w:w="2188"/>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2,879,796,112.61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2,502,872,427.78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139,152,833.29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118,581,852.16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89,525,801.19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60,044,538.80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3,108,474,747.09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2,681,498,818.74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1,241,224,824.28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1,423,201,296.57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3"/>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355,645,850.45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261,113,115.25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352,665,887.87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204,801,443.87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7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88"/>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302,038,936.75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294,194,503.62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2,251,575,499.35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2,183,310,359.31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856,899,247.74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498,188,459.43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330,806.00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816,122.20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330,806.00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816,122.20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17,160,702.97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51,213,818.25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169,999,088.09</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22,060,702.97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221,212,906.34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-21,729,896.97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-220,396,784.14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4,283,244.90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5,716,755.10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45,926,528.50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61,781,889.70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50,209,773.40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67,498,644.80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-48,498,490.97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-52,598,644.80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645,735.77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-7,967,395.73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787,316,595.57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217,225,634.76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1,216,223,438.77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998,997,804.01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2,003,540,034.34</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1,216,223,438.77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663" w:val="left" w:leader="none"/>
          <w:tab w:pos="7893" w:val="left" w:leader="none"/>
        </w:tabs>
        <w:spacing w:line="240" w:lineRule="auto" w:before="44"/>
        <w:ind w:left="153" w:right="222"/>
        <w:jc w:val="left"/>
      </w:pPr>
      <w:r>
        <w:rPr/>
        <w:t>法定代表人：赵友永</w:t>
        <w:tab/>
        <w:t>主管会计工作负责人：蒋春晨</w:t>
        <w:tab/>
        <w:t>会计机构负责人：符昀</w:t>
      </w:r>
    </w:p>
    <w:p>
      <w:pPr>
        <w:spacing w:line="240" w:lineRule="auto" w:before="10"/>
        <w:rPr>
          <w:rFonts w:ascii="宋体" w:hAnsi="宋体" w:cs="宋体" w:eastAsia="宋体" w:hint="default"/>
          <w:sz w:val="26"/>
          <w:szCs w:val="26"/>
        </w:rPr>
      </w:pPr>
    </w:p>
    <w:p>
      <w:pPr>
        <w:pStyle w:val="Heading3"/>
        <w:spacing w:line="240" w:lineRule="auto"/>
        <w:ind w:right="22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222"/>
        <w:jc w:val="left"/>
      </w:pPr>
      <w:r>
        <w:rPr/>
        <w:t>编制单位：广州广电运通金融电子股份有限公司</w:t>
      </w:r>
    </w:p>
    <w:p>
      <w:pPr>
        <w:pStyle w:val="BodyText"/>
        <w:spacing w:line="240" w:lineRule="auto" w:before="116"/>
        <w:ind w:left="0" w:right="2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17"/>
        <w:gridCol w:w="2526"/>
        <w:gridCol w:w="2188"/>
      </w:tblGrid>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2,566,990,039.57</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2,252,057,569.83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139,152,833.29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118,581,852.16</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135,624,409.82</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99,062,509.42</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2,841,767,282.68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2,469,701,931.41</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1,205,871,074.93</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1,409,953,756.77</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210,778,669.32</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174,652,827.14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320,932,373.99</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185,775,059.89</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302,664,796.68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249,421,494.18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2,040,246,914.92</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2,019,803,137.98</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801,520,367.76</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449,898,793.43</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1,372,443.65</w:t>
            </w: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101,110.00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9,985.00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1,473,553.65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9,985.00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16,454,748.65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40,365,705.54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225,891,560.00</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66,454,748.65</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266,257,265.54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-64,981,195.00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-266,247,280.54</w:t>
            </w: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26" w:type="dxa"/>
            <w:tcBorders>
              <w:top w:val="single" w:sz="4" w:space="0" w:color="000000"/>
              <w:left w:val="single" w:sz="10" w:space="0" w:color="D3D3D3"/>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514"/>
        <w:gridCol w:w="218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1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1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1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44,478,411.10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61,695,863.54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14" w:type="dxa"/>
            <w:tcBorders>
              <w:top w:val="single" w:sz="4" w:space="0" w:color="000000"/>
              <w:left w:val="single" w:sz="4" w:space="0" w:color="000000"/>
              <w:bottom w:val="single" w:sz="4" w:space="0" w:color="000000"/>
              <w:right w:val="single" w:sz="4" w:space="0" w:color="000000"/>
            </w:tcBorders>
          </w:tcPr>
          <w:p>
            <w:pPr/>
          </w:p>
        </w:tc>
        <w:tc>
          <w:tcPr>
            <w:tcW w:w="2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44,478,411.10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61,695,863.54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-44,478,411.10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-61,695,863.54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273,476.92</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-6,950,493.97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692,334,238.58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115,005,155.38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1,011,513,794.80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896,508,639.42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1,703,848,033.38</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1,011,513,794.80</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222"/>
        <w:jc w:val="left"/>
      </w:pPr>
      <w:r>
        <w:rPr/>
        <w:t>法定代表人：赵友永</w:t>
        <w:tab/>
        <w:t>主管会计工作负责人：蒋春晨</w:t>
        <w:tab/>
        <w:t>会计机构负责人：符昀</w:t>
      </w:r>
    </w:p>
    <w:p>
      <w:pPr>
        <w:spacing w:line="240" w:lineRule="auto" w:before="11"/>
        <w:rPr>
          <w:rFonts w:ascii="宋体" w:hAnsi="宋体" w:cs="宋体" w:eastAsia="宋体" w:hint="default"/>
          <w:sz w:val="26"/>
          <w:szCs w:val="26"/>
        </w:rPr>
      </w:pPr>
    </w:p>
    <w:p>
      <w:pPr>
        <w:pStyle w:val="Heading3"/>
        <w:spacing w:line="240" w:lineRule="auto"/>
        <w:ind w:right="22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00"/>
        </w:sectPr>
      </w:pPr>
    </w:p>
    <w:p>
      <w:pPr>
        <w:pStyle w:val="BodyText"/>
        <w:spacing w:line="360" w:lineRule="auto" w:before="44"/>
        <w:ind w:left="153" w:right="-19"/>
        <w:jc w:val="left"/>
      </w:pPr>
      <w:r>
        <w:rPr/>
        <w:t>编制单位：广州广电运通金融电子股份有限公司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00"/>
          <w:cols w:num="2" w:equalWidth="0">
            <w:col w:w="3935" w:space="4894"/>
            <w:col w:w="12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68"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444,784</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pacing w:val="-3"/>
                <w:sz w:val="18"/>
              </w:rPr>
              <w:t>,111.00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359,057,</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056.10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203,098</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,728.13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1,430,88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1,774.72</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-939,77</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5.32</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24,139,82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9.89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2,461,021,</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724.52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444,784</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pacing w:val="-3"/>
                <w:sz w:val="18"/>
              </w:rPr>
              <w:t>,111.00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359,057,</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056.10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203,098</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,728.13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1,430,88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1,774.72</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-939,77</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5.32</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24,139,82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9.89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2,461,021,</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724.52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177,913</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,644.00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-180,40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9,871.86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53,578,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925.12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480,574,</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647.77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-297,38</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7.23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1,397,690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532,757,64</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8.06</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578,631,</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983.99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2,716,312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581,348,29</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6.58</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-2,496,2</w:t>
            </w:r>
          </w:p>
          <w:p>
            <w:pPr>
              <w:pStyle w:val="TableParagraph"/>
              <w:spacing w:line="240" w:lineRule="auto" w:before="106"/>
              <w:ind w:left="226" w:right="0"/>
              <w:jc w:val="center"/>
              <w:rPr>
                <w:rFonts w:ascii="Times New Roman" w:hAnsi="Times New Roman" w:cs="Times New Roman" w:eastAsia="Times New Roman" w:hint="default"/>
                <w:sz w:val="18"/>
                <w:szCs w:val="18"/>
              </w:rPr>
            </w:pPr>
            <w:r>
              <w:rPr>
                <w:rFonts w:ascii="Times New Roman"/>
                <w:sz w:val="18"/>
              </w:rPr>
              <w:t>27.86</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-297,38</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7.23</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-2,793,615.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-2,496,2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27.86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578,631,</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983.99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-297,38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7.23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578,554,68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53,578,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925.12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-98,057,</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336.22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-1,318,62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2.33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-45,797,03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3.43</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53,578,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925.12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-53,578,</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925.12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-44,478,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411.10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-1,318,62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2.33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-45,797,03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177,913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,644.00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-177,91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3,644.00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177,913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,644.00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-177,91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3,644.00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622,697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,755.00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184.24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256,677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,653.25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1,911,45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6,422.49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62.55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25,537,52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0.15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2,993,779,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372.58</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上年金额</w:t>
      </w:r>
    </w:p>
    <w:p>
      <w:pPr>
        <w:pStyle w:val="BodyText"/>
        <w:spacing w:line="240" w:lineRule="auto" w:before="116"/>
        <w:ind w:left="0" w:right="24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1"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342,141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,624.00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367,819,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147.99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152,095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,250.24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1,146,42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2,224.77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-626,88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8.12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18,330,73</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6.13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2,026,182,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095.01</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342,141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,624.00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367,819,</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147.99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152,095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,250.24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1,146,42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2,224.77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-626,88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8.12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18,330,73</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6.13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2,026,182,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095.01</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102,642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,487.00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-8,762,0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91.89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51,003,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477.89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284,459,</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549.95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-312,88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7.20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434,839,62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9.51</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506,533,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839.64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909,093.7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507,442,93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-8,762,0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91.89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-312,88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7.20</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-8,762,0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91.89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506,533,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839.64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-312,88</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7.20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909,093.7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498,367,95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4.31</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51,003,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477.89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-119,43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1,802.69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-68,428,32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4.80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51,003,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477.89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-51,003,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477.89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-68,428,</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324.80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-68,428,32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102,642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,487.00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-102,64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2,487.00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102,642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,487.00</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-102,64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2,487.00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444,784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pacing w:val="-3"/>
                <w:sz w:val="18"/>
              </w:rPr>
              <w:t>,111.00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359,057,</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056.10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203,098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,728.13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1,430,88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1,774.72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-939,77</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5.32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24,139,82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9.89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2,461,021,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724.52</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before="44"/>
        <w:ind w:right="0"/>
        <w:jc w:val="left"/>
      </w:pPr>
      <w:r>
        <w:rPr/>
        <w:t>法定代表人：赵友永</w:t>
        <w:tab/>
        <w:t>主管会计工作负责人：蒋春晨</w:t>
        <w:tab/>
        <w:t>会计机构负责人：符昀</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编制单位：广州广电运通金融电子股份有限公司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935" w:space="489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403"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71"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53"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6" w:hRule="exact"/>
        </w:trPr>
        <w:tc>
          <w:tcPr>
            <w:tcW w:w="2453"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2" w:hRule="exact"/>
        </w:trPr>
        <w:tc>
          <w:tcPr>
            <w:tcW w:w="2453"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444,784,11</w:t>
            </w:r>
          </w:p>
          <w:p>
            <w:pPr>
              <w:pStyle w:val="TableParagraph"/>
              <w:spacing w:line="240" w:lineRule="auto" w:before="106"/>
              <w:ind w:left="542" w:right="0"/>
              <w:jc w:val="left"/>
              <w:rPr>
                <w:rFonts w:ascii="Times New Roman" w:hAnsi="Times New Roman" w:cs="Times New Roman" w:eastAsia="Times New Roman" w:hint="default"/>
                <w:sz w:val="18"/>
                <w:szCs w:val="18"/>
              </w:rPr>
            </w:pPr>
            <w:r>
              <w:rPr>
                <w:rFonts w:ascii="Times New Roman"/>
                <w:sz w:val="18"/>
              </w:rPr>
              <w:t>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358,611,84</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3.56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203,098,72</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8.13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1,383,187,</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953.02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2,389,682,</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635.71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444,784,11</w:t>
            </w:r>
          </w:p>
          <w:p>
            <w:pPr>
              <w:pStyle w:val="TableParagraph"/>
              <w:spacing w:line="240" w:lineRule="auto" w:before="106"/>
              <w:ind w:left="542" w:right="0"/>
              <w:jc w:val="left"/>
              <w:rPr>
                <w:rFonts w:ascii="Times New Roman" w:hAnsi="Times New Roman" w:cs="Times New Roman" w:eastAsia="Times New Roman" w:hint="default"/>
                <w:sz w:val="18"/>
                <w:szCs w:val="18"/>
              </w:rPr>
            </w:pPr>
            <w:r>
              <w:rPr>
                <w:rFonts w:ascii="Times New Roman"/>
                <w:sz w:val="18"/>
              </w:rPr>
              <w:t>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358,611,84</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3.56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203,098,72</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8.13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1,383,187,</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953.02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2,389,682,</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635.71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177,913,64</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-177,913,6</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44.00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437,731,91</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4.97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491,310,84</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0.09</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1.19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1.19</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1.19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1.19</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0.720001pt;margin-top:274.980011pt;width:42.7pt;height:56.55pt;mso-position-horizontal-relative:page;mso-position-vertical-relative:page;z-index:-1105672" coordorigin="3614,5500" coordsize="854,1131">
            <v:group style="position:absolute;left:3626;top:5512;width:2;height:705" coordorigin="3626,5512" coordsize="2,705">
              <v:shape style="position:absolute;left:3626;top:5512;width:2;height:705" coordorigin="3626,5512" coordsize="0,705" path="m3626,5512l3626,6216e" filled="false" stroked="true" strokeweight="1.2pt" strokecolor="#ffffff">
                <v:path arrowok="t"/>
              </v:shape>
            </v:group>
            <v:group style="position:absolute;left:3638;top:5512;width:830;height:352" coordorigin="3638,5512" coordsize="830,352">
              <v:shape style="position:absolute;left:3638;top:5512;width:830;height:352" coordorigin="3638,5512" coordsize="830,352" path="m3638,5863l4468,5863,4468,5512,3638,5512,3638,5863xe" filled="true" fillcolor="#ffffff" stroked="false">
                <v:path arrowok="t"/>
                <v:fill type="solid"/>
              </v:shape>
            </v:group>
            <v:group style="position:absolute;left:3638;top:5863;width:830;height:353" coordorigin="3638,5863" coordsize="830,353">
              <v:shape style="position:absolute;left:3638;top:5863;width:830;height:353" coordorigin="3638,5863" coordsize="830,353" path="m3638,6216l4468,6216,4468,5863,3638,5863,3638,6216xe" filled="true" fillcolor="#ffffff" stroked="false">
                <v:path arrowok="t"/>
                <v:fill type="solid"/>
              </v:shape>
            </v:group>
            <v:group style="position:absolute;left:3626;top:6226;width:2;height:393" coordorigin="3626,6226" coordsize="2,393">
              <v:shape style="position:absolute;left:3626;top:6226;width:2;height:393" coordorigin="3626,6226" coordsize="0,393" path="m3626,6226l3626,6618e" filled="false" stroked="true" strokeweight="1.2pt" strokecolor="#ffffff">
                <v:path arrowok="t"/>
              </v:shape>
            </v:group>
            <v:group style="position:absolute;left:3638;top:6226;width:830;height:393" coordorigin="3638,6226" coordsize="830,393">
              <v:shape style="position:absolute;left:3638;top:6226;width:830;height:393" coordorigin="3638,6226" coordsize="830,393" path="m3638,6618l4468,6618,4468,6226,3638,6226,3638,661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-98,057,33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-44,478,41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1.10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53,578,925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-53,578,92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5.12</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-44,478,41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-44,478,41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177,913,64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-177,913,6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before="91"/>
              <w:ind w:left="43" w:right="0"/>
              <w:jc w:val="left"/>
              <w:rPr>
                <w:rFonts w:ascii="Times New Roman" w:hAnsi="Times New Roman" w:cs="Times New Roman" w:eastAsia="Times New Roman" w:hint="default"/>
                <w:sz w:val="18"/>
                <w:szCs w:val="18"/>
              </w:rPr>
            </w:pPr>
            <w:r>
              <w:rPr>
                <w:rFonts w:ascii="Times New Roman"/>
                <w:sz w:val="18"/>
              </w:rPr>
              <w:t>177,913,64</w:t>
            </w:r>
          </w:p>
          <w:p>
            <w:pPr>
              <w:pStyle w:val="TableParagraph"/>
              <w:spacing w:line="17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537" w:right="0"/>
              <w:jc w:val="left"/>
              <w:rPr>
                <w:rFonts w:ascii="Times New Roman" w:hAnsi="Times New Roman" w:cs="Times New Roman" w:eastAsia="Times New Roman" w:hint="default"/>
                <w:sz w:val="18"/>
                <w:szCs w:val="18"/>
              </w:rPr>
            </w:pPr>
            <w:r>
              <w:rPr>
                <w:rFonts w:ascii="Times New Roman"/>
                <w:sz w:val="18"/>
              </w:rPr>
              <w:t>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-177,913,6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622,697,75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180,698,19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9.56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256,677,65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3.25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1,820,919,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867.99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2,880,993,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475.80</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上年金额</w:t>
      </w:r>
    </w:p>
    <w:p>
      <w:pPr>
        <w:pStyle w:val="BodyText"/>
        <w:spacing w:line="240" w:lineRule="auto" w:before="116"/>
        <w:ind w:left="0" w:right="24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4" w:hRule="exact"/>
        </w:trPr>
        <w:tc>
          <w:tcPr>
            <w:tcW w:w="2495"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8" w:hRule="exact"/>
        </w:trPr>
        <w:tc>
          <w:tcPr>
            <w:tcW w:w="2495"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1" w:hRule="exact"/>
        </w:trPr>
        <w:tc>
          <w:tcPr>
            <w:tcW w:w="2495"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342,141,62</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358,611,84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3.56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152,095,25</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0.24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1,095,227,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463.86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1,948,076,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181.66</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342,141,62</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358,611,84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3.56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152,095,25</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0.24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1,095,227,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463.86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1,948,076,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181.66</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102,642,48</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287,960,48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9.16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441,606,45</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4.05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442.380005pt;width:42.7pt;height:40.950pt;mso-position-horizontal-relative:page;mso-position-vertical-relative:page;z-index:-1105648" coordorigin="3634,8848" coordsize="854,819">
            <v:group style="position:absolute;left:3646;top:8860;width:2;height:393" coordorigin="3646,8860" coordsize="2,393">
              <v:shape style="position:absolute;left:3646;top:8860;width:2;height:393" coordorigin="3646,8860" coordsize="0,393" path="m3646,8860l3646,9252e" filled="false" stroked="true" strokeweight="1.2pt" strokecolor="#ffffff">
                <v:path arrowok="t"/>
              </v:shape>
            </v:group>
            <v:group style="position:absolute;left:3658;top:8860;width:830;height:393" coordorigin="3658,8860" coordsize="830,393">
              <v:shape style="position:absolute;left:3658;top:8860;width:830;height:393" coordorigin="3658,8860" coordsize="830,393" path="m3658,9252l4487,9252,4487,8860,3658,8860,3658,9252xe" filled="true" fillcolor="#ffffff" stroked="false">
                <v:path arrowok="t"/>
                <v:fill type="solid"/>
              </v:shape>
            </v:group>
            <v:group style="position:absolute;left:3646;top:9262;width:2;height:393" coordorigin="3646,9262" coordsize="2,393">
              <v:shape style="position:absolute;left:3646;top:9262;width:2;height:393" coordorigin="3646,9262" coordsize="0,393" path="m3646,9262l3646,9654e" filled="false" stroked="true" strokeweight="1.2pt" strokecolor="#ffffff">
                <v:path arrowok="t"/>
              </v:shape>
            </v:group>
            <v:group style="position:absolute;left:3658;top:9262;width:830;height:393" coordorigin="3658,9262" coordsize="830,393">
              <v:shape style="position:absolute;left:3658;top:9262;width:830;height:393" coordorigin="3658,9262" coordsize="830,393" path="m3658,9654l4487,9654,4487,9262,3658,9262,3658,965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-119,431,8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02.69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-68,428,32</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4.80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51,003,477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-51,003,47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7.89</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-68,428,32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4.80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-68,428,32</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102,642,48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-102,642,4</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87.00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102,642,48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-102,642,4</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87.00</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444,784,11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358,611,84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3.56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203,098,72</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8.13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1,383,187,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953.02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2,389,682,</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635.71</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法定代表人：赵友永</w:t>
        <w:tab/>
        <w:t>主管会计工作负责人：蒋春晨</w:t>
        <w:tab/>
        <w:t>会计机构负责人：符昀</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7"/>
          <w:szCs w:val="27"/>
        </w:rPr>
      </w:pPr>
    </w:p>
    <w:p>
      <w:pPr>
        <w:spacing w:line="340" w:lineRule="auto" w:before="0"/>
        <w:ind w:left="154" w:right="142" w:firstLine="420"/>
        <w:jc w:val="both"/>
        <w:rPr>
          <w:rFonts w:ascii="宋体" w:hAnsi="宋体" w:cs="宋体" w:eastAsia="宋体" w:hint="default"/>
          <w:sz w:val="21"/>
          <w:szCs w:val="21"/>
        </w:rPr>
      </w:pPr>
      <w:r>
        <w:rPr>
          <w:rFonts w:ascii="宋体" w:hAnsi="宋体" w:cs="宋体" w:eastAsia="宋体" w:hint="default"/>
          <w:spacing w:val="-1"/>
          <w:sz w:val="21"/>
          <w:szCs w:val="21"/>
        </w:rPr>
        <w:t>广州广电运通金融电子股份有限公司(以下简称“本公司或公司”)前身系广州广电运通金融电子有限</w:t>
      </w:r>
      <w:r>
        <w:rPr>
          <w:rFonts w:ascii="宋体" w:hAnsi="宋体" w:cs="宋体" w:eastAsia="宋体" w:hint="default"/>
          <w:sz w:val="21"/>
          <w:szCs w:val="21"/>
        </w:rPr>
        <w:t> 公司，成立于1999年7月8日，2005年10月经广州市人民政府办公厅穗府办函[2005]161号文批准，广州市</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经济贸易委员会穗经贸函[2005]492号文批复，由广州无线电集团有限公司、深圳市德通投资有限公司、</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sz w:val="21"/>
          <w:szCs w:val="21"/>
        </w:rPr>
        <w:t>盈富泰克创业投资有限公司、梅州敬基金属制品有限公司、广州藤川科技有限公司作为发起人，以发起设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立方式将广州广电运通金融电子有限公司整体变更为广州广电运通金融电子股份有限公司。注册资本为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106,559,010.00元，于2005年10月18日取得广州市工商行政管理局核发的变更后的企业法人营业执照，注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册号为：4401011103795。注册地为广东省广州市，总部地址位于广州市黄埔大道西平云路163号。</w:t>
      </w:r>
    </w:p>
    <w:p>
      <w:pPr>
        <w:spacing w:line="340" w:lineRule="auto" w:before="27"/>
        <w:ind w:left="153" w:right="147" w:firstLine="420"/>
        <w:jc w:val="both"/>
        <w:rPr>
          <w:rFonts w:ascii="宋体" w:hAnsi="宋体" w:cs="宋体" w:eastAsia="宋体" w:hint="default"/>
          <w:sz w:val="21"/>
          <w:szCs w:val="21"/>
        </w:rPr>
      </w:pPr>
      <w:r>
        <w:rPr>
          <w:rFonts w:ascii="宋体" w:hAnsi="宋体" w:cs="宋体" w:eastAsia="宋体" w:hint="default"/>
          <w:sz w:val="21"/>
          <w:szCs w:val="21"/>
        </w:rPr>
        <w:t>2006年12月，经本公司股东大会审议通过，股东盈富泰克创业投资有限公司将持有本公司10.657%股 权中的5.026%转让给股东广州无线电集团有限公司，股东深圳市德通投资有限公司将持有本公司17.762%</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的股权全部转让给自然人股东叶子瑜等48人。</w:t>
      </w:r>
    </w:p>
    <w:p>
      <w:pPr>
        <w:spacing w:line="340" w:lineRule="auto" w:before="27"/>
        <w:ind w:left="153" w:right="124" w:firstLine="421"/>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经中国证券监督管理委员会证监发行字[2007]188号《关于核准广州广电运通金融电子股份有限公司</w:t>
      </w:r>
      <w:r>
        <w:rPr>
          <w:rFonts w:ascii="宋体" w:hAnsi="宋体" w:cs="宋体" w:eastAsia="宋体" w:hint="default"/>
          <w:spacing w:val="2"/>
          <w:sz w:val="21"/>
          <w:szCs w:val="21"/>
        </w:rPr>
        <w:t> </w:t>
      </w:r>
      <w:r>
        <w:rPr>
          <w:rFonts w:ascii="宋体" w:hAnsi="宋体" w:cs="宋体" w:eastAsia="宋体" w:hint="default"/>
          <w:sz w:val="21"/>
          <w:szCs w:val="21"/>
        </w:rPr>
        <w:t>首次公开发行股票的通知》核准，本公司获准向社会公开发行人民币普通股（A股）3600万股。并于2007</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7"/>
          <w:sz w:val="21"/>
          <w:szCs w:val="21"/>
        </w:rPr>
        <w:t>年8月</w:t>
      </w:r>
      <w:r>
        <w:rPr>
          <w:rFonts w:ascii="宋体" w:hAnsi="宋体" w:cs="宋体" w:eastAsia="宋体" w:hint="default"/>
          <w:spacing w:val="-80"/>
          <w:sz w:val="21"/>
          <w:szCs w:val="21"/>
        </w:rPr>
        <w:t> </w:t>
      </w:r>
      <w:r>
        <w:rPr>
          <w:rFonts w:ascii="宋体" w:hAnsi="宋体" w:cs="宋体" w:eastAsia="宋体" w:hint="default"/>
          <w:spacing w:val="8"/>
          <w:sz w:val="21"/>
          <w:szCs w:val="21"/>
        </w:rPr>
        <w:t>13日</w:t>
      </w:r>
      <w:r>
        <w:rPr>
          <w:rFonts w:ascii="宋体" w:hAnsi="宋体" w:cs="宋体" w:eastAsia="宋体" w:hint="default"/>
          <w:spacing w:val="-81"/>
          <w:sz w:val="21"/>
          <w:szCs w:val="21"/>
        </w:rPr>
        <w:t> </w:t>
      </w:r>
      <w:r>
        <w:rPr>
          <w:rFonts w:ascii="宋体" w:hAnsi="宋体" w:cs="宋体" w:eastAsia="宋体" w:hint="default"/>
          <w:spacing w:val="25"/>
          <w:sz w:val="21"/>
          <w:szCs w:val="21"/>
        </w:rPr>
        <w:t>在深圳证券交易所挂牌交易，发行上市后注册资本由人民币</w:t>
      </w:r>
      <w:r>
        <w:rPr>
          <w:rFonts w:ascii="宋体" w:hAnsi="宋体" w:cs="宋体" w:eastAsia="宋体" w:hint="default"/>
          <w:spacing w:val="-80"/>
          <w:sz w:val="21"/>
          <w:szCs w:val="21"/>
        </w:rPr>
        <w:t> </w:t>
      </w:r>
      <w:r>
        <w:rPr>
          <w:rFonts w:ascii="宋体" w:hAnsi="宋体" w:cs="宋体" w:eastAsia="宋体" w:hint="default"/>
          <w:sz w:val="21"/>
          <w:szCs w:val="21"/>
        </w:rPr>
        <w:t>106,559,010.00</w:t>
      </w:r>
      <w:r>
        <w:rPr>
          <w:rFonts w:ascii="宋体" w:hAnsi="宋体" w:cs="宋体" w:eastAsia="宋体" w:hint="default"/>
          <w:spacing w:val="-79"/>
          <w:sz w:val="21"/>
          <w:szCs w:val="21"/>
        </w:rPr>
        <w:t> </w:t>
      </w:r>
      <w:r>
        <w:rPr>
          <w:rFonts w:ascii="宋体" w:hAnsi="宋体" w:cs="宋体" w:eastAsia="宋体" w:hint="default"/>
          <w:spacing w:val="19"/>
          <w:sz w:val="21"/>
          <w:szCs w:val="21"/>
        </w:rPr>
        <w:t>元增加至</w:t>
      </w:r>
      <w:r>
        <w:rPr>
          <w:rFonts w:ascii="宋体" w:hAnsi="宋体" w:cs="宋体" w:eastAsia="宋体" w:hint="default"/>
          <w:spacing w:val="-79"/>
          <w:sz w:val="21"/>
          <w:szCs w:val="21"/>
        </w:rPr>
        <w:t> </w:t>
      </w:r>
      <w:r>
        <w:rPr>
          <w:rFonts w:ascii="宋体" w:hAnsi="宋体" w:cs="宋体" w:eastAsia="宋体" w:hint="default"/>
          <w:sz w:val="21"/>
          <w:szCs w:val="21"/>
        </w:rPr>
        <w:t>142,559,010.00元。证券简称为“广电运通”，证券代码为“002152”，所属行业为专用设备制造业。</w:t>
      </w:r>
    </w:p>
    <w:p>
      <w:pPr>
        <w:spacing w:line="340" w:lineRule="auto" w:before="27"/>
        <w:ind w:left="153" w:right="149" w:firstLine="421"/>
        <w:jc w:val="both"/>
        <w:rPr>
          <w:rFonts w:ascii="宋体" w:hAnsi="宋体" w:cs="宋体" w:eastAsia="宋体" w:hint="default"/>
          <w:sz w:val="21"/>
          <w:szCs w:val="21"/>
        </w:rPr>
      </w:pPr>
      <w:r>
        <w:rPr>
          <w:rFonts w:ascii="宋体" w:hAnsi="宋体" w:cs="宋体" w:eastAsia="宋体" w:hint="default"/>
          <w:sz w:val="21"/>
          <w:szCs w:val="21"/>
        </w:rPr>
        <w:t>经本公司第一届董事会第十五次会议、2008年4月18日股东大会决议通过，本公司以2007年末总股本 为基数，以资本公积向全体股东每10股转增10股股本。</w:t>
      </w:r>
    </w:p>
    <w:p>
      <w:pPr>
        <w:spacing w:line="340" w:lineRule="auto" w:before="27"/>
        <w:ind w:left="153" w:right="146" w:firstLine="421"/>
        <w:jc w:val="both"/>
        <w:rPr>
          <w:rFonts w:ascii="宋体" w:hAnsi="宋体" w:cs="宋体" w:eastAsia="宋体" w:hint="default"/>
          <w:sz w:val="21"/>
          <w:szCs w:val="21"/>
        </w:rPr>
      </w:pPr>
      <w:r>
        <w:rPr>
          <w:rFonts w:ascii="宋体" w:hAnsi="宋体" w:cs="宋体" w:eastAsia="宋体" w:hint="default"/>
          <w:sz w:val="21"/>
          <w:szCs w:val="21"/>
        </w:rPr>
        <w:t>经本公司第二届董事会第二次会议、2009年4月28日股东大会决议通过，本公司以2008年末总股本为</w:t>
      </w:r>
      <w:r>
        <w:rPr>
          <w:rFonts w:ascii="宋体" w:hAnsi="宋体" w:cs="宋体" w:eastAsia="宋体" w:hint="default"/>
          <w:spacing w:val="2"/>
          <w:sz w:val="21"/>
          <w:szCs w:val="21"/>
        </w:rPr>
        <w:t> </w:t>
      </w:r>
      <w:r>
        <w:rPr>
          <w:rFonts w:ascii="宋体" w:hAnsi="宋体" w:cs="宋体" w:eastAsia="宋体" w:hint="default"/>
          <w:sz w:val="21"/>
          <w:szCs w:val="21"/>
        </w:rPr>
        <w:t>基数，以资本公积向全体股东每10股转增2股股本。</w:t>
      </w:r>
    </w:p>
    <w:p>
      <w:pPr>
        <w:spacing w:line="340" w:lineRule="auto" w:before="27"/>
        <w:ind w:left="153" w:right="149" w:firstLine="421"/>
        <w:jc w:val="both"/>
        <w:rPr>
          <w:rFonts w:ascii="宋体" w:hAnsi="宋体" w:cs="宋体" w:eastAsia="宋体" w:hint="default"/>
          <w:sz w:val="21"/>
          <w:szCs w:val="21"/>
        </w:rPr>
      </w:pPr>
      <w:r>
        <w:rPr>
          <w:rFonts w:ascii="宋体" w:hAnsi="宋体" w:cs="宋体" w:eastAsia="宋体" w:hint="default"/>
          <w:sz w:val="21"/>
          <w:szCs w:val="21"/>
        </w:rPr>
        <w:t>经本公司第二届董事会第十二次会议、2011年4月15日股东大会决议通过，本公司以2010年末总股本 为基数，以未分配利润向全体股东每10股送3股红股。</w:t>
      </w:r>
    </w:p>
    <w:p>
      <w:pPr>
        <w:spacing w:line="340" w:lineRule="auto" w:before="27"/>
        <w:ind w:left="153" w:right="146" w:firstLine="421"/>
        <w:jc w:val="both"/>
        <w:rPr>
          <w:rFonts w:ascii="宋体" w:hAnsi="宋体" w:cs="宋体" w:eastAsia="宋体" w:hint="default"/>
          <w:sz w:val="21"/>
          <w:szCs w:val="21"/>
        </w:rPr>
      </w:pPr>
      <w:r>
        <w:rPr>
          <w:rFonts w:ascii="宋体" w:hAnsi="宋体" w:cs="宋体" w:eastAsia="宋体" w:hint="default"/>
          <w:sz w:val="21"/>
          <w:szCs w:val="21"/>
        </w:rPr>
        <w:t>经本公司第三届董事会第二次会议、2012年4月19日股东大会决议通过，本公司以2011年末总股本为</w:t>
      </w:r>
      <w:r>
        <w:rPr>
          <w:rFonts w:ascii="宋体" w:hAnsi="宋体" w:cs="宋体" w:eastAsia="宋体" w:hint="default"/>
          <w:spacing w:val="2"/>
          <w:sz w:val="21"/>
          <w:szCs w:val="21"/>
        </w:rPr>
        <w:t> </w:t>
      </w:r>
      <w:r>
        <w:rPr>
          <w:rFonts w:ascii="宋体" w:hAnsi="宋体" w:cs="宋体" w:eastAsia="宋体" w:hint="default"/>
          <w:sz w:val="21"/>
          <w:szCs w:val="21"/>
        </w:rPr>
        <w:t>基数，以资本公积向全体股东每10股转增4股股本。</w:t>
      </w:r>
    </w:p>
    <w:p>
      <w:pPr>
        <w:spacing w:line="340" w:lineRule="auto" w:before="27"/>
        <w:ind w:left="154" w:right="150" w:firstLine="420"/>
        <w:jc w:val="both"/>
        <w:rPr>
          <w:rFonts w:ascii="宋体" w:hAnsi="宋体" w:cs="宋体" w:eastAsia="宋体" w:hint="default"/>
          <w:sz w:val="21"/>
          <w:szCs w:val="21"/>
        </w:rPr>
      </w:pPr>
      <w:r>
        <w:rPr>
          <w:rFonts w:ascii="宋体" w:hAnsi="宋体" w:cs="宋体" w:eastAsia="宋体" w:hint="default"/>
          <w:spacing w:val="-1"/>
          <w:sz w:val="21"/>
          <w:szCs w:val="21"/>
        </w:rPr>
        <w:t>2012年5月17日，本公司取得变更后的企业法人营业执照，注册号为：440101000000880。注册地为广</w:t>
      </w:r>
      <w:r>
        <w:rPr>
          <w:rFonts w:ascii="宋体" w:hAnsi="宋体" w:cs="宋体" w:eastAsia="宋体" w:hint="default"/>
          <w:sz w:val="21"/>
          <w:szCs w:val="21"/>
        </w:rPr>
        <w:t> 州市萝岗区科学城科林路9号。</w:t>
      </w:r>
    </w:p>
    <w:p>
      <w:pPr>
        <w:spacing w:line="340" w:lineRule="auto" w:before="27"/>
        <w:ind w:left="154" w:right="151" w:firstLine="424"/>
        <w:jc w:val="both"/>
        <w:rPr>
          <w:rFonts w:ascii="宋体" w:hAnsi="宋体" w:cs="宋体" w:eastAsia="宋体" w:hint="default"/>
          <w:sz w:val="21"/>
          <w:szCs w:val="21"/>
        </w:rPr>
      </w:pPr>
      <w:r>
        <w:rPr>
          <w:rFonts w:ascii="宋体" w:hAnsi="宋体" w:cs="宋体" w:eastAsia="宋体" w:hint="default"/>
          <w:sz w:val="21"/>
          <w:szCs w:val="21"/>
        </w:rPr>
        <w:t>截止2012年12月31日，本公司注册资本为人民币至622,697,755.00元，总股本为622,697,755股，其 中可流通股份为597,810,937股，限售的流通股为24,886,818股。</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本公司经营范围：研制、生产、销售电子计算机设备、货币类自助设备、税务应用设备。电子计算机</w:t>
      </w:r>
      <w:r>
        <w:rPr>
          <w:rFonts w:ascii="宋体" w:hAnsi="宋体" w:cs="宋体" w:eastAsia="宋体" w:hint="default"/>
          <w:sz w:val="21"/>
          <w:szCs w:val="21"/>
        </w:rPr>
        <w:t> </w:t>
      </w:r>
      <w:r>
        <w:rPr>
          <w:rFonts w:ascii="宋体" w:hAnsi="宋体" w:cs="宋体" w:eastAsia="宋体" w:hint="default"/>
          <w:spacing w:val="-1"/>
          <w:sz w:val="21"/>
          <w:szCs w:val="21"/>
        </w:rPr>
        <w:t>系统集成及技术服务。电子计算机软件开发。本企业生产产品的技术咨询和售后服务。货物和技术进出口</w:t>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（国家限定经营或禁止进出口的商品和技术除外）。对自动柜员机提供日常维修与管理服务。对现金及有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价证券提供清分处理服务。</w:t>
      </w:r>
    </w:p>
    <w:p>
      <w:pPr>
        <w:spacing w:line="340" w:lineRule="auto" w:before="27"/>
        <w:ind w:left="154" w:right="148" w:firstLine="420"/>
        <w:jc w:val="both"/>
        <w:rPr>
          <w:rFonts w:ascii="宋体" w:hAnsi="宋体" w:cs="宋体" w:eastAsia="宋体" w:hint="default"/>
          <w:sz w:val="21"/>
          <w:szCs w:val="21"/>
        </w:rPr>
      </w:pPr>
      <w:r>
        <w:rPr>
          <w:rFonts w:ascii="宋体" w:hAnsi="宋体" w:cs="宋体" w:eastAsia="宋体" w:hint="default"/>
          <w:spacing w:val="-1"/>
          <w:sz w:val="21"/>
          <w:szCs w:val="21"/>
        </w:rPr>
        <w:t>本公司治理层权力机构包括：股东大会、董事会和监事会。实行董事会领导下的总经理负责制，公司</w:t>
      </w:r>
      <w:r>
        <w:rPr>
          <w:rFonts w:ascii="宋体" w:hAnsi="宋体" w:cs="宋体" w:eastAsia="宋体" w:hint="default"/>
          <w:sz w:val="21"/>
          <w:szCs w:val="21"/>
        </w:rPr>
        <w:t> </w:t>
      </w:r>
      <w:r>
        <w:rPr>
          <w:rFonts w:ascii="宋体" w:hAnsi="宋体" w:cs="宋体" w:eastAsia="宋体" w:hint="default"/>
          <w:spacing w:val="-1"/>
          <w:sz w:val="21"/>
          <w:szCs w:val="21"/>
        </w:rPr>
        <w:t>下设财务部、人力资源部、证券部、企业管理部、投资管理部、法务部、科技管理部、IT管理部、制造系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统、国内金融营销中心、海外营销中心、轨道交通事业部、金融服务事业部、研究院、客户服务中心等职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能部门。</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spacing w:before="26"/>
        <w:ind w:left="154" w:right="95" w:firstLine="0"/>
        <w:jc w:val="left"/>
        <w:rPr>
          <w:rFonts w:ascii="宋体" w:hAnsi="宋体" w:cs="宋体" w:eastAsia="宋体" w:hint="default"/>
          <w:sz w:val="24"/>
          <w:szCs w:val="24"/>
        </w:rPr>
      </w:pPr>
      <w:r>
        <w:rPr>
          <w:rFonts w:ascii="宋体" w:hAnsi="宋体" w:cs="宋体" w:eastAsia="宋体" w:hint="default"/>
          <w:b/>
          <w:bCs/>
          <w:sz w:val="24"/>
          <w:szCs w:val="24"/>
        </w:rPr>
        <w:t>四、公司主要会计政策、会计估计和前期差错</w:t>
      </w:r>
      <w:r>
        <w:rPr>
          <w:rFonts w:ascii="宋体" w:hAnsi="宋体" w:cs="宋体" w:eastAsia="宋体" w:hint="default"/>
          <w:sz w:val="24"/>
          <w:szCs w:val="24"/>
        </w:rPr>
      </w:r>
    </w:p>
    <w:p>
      <w:pPr>
        <w:spacing w:line="652" w:lineRule="exact" w:before="46"/>
        <w:ind w:left="574" w:right="27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公司以持续经营为基础，根据实际发生的交易和事项，按照财政部于2006年2月15日颁布的《企业会</w:t>
      </w:r>
    </w:p>
    <w:p>
      <w:pPr>
        <w:spacing w:line="340" w:lineRule="auto" w:before="14"/>
        <w:ind w:left="154" w:right="210" w:firstLine="0"/>
        <w:jc w:val="both"/>
        <w:rPr>
          <w:rFonts w:ascii="宋体" w:hAnsi="宋体" w:cs="宋体" w:eastAsia="宋体" w:hint="default"/>
          <w:sz w:val="21"/>
          <w:szCs w:val="21"/>
        </w:rPr>
      </w:pPr>
      <w:r>
        <w:rPr>
          <w:rFonts w:ascii="宋体" w:hAnsi="宋体" w:cs="宋体" w:eastAsia="宋体" w:hint="default"/>
          <w:spacing w:val="-1"/>
          <w:sz w:val="21"/>
          <w:szCs w:val="21"/>
        </w:rPr>
        <w:t>计准则——基本准则》和38项具体会计准则、其后颁布的企业会计准则应用指南、企业会计准则解释及其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他相关规定(以下合称“企业会计准则”)、以及中国证券监督管理委员会《公开发行证券的公司信息披露</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编报规则第15</w:t>
      </w:r>
      <w:r>
        <w:rPr>
          <w:rFonts w:ascii="宋体" w:hAnsi="宋体" w:cs="宋体" w:eastAsia="宋体" w:hint="default"/>
          <w:spacing w:val="-6"/>
          <w:sz w:val="21"/>
          <w:szCs w:val="21"/>
        </w:rPr>
        <w:t> </w:t>
      </w:r>
      <w:r>
        <w:rPr>
          <w:rFonts w:ascii="宋体" w:hAnsi="宋体" w:cs="宋体" w:eastAsia="宋体" w:hint="default"/>
          <w:sz w:val="21"/>
          <w:szCs w:val="21"/>
        </w:rPr>
        <w:t>号——财务报告的一般规定》(2010年修订)的披露规定编制财务报表。</w:t>
      </w:r>
    </w:p>
    <w:p>
      <w:pPr>
        <w:spacing w:line="652" w:lineRule="exact" w:before="12"/>
        <w:ind w:left="574" w:right="9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spacing w:before="14"/>
        <w:ind w:left="154" w:right="95" w:firstLine="0"/>
        <w:jc w:val="left"/>
        <w:rPr>
          <w:rFonts w:ascii="宋体" w:hAnsi="宋体" w:cs="宋体" w:eastAsia="宋体" w:hint="default"/>
          <w:sz w:val="21"/>
          <w:szCs w:val="21"/>
        </w:rPr>
      </w:pPr>
      <w:r>
        <w:rPr>
          <w:rFonts w:ascii="宋体" w:hAnsi="宋体" w:cs="宋体" w:eastAsia="宋体" w:hint="default"/>
          <w:sz w:val="21"/>
          <w:szCs w:val="21"/>
        </w:rPr>
        <w:t>成果、现金流量等有关信息。</w:t>
      </w:r>
    </w:p>
    <w:p>
      <w:pPr>
        <w:spacing w:line="240" w:lineRule="auto" w:before="10"/>
        <w:rPr>
          <w:rFonts w:ascii="宋体" w:hAnsi="宋体" w:cs="宋体" w:eastAsia="宋体" w:hint="default"/>
          <w:sz w:val="28"/>
          <w:szCs w:val="28"/>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4" w:right="95"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8"/>
        <w:rPr>
          <w:rFonts w:ascii="宋体" w:hAnsi="宋体" w:cs="宋体" w:eastAsia="宋体" w:hint="default"/>
          <w:sz w:val="24"/>
          <w:szCs w:val="24"/>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4" w:right="3320"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 境外子公司以其所在国的运营经济环境的主要货币为记账本位币。</w:t>
      </w:r>
    </w:p>
    <w:p>
      <w:pPr>
        <w:spacing w:line="240" w:lineRule="auto" w:before="1"/>
        <w:rPr>
          <w:rFonts w:ascii="宋体" w:hAnsi="宋体" w:cs="宋体" w:eastAsia="宋体" w:hint="default"/>
          <w:sz w:val="22"/>
          <w:szCs w:val="22"/>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652" w:lineRule="exact" w:before="46"/>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本公司在企业合并中取得的资产和负债，按照合并日在被合并方的账面价值计量。被合并各方采用的</w:t>
      </w:r>
    </w:p>
    <w:p>
      <w:pPr>
        <w:spacing w:line="340" w:lineRule="auto" w:before="14"/>
        <w:ind w:left="154" w:right="95" w:firstLine="0"/>
        <w:jc w:val="left"/>
        <w:rPr>
          <w:rFonts w:ascii="宋体" w:hAnsi="宋体" w:cs="宋体" w:eastAsia="宋体" w:hint="default"/>
          <w:sz w:val="21"/>
          <w:szCs w:val="21"/>
        </w:rPr>
      </w:pPr>
      <w:r>
        <w:rPr>
          <w:rFonts w:ascii="宋体" w:hAnsi="宋体" w:cs="宋体" w:eastAsia="宋体" w:hint="default"/>
          <w:spacing w:val="-1"/>
          <w:sz w:val="21"/>
          <w:szCs w:val="21"/>
        </w:rPr>
        <w:t>会计政策与本公司不一致的，本公司在合并日按照本公司会计政策进行调整，在此基础上按照调整后的账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面价值确认。</w:t>
      </w:r>
    </w:p>
    <w:p>
      <w:pPr>
        <w:spacing w:line="340" w:lineRule="auto" w:before="27"/>
        <w:ind w:left="154" w:right="95" w:firstLine="420"/>
        <w:jc w:val="left"/>
        <w:rPr>
          <w:rFonts w:ascii="宋体" w:hAnsi="宋体" w:cs="宋体" w:eastAsia="宋体" w:hint="default"/>
          <w:sz w:val="21"/>
          <w:szCs w:val="21"/>
        </w:rPr>
      </w:pPr>
      <w:r>
        <w:rPr>
          <w:rFonts w:ascii="宋体" w:hAnsi="宋体" w:cs="宋体" w:eastAsia="宋体" w:hint="default"/>
          <w:spacing w:val="-1"/>
          <w:sz w:val="21"/>
          <w:szCs w:val="21"/>
        </w:rPr>
        <w:t>在合并中取得的净资产账面价值与支付的合并对价账面价值（或发行股份面值总额）的差额，调整资</w:t>
      </w:r>
      <w:r>
        <w:rPr>
          <w:rFonts w:ascii="宋体" w:hAnsi="宋体" w:cs="宋体" w:eastAsia="宋体" w:hint="default"/>
          <w:sz w:val="21"/>
          <w:szCs w:val="21"/>
        </w:rPr>
        <w:t> 本公积中的股本溢价，资本公积中的股本溢价不足冲减的，调整留存收益。</w:t>
      </w:r>
    </w:p>
    <w:p>
      <w:pPr>
        <w:spacing w:line="340" w:lineRule="auto" w:before="27"/>
        <w:ind w:left="154" w:right="95" w:firstLine="420"/>
        <w:jc w:val="left"/>
        <w:rPr>
          <w:rFonts w:ascii="宋体" w:hAnsi="宋体" w:cs="宋体" w:eastAsia="宋体" w:hint="default"/>
          <w:sz w:val="21"/>
          <w:szCs w:val="21"/>
        </w:rPr>
      </w:pPr>
      <w:r>
        <w:rPr>
          <w:rFonts w:ascii="宋体" w:hAnsi="宋体" w:cs="宋体" w:eastAsia="宋体" w:hint="default"/>
          <w:spacing w:val="-1"/>
          <w:sz w:val="21"/>
          <w:szCs w:val="21"/>
        </w:rPr>
        <w:t>本公司为进行企业合并而发生的各项直接相关费用，包括为进行企业合并而支付的审计费用、评估费</w:t>
      </w:r>
      <w:r>
        <w:rPr>
          <w:rFonts w:ascii="宋体" w:hAnsi="宋体" w:cs="宋体" w:eastAsia="宋体" w:hint="default"/>
          <w:sz w:val="21"/>
          <w:szCs w:val="21"/>
        </w:rPr>
        <w:t> 用、法律服务费等，于发生时计入当期损益。</w:t>
      </w:r>
    </w:p>
    <w:p>
      <w:pPr>
        <w:spacing w:line="340" w:lineRule="auto" w:before="25"/>
        <w:ind w:left="154" w:right="95" w:firstLine="420"/>
        <w:jc w:val="left"/>
        <w:rPr>
          <w:rFonts w:ascii="宋体" w:hAnsi="宋体" w:cs="宋体" w:eastAsia="宋体" w:hint="default"/>
          <w:sz w:val="21"/>
          <w:szCs w:val="21"/>
        </w:rPr>
      </w:pPr>
      <w:r>
        <w:rPr>
          <w:rFonts w:ascii="宋体" w:hAnsi="宋体" w:cs="宋体" w:eastAsia="宋体" w:hint="default"/>
          <w:spacing w:val="-3"/>
          <w:sz w:val="21"/>
          <w:szCs w:val="21"/>
        </w:rPr>
        <w:t>企业合并中发行权益性证券发生的手续费、佣金等，抵减权益性证券溢价收入，溢价收入不足冲减的，</w:t>
      </w:r>
      <w:r>
        <w:rPr>
          <w:rFonts w:ascii="宋体" w:hAnsi="宋体" w:cs="宋体" w:eastAsia="宋体" w:hint="default"/>
          <w:sz w:val="21"/>
          <w:szCs w:val="21"/>
        </w:rPr>
        <w:t> 冲减留存收益。</w:t>
      </w:r>
    </w:p>
    <w:p>
      <w:pPr>
        <w:spacing w:line="240" w:lineRule="auto" w:before="1"/>
        <w:rPr>
          <w:rFonts w:ascii="宋体" w:hAnsi="宋体" w:cs="宋体" w:eastAsia="宋体" w:hint="default"/>
          <w:sz w:val="22"/>
          <w:szCs w:val="22"/>
        </w:rPr>
      </w:pPr>
    </w:p>
    <w:p>
      <w:pPr>
        <w:spacing w:line="540" w:lineRule="auto" w:before="0"/>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本公司在购买日对作为企业合并对价付出的资产、发生或承担的负债按照公允价值计量。公允价值与</w:t>
      </w:r>
    </w:p>
    <w:p>
      <w:pPr>
        <w:spacing w:after="0" w:line="540"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7"/>
          <w:szCs w:val="27"/>
        </w:rPr>
      </w:pPr>
    </w:p>
    <w:p>
      <w:pPr>
        <w:spacing w:line="340" w:lineRule="auto" w:before="35"/>
        <w:ind w:left="574" w:right="0" w:hanging="420"/>
        <w:jc w:val="left"/>
        <w:rPr>
          <w:rFonts w:ascii="宋体" w:hAnsi="宋体" w:cs="宋体" w:eastAsia="宋体" w:hint="default"/>
          <w:sz w:val="21"/>
          <w:szCs w:val="21"/>
        </w:rPr>
      </w:pPr>
      <w:r>
        <w:rPr>
          <w:rFonts w:ascii="宋体" w:hAnsi="宋体" w:cs="宋体" w:eastAsia="宋体" w:hint="default"/>
          <w:sz w:val="21"/>
          <w:szCs w:val="21"/>
        </w:rPr>
        <w:t>其账面价值的差额，计入当期损益。 </w:t>
      </w:r>
      <w:r>
        <w:rPr>
          <w:rFonts w:ascii="宋体" w:hAnsi="宋体" w:cs="宋体" w:eastAsia="宋体" w:hint="default"/>
          <w:spacing w:val="-1"/>
          <w:sz w:val="21"/>
          <w:szCs w:val="21"/>
        </w:rPr>
        <w:t>本公司在购买日对合并成本进行分配，确认所取得的被购买方各项可辨认资产、负债及或有负债的公</w:t>
      </w:r>
    </w:p>
    <w:p>
      <w:pPr>
        <w:spacing w:before="27"/>
        <w:ind w:left="154" w:right="0" w:firstLine="0"/>
        <w:jc w:val="both"/>
        <w:rPr>
          <w:rFonts w:ascii="宋体" w:hAnsi="宋体" w:cs="宋体" w:eastAsia="宋体" w:hint="default"/>
          <w:sz w:val="21"/>
          <w:szCs w:val="21"/>
        </w:rPr>
      </w:pPr>
      <w:r>
        <w:rPr>
          <w:rFonts w:ascii="宋体" w:hAnsi="宋体" w:cs="宋体" w:eastAsia="宋体" w:hint="default"/>
          <w:sz w:val="21"/>
          <w:szCs w:val="21"/>
        </w:rPr>
        <w:t>允价值。</w:t>
      </w:r>
    </w:p>
    <w:p>
      <w:pPr>
        <w:spacing w:line="340" w:lineRule="auto" w:before="115"/>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本公司对合并成本大于合并中取得的被购买方可辨认净资产公允价值份额的差额，确认为商誉；合并</w:t>
      </w:r>
      <w:r>
        <w:rPr>
          <w:rFonts w:ascii="宋体" w:hAnsi="宋体" w:cs="宋体" w:eastAsia="宋体" w:hint="default"/>
          <w:sz w:val="21"/>
          <w:szCs w:val="21"/>
        </w:rPr>
        <w:t> 成本小于合并中取得的被购买方可辨认净资产公允价值份额的差额，经复核后，计入当期损益。</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企业合并中取得的被购买方除无形资产外的其他各项资产（不仅限于被购买方原已确认的资产），其</w:t>
      </w:r>
      <w:r>
        <w:rPr>
          <w:rFonts w:ascii="宋体" w:hAnsi="宋体" w:cs="宋体" w:eastAsia="宋体" w:hint="default"/>
          <w:sz w:val="21"/>
          <w:szCs w:val="21"/>
        </w:rPr>
        <w:t> </w:t>
      </w:r>
      <w:r>
        <w:rPr>
          <w:rFonts w:ascii="宋体" w:hAnsi="宋体" w:cs="宋体" w:eastAsia="宋体" w:hint="default"/>
          <w:spacing w:val="-1"/>
          <w:sz w:val="21"/>
          <w:szCs w:val="21"/>
        </w:rPr>
        <w:t>所带来的经济利益很可能流入本公司且公允价值能够可靠计量的，单独确认并按公允价值计量；公允价值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能够可靠计量的无形资产，单独确认为无形资产并按公允价值计量；取得的被购买方除或有负债以外的其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他各项负债，履行有关义务很可能导致经济利益流出本公司且公允价值能够可靠计量的，单独确认并按照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公允价值计量；取得的被购买方或有负债，其公允价值能可靠计量的，单独确认为负债并按照公允价值计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量。</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本公司在企业合并中取得的被购买方的可抵扣暂时性差异，在购买日不符合递延所得税资产确认条件</w:t>
      </w:r>
      <w:r>
        <w:rPr>
          <w:rFonts w:ascii="宋体" w:hAnsi="宋体" w:cs="宋体" w:eastAsia="宋体" w:hint="default"/>
          <w:sz w:val="21"/>
          <w:szCs w:val="21"/>
        </w:rPr>
        <w:t> </w:t>
      </w:r>
      <w:r>
        <w:rPr>
          <w:rFonts w:ascii="宋体" w:hAnsi="宋体" w:cs="宋体" w:eastAsia="宋体" w:hint="default"/>
          <w:spacing w:val="-1"/>
          <w:sz w:val="21"/>
          <w:szCs w:val="21"/>
        </w:rPr>
        <w:t>的，不予以确认。购买日后12个月内，如取得新的或进一步的信息表明购买日的相关情况已经存在，预期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被购买方在购买日可抵扣暂时性差异带来的经济利益能够实现的，确认相关的递延所得税资产，同时减少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商誉，商誉不足冲减的，差额部分确认为当期损益；除上述情况以外，确认与企业合并相关的递延所得税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资产，计入当期损益。</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非同一控制下企业合并，购买方为企业合并发生的审计、法律服务、评估咨询等中介费用以及其他相</w:t>
      </w:r>
      <w:r>
        <w:rPr>
          <w:rFonts w:ascii="宋体" w:hAnsi="宋体" w:cs="宋体" w:eastAsia="宋体" w:hint="default"/>
          <w:sz w:val="21"/>
          <w:szCs w:val="21"/>
        </w:rPr>
        <w:t> </w:t>
      </w:r>
      <w:r>
        <w:rPr>
          <w:rFonts w:ascii="宋体" w:hAnsi="宋体" w:cs="宋体" w:eastAsia="宋体" w:hint="default"/>
          <w:spacing w:val="-1"/>
          <w:sz w:val="21"/>
          <w:szCs w:val="21"/>
        </w:rPr>
        <w:t>关管理费用，应当于发生时计入当期损益；购买方作为合并对价发行的权益性证券或债务性证券的交易费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用，应当计入权益性证券或债务性证券的初始确认金额。</w:t>
      </w:r>
    </w:p>
    <w:p>
      <w:pPr>
        <w:spacing w:line="240" w:lineRule="auto" w:before="1"/>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本公司合并财务报表的合并范围以控制为基础确定，所有子公司均纳入合并财务报表。 </w:t>
      </w:r>
      <w:r>
        <w:rPr>
          <w:rFonts w:ascii="宋体" w:hAnsi="宋体" w:cs="宋体" w:eastAsia="宋体" w:hint="default"/>
          <w:spacing w:val="-1"/>
          <w:sz w:val="21"/>
          <w:szCs w:val="21"/>
        </w:rPr>
        <w:t>所有纳入合并财务报表合并范围的子公司所采用的会计政策、会计期间与本公司一致，如子公司采用</w:t>
      </w:r>
    </w:p>
    <w:p>
      <w:pPr>
        <w:spacing w:line="340" w:lineRule="auto" w:before="27"/>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的会计政策、会计期间与本公司不一致的，在编制合并财务报表时，按本公司的会计政策、会计期间进行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必要的调整。对于非同一控制下企业合并取得的子公司，以购买日可辨认净资产公允价值为基础对其财务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报表进行调整。合并财务报表以本公司及子公司的财务报表为基础，根据其他有关资料，按照权益法调整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对子公司的长期股权投资后，由本公司编制。</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合并财务报表时抵销本公司与各子公司、各子公司相互之间发生的内部交易对合并资产负债表、合并</w:t>
      </w:r>
      <w:r>
        <w:rPr>
          <w:rFonts w:ascii="宋体" w:hAnsi="宋体" w:cs="宋体" w:eastAsia="宋体" w:hint="default"/>
          <w:sz w:val="21"/>
          <w:szCs w:val="21"/>
        </w:rPr>
        <w:t> 利润表、合并现金流量表、合并所有者权益变动表的影响。</w:t>
      </w:r>
    </w:p>
    <w:p>
      <w:pPr>
        <w:spacing w:line="340" w:lineRule="auto" w:before="27"/>
        <w:ind w:left="154" w:right="147" w:firstLine="420"/>
        <w:jc w:val="both"/>
        <w:rPr>
          <w:rFonts w:ascii="宋体" w:hAnsi="宋体" w:cs="宋体" w:eastAsia="宋体" w:hint="default"/>
          <w:sz w:val="21"/>
          <w:szCs w:val="21"/>
        </w:rPr>
      </w:pPr>
      <w:r>
        <w:rPr>
          <w:rFonts w:ascii="宋体" w:hAnsi="宋体" w:cs="宋体" w:eastAsia="宋体" w:hint="default"/>
          <w:spacing w:val="3"/>
          <w:sz w:val="21"/>
          <w:szCs w:val="21"/>
        </w:rPr>
        <w:t>子公司少数股东应占的权益和损益分别在合并资产负债表中所有者权益项目下和合并利润表中净利</w:t>
      </w:r>
      <w:r>
        <w:rPr>
          <w:rFonts w:ascii="宋体" w:hAnsi="宋体" w:cs="宋体" w:eastAsia="宋体" w:hint="default"/>
          <w:sz w:val="21"/>
          <w:szCs w:val="21"/>
        </w:rPr>
        <w:t> </w:t>
      </w:r>
      <w:r>
        <w:rPr>
          <w:rFonts w:ascii="宋体" w:hAnsi="宋体" w:cs="宋体" w:eastAsia="宋体" w:hint="default"/>
          <w:spacing w:val="-1"/>
          <w:sz w:val="21"/>
          <w:szCs w:val="21"/>
        </w:rPr>
        <w:t>润项目下单独列示。子公司少数股东分担的当期亏损超过了少数股东在该子公司期初所有者权益中所享有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份额而形成的余额，冲减少数股东权益。</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在报告期内，若因同一控制下企业合并增加子公司的，则调整合并资产负债表的期初数；将子公司合</w:t>
      </w:r>
      <w:r>
        <w:rPr>
          <w:rFonts w:ascii="宋体" w:hAnsi="宋体" w:cs="宋体" w:eastAsia="宋体" w:hint="default"/>
          <w:sz w:val="21"/>
          <w:szCs w:val="21"/>
        </w:rPr>
        <w:t> </w:t>
      </w:r>
      <w:r>
        <w:rPr>
          <w:rFonts w:ascii="宋体" w:hAnsi="宋体" w:cs="宋体" w:eastAsia="宋体" w:hint="default"/>
          <w:spacing w:val="-1"/>
          <w:sz w:val="21"/>
          <w:szCs w:val="21"/>
        </w:rPr>
        <w:t>并当期期初至报告期末的收入、费用、利润纳入合并利润表；将子公司合并当期期初至报告期末的现金流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量纳入合并现金流量表，同时对比较报表的相关项目进行调整，视同合并后的报告主体在以前期间一直存</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7"/>
          <w:szCs w:val="27"/>
        </w:rPr>
      </w:pPr>
    </w:p>
    <w:p>
      <w:pPr>
        <w:spacing w:before="35"/>
        <w:ind w:left="154" w:right="95" w:firstLine="0"/>
        <w:jc w:val="left"/>
        <w:rPr>
          <w:rFonts w:ascii="宋体" w:hAnsi="宋体" w:cs="宋体" w:eastAsia="宋体" w:hint="default"/>
          <w:sz w:val="21"/>
          <w:szCs w:val="21"/>
        </w:rPr>
      </w:pPr>
      <w:r>
        <w:rPr>
          <w:rFonts w:ascii="宋体" w:hAnsi="宋体" w:cs="宋体" w:eastAsia="宋体" w:hint="default"/>
          <w:sz w:val="21"/>
          <w:szCs w:val="21"/>
        </w:rPr>
        <w:t>在。</w:t>
      </w:r>
    </w:p>
    <w:p>
      <w:pPr>
        <w:spacing w:line="340" w:lineRule="auto" w:before="115"/>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在报告期内，若因非同一控制下企业合并增加子公司的，则不调整合并资产负债表期初数；将子公司</w:t>
      </w:r>
      <w:r>
        <w:rPr>
          <w:rFonts w:ascii="宋体" w:hAnsi="宋体" w:cs="宋体" w:eastAsia="宋体" w:hint="default"/>
          <w:sz w:val="21"/>
          <w:szCs w:val="21"/>
        </w:rPr>
        <w:t> </w:t>
      </w:r>
      <w:r>
        <w:rPr>
          <w:rFonts w:ascii="宋体" w:hAnsi="宋体" w:cs="宋体" w:eastAsia="宋体" w:hint="default"/>
          <w:spacing w:val="-1"/>
          <w:sz w:val="21"/>
          <w:szCs w:val="21"/>
        </w:rPr>
        <w:t>自购买日至报告期末的收入、费用、利润纳入合并利润表；该子公司自购买日至报告期末的现金流量纳入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合并现金流量表。通过多次交易分步实现非同一控制下企业合并时，对于购买日之前持有的被购买方的股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权，本公司按照该股权在购买日的公允价值进行重新计量，公允价值与其账面价值的差额计入当期投资收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益。购买日之前持有的被购买方的股权涉及其他综合收益的，与其相关的其他综合收益转为购买日所属当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期投资收益。</w:t>
      </w:r>
    </w:p>
    <w:p>
      <w:pPr>
        <w:spacing w:line="340" w:lineRule="auto" w:before="27"/>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在报告期内，本公司处置子公司，则该子公司期初至处置日的收入、费用、利润纳入合并利润表；该</w:t>
      </w:r>
      <w:r>
        <w:rPr>
          <w:rFonts w:ascii="宋体" w:hAnsi="宋体" w:cs="宋体" w:eastAsia="宋体" w:hint="default"/>
          <w:sz w:val="21"/>
          <w:szCs w:val="21"/>
        </w:rPr>
        <w:t> </w:t>
      </w:r>
      <w:r>
        <w:rPr>
          <w:rFonts w:ascii="宋体" w:hAnsi="宋体" w:cs="宋体" w:eastAsia="宋体" w:hint="default"/>
          <w:spacing w:val="-1"/>
          <w:sz w:val="21"/>
          <w:szCs w:val="21"/>
        </w:rPr>
        <w:t>子公司期初至处置日的现金流量纳入合并现金流量表。因处置部分股权投资或其他原因丧失了对原有子公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司控制权时，对于处置后的剩余股权投资，本公司按照其在丧失控制权日的公允价值进行重新计量。处置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股权取得的对价与剩余股权公允价值之和，减去按原持股比例计算应享有原有子公司自购买日开始持续计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算的净资产的份额之间的差额，计入丧失控制权当期的投资收益。与原有子公司股权投资相关的其他综合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收益，在丧失控制权时转为当期投资收益。</w:t>
      </w:r>
    </w:p>
    <w:p>
      <w:pPr>
        <w:spacing w:line="340" w:lineRule="auto" w:before="27"/>
        <w:ind w:left="153" w:right="202" w:firstLine="420"/>
        <w:jc w:val="both"/>
        <w:rPr>
          <w:rFonts w:ascii="宋体" w:hAnsi="宋体" w:cs="宋体" w:eastAsia="宋体" w:hint="default"/>
          <w:sz w:val="21"/>
          <w:szCs w:val="21"/>
        </w:rPr>
      </w:pPr>
      <w:r>
        <w:rPr>
          <w:rFonts w:ascii="宋体" w:hAnsi="宋体" w:cs="宋体" w:eastAsia="宋体" w:hint="default"/>
          <w:spacing w:val="3"/>
          <w:sz w:val="21"/>
          <w:szCs w:val="21"/>
        </w:rPr>
        <w:t>本公司因购买少数股权新取得的长期股权投资与按照新增持股比例计算应享有子公司的可辨认净资</w:t>
      </w:r>
      <w:r>
        <w:rPr>
          <w:rFonts w:ascii="宋体" w:hAnsi="宋体" w:cs="宋体" w:eastAsia="宋体" w:hint="default"/>
          <w:sz w:val="21"/>
          <w:szCs w:val="21"/>
        </w:rPr>
        <w:t> </w:t>
      </w:r>
      <w:r>
        <w:rPr>
          <w:rFonts w:ascii="宋体" w:hAnsi="宋体" w:cs="宋体" w:eastAsia="宋体" w:hint="default"/>
          <w:spacing w:val="-1"/>
          <w:sz w:val="21"/>
          <w:szCs w:val="21"/>
        </w:rPr>
        <w:t>产份额之间的差额，以及在不丧失控制权的情况下因部分处置对子公司的股权投资而取得的处置价款与处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置长期股权投资相对应享有子公司净资产份额的差额，均调整合并资产负债表中的资本公积中的股本溢</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价，资本公积中的股本溢价不足冲减的，调整留存收益。</w:t>
      </w:r>
    </w:p>
    <w:p>
      <w:pPr>
        <w:spacing w:line="652" w:lineRule="exact" w:before="12"/>
        <w:ind w:left="573" w:right="9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spacing w:line="340" w:lineRule="auto" w:before="14"/>
        <w:ind w:left="153" w:right="188" w:firstLine="0"/>
        <w:jc w:val="both"/>
        <w:rPr>
          <w:rFonts w:ascii="宋体" w:hAnsi="宋体" w:cs="宋体" w:eastAsia="宋体" w:hint="default"/>
          <w:sz w:val="21"/>
          <w:szCs w:val="21"/>
        </w:rPr>
      </w:pPr>
      <w:r>
        <w:rPr>
          <w:rFonts w:ascii="宋体" w:hAnsi="宋体" w:cs="宋体" w:eastAsia="宋体" w:hint="default"/>
          <w:sz w:val="21"/>
          <w:szCs w:val="21"/>
        </w:rPr>
        <w:t>短（从购买日起三个月内到期）、流动性强、易于转换为已知现金、价值变动风险很小四个条件的投资， 确定为现金等价物。</w:t>
      </w:r>
    </w:p>
    <w:p>
      <w:pPr>
        <w:spacing w:line="240" w:lineRule="auto" w:before="1"/>
        <w:rPr>
          <w:rFonts w:ascii="宋体" w:hAnsi="宋体" w:cs="宋体" w:eastAsia="宋体" w:hint="default"/>
          <w:sz w:val="22"/>
          <w:szCs w:val="22"/>
        </w:rPr>
      </w:pPr>
    </w:p>
    <w:p>
      <w:pPr>
        <w:spacing w:before="0"/>
        <w:ind w:left="153"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3" w:right="95" w:firstLine="0"/>
        <w:jc w:val="left"/>
        <w:rPr>
          <w:rFonts w:ascii="宋体" w:hAnsi="宋体" w:cs="宋体" w:eastAsia="宋体" w:hint="default"/>
          <w:sz w:val="21"/>
          <w:szCs w:val="21"/>
        </w:rPr>
      </w:pPr>
      <w:r>
        <w:rPr>
          <w:rFonts w:ascii="宋体" w:hAnsi="宋体" w:cs="宋体" w:eastAsia="宋体" w:hint="default"/>
          <w:sz w:val="21"/>
          <w:szCs w:val="21"/>
        </w:rPr>
        <w:t>外币业务采用交易发生日的即期汇率作为折算汇率将外币金额折合成人民币记账。 </w:t>
      </w:r>
      <w:r>
        <w:rPr>
          <w:rFonts w:ascii="宋体" w:hAnsi="宋体" w:cs="宋体" w:eastAsia="宋体" w:hint="default"/>
          <w:spacing w:val="-1"/>
          <w:sz w:val="21"/>
          <w:szCs w:val="21"/>
        </w:rPr>
        <w:t>外币货币性项目余额按资产负债表日即期汇率折算，由此产生的汇兑差额，除属于与购建符合资本化</w:t>
      </w:r>
    </w:p>
    <w:p>
      <w:pPr>
        <w:spacing w:line="340" w:lineRule="auto" w:before="27"/>
        <w:ind w:left="153" w:right="211" w:firstLine="0"/>
        <w:jc w:val="both"/>
        <w:rPr>
          <w:rFonts w:ascii="宋体" w:hAnsi="宋体" w:cs="宋体" w:eastAsia="宋体" w:hint="default"/>
          <w:sz w:val="21"/>
          <w:szCs w:val="21"/>
        </w:rPr>
      </w:pPr>
      <w:r>
        <w:rPr>
          <w:rFonts w:ascii="宋体" w:hAnsi="宋体" w:cs="宋体" w:eastAsia="宋体" w:hint="default"/>
          <w:spacing w:val="-1"/>
          <w:sz w:val="21"/>
          <w:szCs w:val="21"/>
        </w:rPr>
        <w:t>条件的资产相关的外币专门借款产生的汇兑差额按照借款费用资本化的原则处理外，均计入当期损益。以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历史成本计量的外币非货币性项目，仍采用交易发生日的即期汇率折算，不改变其记账本位币金额。以公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允价值计量的外币非货币性项目，采用公允价值确定日的即期汇率折算，由此产生的汇兑差额计入当期损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益或资本公积。</w:t>
      </w:r>
    </w:p>
    <w:p>
      <w:pPr>
        <w:spacing w:line="240" w:lineRule="auto" w:before="1"/>
        <w:rPr>
          <w:rFonts w:ascii="宋体" w:hAnsi="宋体" w:cs="宋体" w:eastAsia="宋体" w:hint="default"/>
          <w:sz w:val="22"/>
          <w:szCs w:val="22"/>
        </w:rPr>
      </w:pPr>
    </w:p>
    <w:p>
      <w:pPr>
        <w:spacing w:line="537" w:lineRule="auto" w:before="0"/>
        <w:ind w:left="573" w:right="9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资产负债表中的资产和负债项目，采用资产负债表日的即期汇率折算；所有者权益项目除“实收资本”</w:t>
      </w:r>
    </w:p>
    <w:p>
      <w:pPr>
        <w:spacing w:after="0" w:line="537"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7"/>
          <w:szCs w:val="27"/>
        </w:rPr>
      </w:pPr>
    </w:p>
    <w:p>
      <w:pPr>
        <w:spacing w:line="340" w:lineRule="auto" w:before="35"/>
        <w:ind w:left="0" w:right="188" w:firstLine="0"/>
        <w:jc w:val="right"/>
        <w:rPr>
          <w:rFonts w:ascii="宋体" w:hAnsi="宋体" w:cs="宋体" w:eastAsia="宋体" w:hint="default"/>
          <w:sz w:val="21"/>
          <w:szCs w:val="21"/>
        </w:rPr>
      </w:pPr>
      <w:r>
        <w:rPr>
          <w:rFonts w:ascii="宋体" w:hAnsi="宋体" w:cs="宋体" w:eastAsia="宋体" w:hint="default"/>
          <w:spacing w:val="-1"/>
          <w:sz w:val="21"/>
          <w:szCs w:val="21"/>
        </w:rPr>
        <w:t>和“未分配利润”项目外，其他项目采用发生时的即期汇率折算。利润表中的收入和费用项目，采用年度</w:t>
      </w:r>
      <w:r>
        <w:rPr>
          <w:rFonts w:ascii="宋体" w:hAnsi="宋体" w:cs="宋体" w:eastAsia="宋体" w:hint="default"/>
          <w:sz w:val="21"/>
          <w:szCs w:val="21"/>
        </w:rPr>
        <w:t> 平均汇率折算。按照上述折算产生的外币财务报表折算差额，在资产负债表所有者权益项目下单独列示。 </w:t>
      </w:r>
      <w:r>
        <w:rPr>
          <w:rFonts w:ascii="宋体" w:hAnsi="宋体" w:cs="宋体" w:eastAsia="宋体" w:hint="default"/>
          <w:spacing w:val="-1"/>
          <w:sz w:val="21"/>
          <w:szCs w:val="21"/>
        </w:rPr>
        <w:t>处置境外经营时，将资产负债表中所有者权益项目下列示的、与该境外经营相关的外币财务报表折算</w:t>
      </w:r>
      <w:r>
        <w:rPr>
          <w:rFonts w:ascii="宋体" w:hAnsi="宋体" w:cs="宋体" w:eastAsia="宋体" w:hint="default"/>
          <w:sz w:val="21"/>
          <w:szCs w:val="21"/>
        </w:rPr>
        <w:t> </w:t>
      </w:r>
      <w:r>
        <w:rPr>
          <w:rFonts w:ascii="宋体" w:hAnsi="宋体" w:cs="宋体" w:eastAsia="宋体" w:hint="default"/>
          <w:spacing w:val="-1"/>
          <w:sz w:val="21"/>
          <w:szCs w:val="21"/>
        </w:rPr>
        <w:t>差额，自所有者权益项目转入处置当期损益；部分处置境外经营的，按处置的比例计算处置部分的外币财</w:t>
      </w:r>
    </w:p>
    <w:p>
      <w:pPr>
        <w:spacing w:before="27"/>
        <w:ind w:left="154" w:right="95" w:firstLine="0"/>
        <w:jc w:val="left"/>
        <w:rPr>
          <w:rFonts w:ascii="宋体" w:hAnsi="宋体" w:cs="宋体" w:eastAsia="宋体" w:hint="default"/>
          <w:sz w:val="21"/>
          <w:szCs w:val="21"/>
        </w:rPr>
      </w:pPr>
      <w:r>
        <w:rPr>
          <w:rFonts w:ascii="宋体" w:hAnsi="宋体" w:cs="宋体" w:eastAsia="宋体" w:hint="default"/>
          <w:sz w:val="21"/>
          <w:szCs w:val="21"/>
        </w:rPr>
        <w:t>务报表折算差额，转入处置当期损益。</w:t>
      </w:r>
    </w:p>
    <w:p>
      <w:pPr>
        <w:spacing w:line="240" w:lineRule="auto" w:before="10"/>
        <w:rPr>
          <w:rFonts w:ascii="宋体" w:hAnsi="宋体" w:cs="宋体" w:eastAsia="宋体" w:hint="default"/>
          <w:sz w:val="28"/>
          <w:szCs w:val="28"/>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3" w:right="95"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spacing w:line="652" w:lineRule="exact" w:before="62"/>
        <w:ind w:left="573"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管理层按照取得持有金融资产和承担金融负债的目的，将其划分为：以公允价值计量且其变动计入当</w:t>
      </w:r>
    </w:p>
    <w:p>
      <w:pPr>
        <w:spacing w:line="340" w:lineRule="auto" w:before="14"/>
        <w:ind w:left="153" w:right="211" w:firstLine="0"/>
        <w:jc w:val="both"/>
        <w:rPr>
          <w:rFonts w:ascii="宋体" w:hAnsi="宋体" w:cs="宋体" w:eastAsia="宋体" w:hint="default"/>
          <w:sz w:val="21"/>
          <w:szCs w:val="21"/>
        </w:rPr>
      </w:pPr>
      <w:r>
        <w:rPr>
          <w:rFonts w:ascii="宋体" w:hAnsi="宋体" w:cs="宋体" w:eastAsia="宋体" w:hint="default"/>
          <w:spacing w:val="-1"/>
          <w:sz w:val="21"/>
          <w:szCs w:val="21"/>
        </w:rPr>
        <w:t>期损益的金融资产或金融负债，包括交易性金融资产或金融负债（和直接指定为以公允价值计量且其变动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计入当期损益的金融资产或金融负债）；持有至到期投资；应收款项；可供出售金融资产；其他金融负债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等。</w:t>
      </w:r>
    </w:p>
    <w:p>
      <w:pPr>
        <w:spacing w:line="240" w:lineRule="auto" w:before="1"/>
        <w:rPr>
          <w:rFonts w:ascii="宋体" w:hAnsi="宋体" w:cs="宋体" w:eastAsia="宋体" w:hint="default"/>
          <w:sz w:val="22"/>
          <w:szCs w:val="22"/>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3" w:right="95" w:firstLine="0"/>
        <w:jc w:val="left"/>
        <w:rPr>
          <w:rFonts w:ascii="宋体" w:hAnsi="宋体" w:cs="宋体" w:eastAsia="宋体" w:hint="default"/>
          <w:sz w:val="21"/>
          <w:szCs w:val="21"/>
        </w:rPr>
      </w:pPr>
      <w:r>
        <w:rPr>
          <w:rFonts w:ascii="宋体" w:hAnsi="宋体" w:cs="宋体" w:eastAsia="宋体" w:hint="default"/>
          <w:sz w:val="21"/>
          <w:szCs w:val="21"/>
        </w:rPr>
        <w:t>①以公允价值计量且其变动计入当期损益的金融资产（金融负债） </w:t>
      </w:r>
      <w:r>
        <w:rPr>
          <w:rFonts w:ascii="宋体" w:hAnsi="宋体" w:cs="宋体" w:eastAsia="宋体" w:hint="default"/>
          <w:spacing w:val="-1"/>
          <w:sz w:val="21"/>
          <w:szCs w:val="21"/>
        </w:rPr>
        <w:t>取得时以公允价值（扣除已宣告但尚未发放的现金股利或已到付息期但尚未领取的债券利息）作为初</w:t>
      </w:r>
    </w:p>
    <w:p>
      <w:pPr>
        <w:spacing w:line="340" w:lineRule="auto" w:before="27"/>
        <w:ind w:left="573" w:right="95" w:hanging="420"/>
        <w:jc w:val="left"/>
        <w:rPr>
          <w:rFonts w:ascii="宋体" w:hAnsi="宋体" w:cs="宋体" w:eastAsia="宋体" w:hint="default"/>
          <w:sz w:val="21"/>
          <w:szCs w:val="21"/>
        </w:rPr>
      </w:pPr>
      <w:r>
        <w:rPr>
          <w:rFonts w:ascii="宋体" w:hAnsi="宋体" w:cs="宋体" w:eastAsia="宋体" w:hint="default"/>
          <w:sz w:val="21"/>
          <w:szCs w:val="21"/>
        </w:rPr>
        <w:t>始确认金额，相关的交易费用计入当期损益。 </w:t>
      </w:r>
      <w:r>
        <w:rPr>
          <w:rFonts w:ascii="宋体" w:hAnsi="宋体" w:cs="宋体" w:eastAsia="宋体" w:hint="default"/>
          <w:spacing w:val="-1"/>
          <w:sz w:val="21"/>
          <w:szCs w:val="21"/>
        </w:rPr>
        <w:t>持有期间将取得的利息或现金股利确认为投资收益，期末将公允价值变动计入当期损益。处置时，其</w:t>
      </w:r>
    </w:p>
    <w:p>
      <w:pPr>
        <w:spacing w:before="27"/>
        <w:ind w:left="153" w:right="95" w:firstLine="0"/>
        <w:jc w:val="left"/>
        <w:rPr>
          <w:rFonts w:ascii="宋体" w:hAnsi="宋体" w:cs="宋体" w:eastAsia="宋体" w:hint="default"/>
          <w:sz w:val="21"/>
          <w:szCs w:val="21"/>
        </w:rPr>
      </w:pPr>
      <w:r>
        <w:rPr>
          <w:rFonts w:ascii="宋体" w:hAnsi="宋体" w:cs="宋体" w:eastAsia="宋体" w:hint="default"/>
          <w:sz w:val="21"/>
          <w:szCs w:val="21"/>
        </w:rPr>
        <w:t>公允价值与初始入账金额之间的差额确认为投资收益，同时调整公允价值变动损益。</w:t>
      </w:r>
    </w:p>
    <w:p>
      <w:pPr>
        <w:spacing w:line="340" w:lineRule="auto" w:before="115"/>
        <w:ind w:left="573" w:right="96" w:firstLine="0"/>
        <w:jc w:val="left"/>
        <w:rPr>
          <w:rFonts w:ascii="宋体" w:hAnsi="宋体" w:cs="宋体" w:eastAsia="宋体" w:hint="default"/>
          <w:sz w:val="21"/>
          <w:szCs w:val="21"/>
        </w:rPr>
      </w:pPr>
      <w:r>
        <w:rPr>
          <w:rFonts w:ascii="宋体" w:hAnsi="宋体" w:cs="宋体" w:eastAsia="宋体" w:hint="default"/>
          <w:sz w:val="21"/>
          <w:szCs w:val="21"/>
        </w:rPr>
        <w:t>②持有至到期投资 </w:t>
      </w:r>
      <w:r>
        <w:rPr>
          <w:rFonts w:ascii="宋体" w:hAnsi="宋体" w:cs="宋体" w:eastAsia="宋体" w:hint="default"/>
          <w:spacing w:val="-3"/>
          <w:sz w:val="21"/>
          <w:szCs w:val="21"/>
        </w:rPr>
        <w:t>取得时按公允价值（扣除已到付息期但尚未领取的债券利息）和相关交易费用之和作为初始确认金额。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持有期间按照摊余成本和实际利率计算确认利息收入，计入投资收益。实际利率在取得时确定，在该</w:t>
      </w:r>
    </w:p>
    <w:p>
      <w:pPr>
        <w:spacing w:line="340" w:lineRule="auto" w:before="27"/>
        <w:ind w:left="573" w:right="3111" w:hanging="420"/>
        <w:jc w:val="left"/>
        <w:rPr>
          <w:rFonts w:ascii="宋体" w:hAnsi="宋体" w:cs="宋体" w:eastAsia="宋体" w:hint="default"/>
          <w:sz w:val="21"/>
          <w:szCs w:val="21"/>
        </w:rPr>
      </w:pPr>
      <w:r>
        <w:rPr>
          <w:rFonts w:ascii="宋体" w:hAnsi="宋体" w:cs="宋体" w:eastAsia="宋体" w:hint="default"/>
          <w:sz w:val="21"/>
          <w:szCs w:val="21"/>
        </w:rPr>
        <w:t>预期存续期间或适用的更短期间内保持不变。 处置时，将所取得价款与该投资账面价值之间的差额计入投资收益。</w:t>
      </w:r>
    </w:p>
    <w:p>
      <w:pPr>
        <w:spacing w:line="340" w:lineRule="auto" w:before="27"/>
        <w:ind w:left="573" w:right="95" w:firstLine="0"/>
        <w:jc w:val="left"/>
        <w:rPr>
          <w:rFonts w:ascii="宋体" w:hAnsi="宋体" w:cs="宋体" w:eastAsia="宋体" w:hint="default"/>
          <w:sz w:val="21"/>
          <w:szCs w:val="21"/>
        </w:rPr>
      </w:pPr>
      <w:r>
        <w:rPr>
          <w:rFonts w:ascii="宋体" w:hAnsi="宋体" w:cs="宋体" w:eastAsia="宋体" w:hint="default"/>
          <w:sz w:val="21"/>
          <w:szCs w:val="21"/>
        </w:rPr>
        <w:t>③应收款项 </w:t>
      </w:r>
      <w:r>
        <w:rPr>
          <w:rFonts w:ascii="宋体" w:hAnsi="宋体" w:cs="宋体" w:eastAsia="宋体" w:hint="default"/>
          <w:spacing w:val="-1"/>
          <w:sz w:val="21"/>
          <w:szCs w:val="21"/>
        </w:rPr>
        <w:t>公司对外销售商品或提供劳务形成的应收债权，以及公司持有的其他企业的不包括在活跃市场上有报</w:t>
      </w:r>
    </w:p>
    <w:p>
      <w:pPr>
        <w:spacing w:line="340" w:lineRule="auto" w:before="27"/>
        <w:ind w:left="153" w:right="95" w:firstLine="0"/>
        <w:jc w:val="left"/>
        <w:rPr>
          <w:rFonts w:ascii="宋体" w:hAnsi="宋体" w:cs="宋体" w:eastAsia="宋体" w:hint="default"/>
          <w:sz w:val="21"/>
          <w:szCs w:val="21"/>
        </w:rPr>
      </w:pPr>
      <w:r>
        <w:rPr>
          <w:rFonts w:ascii="宋体" w:hAnsi="宋体" w:cs="宋体" w:eastAsia="宋体" w:hint="default"/>
          <w:spacing w:val="-1"/>
          <w:sz w:val="21"/>
          <w:szCs w:val="21"/>
        </w:rPr>
        <w:t>价的债务工具的债权，包括应收账款、其他应收款等，以向购货方应收的合同或协议价款作为初始确认金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额；具有融资性质的，按其现值进行初始确认。</w:t>
      </w:r>
    </w:p>
    <w:p>
      <w:pPr>
        <w:spacing w:before="27"/>
        <w:ind w:left="573" w:right="95"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spacing w:line="340" w:lineRule="auto" w:before="115"/>
        <w:ind w:left="573" w:right="95" w:firstLine="0"/>
        <w:jc w:val="left"/>
        <w:rPr>
          <w:rFonts w:ascii="宋体" w:hAnsi="宋体" w:cs="宋体" w:eastAsia="宋体" w:hint="default"/>
          <w:sz w:val="21"/>
          <w:szCs w:val="21"/>
        </w:rPr>
      </w:pPr>
      <w:r>
        <w:rPr>
          <w:rFonts w:ascii="宋体" w:hAnsi="宋体" w:cs="宋体" w:eastAsia="宋体" w:hint="default"/>
          <w:sz w:val="21"/>
          <w:szCs w:val="21"/>
        </w:rPr>
        <w:t>④可供出售金融资产 </w:t>
      </w:r>
      <w:r>
        <w:rPr>
          <w:rFonts w:ascii="宋体" w:hAnsi="宋体" w:cs="宋体" w:eastAsia="宋体" w:hint="default"/>
          <w:spacing w:val="-1"/>
          <w:sz w:val="21"/>
          <w:szCs w:val="21"/>
        </w:rPr>
        <w:t>取得时按公允价值（扣除已宣告但尚未发放的现金股利或已到付息期但尚未领取的债券利息）和相关</w:t>
      </w:r>
    </w:p>
    <w:p>
      <w:pPr>
        <w:spacing w:line="340" w:lineRule="auto" w:before="27"/>
        <w:ind w:left="573" w:right="95" w:hanging="420"/>
        <w:jc w:val="left"/>
        <w:rPr>
          <w:rFonts w:ascii="宋体" w:hAnsi="宋体" w:cs="宋体" w:eastAsia="宋体" w:hint="default"/>
          <w:sz w:val="21"/>
          <w:szCs w:val="21"/>
        </w:rPr>
      </w:pPr>
      <w:r>
        <w:rPr>
          <w:rFonts w:ascii="宋体" w:hAnsi="宋体" w:cs="宋体" w:eastAsia="宋体" w:hint="default"/>
          <w:sz w:val="21"/>
          <w:szCs w:val="21"/>
        </w:rPr>
        <w:t>交易费用之和作为初始确认金额。 </w:t>
      </w:r>
      <w:r>
        <w:rPr>
          <w:rFonts w:ascii="宋体" w:hAnsi="宋体" w:cs="宋体" w:eastAsia="宋体" w:hint="default"/>
          <w:spacing w:val="-1"/>
          <w:sz w:val="21"/>
          <w:szCs w:val="21"/>
        </w:rPr>
        <w:t>持有期间将取得的利息或现金股利确认为投资收益。期末以公允价值计量且将公允价值变动计入资本</w:t>
      </w:r>
    </w:p>
    <w:p>
      <w:pPr>
        <w:spacing w:after="0" w:line="340" w:lineRule="auto"/>
        <w:jc w:val="left"/>
        <w:rPr>
          <w:rFonts w:ascii="宋体" w:hAnsi="宋体" w:cs="宋体" w:eastAsia="宋体" w:hint="default"/>
          <w:sz w:val="21"/>
          <w:szCs w:val="21"/>
        </w:rPr>
        <w:sectPr>
          <w:footerReference w:type="default" r:id="rId13"/>
          <w:pgSz w:w="11910" w:h="16840"/>
          <w:pgMar w:footer="982" w:header="747" w:top="1060" w:bottom="1180" w:left="980" w:right="920"/>
          <w:pgNumType w:start="79"/>
        </w:sectPr>
      </w:pPr>
    </w:p>
    <w:p>
      <w:pPr>
        <w:spacing w:line="240" w:lineRule="auto" w:before="9"/>
        <w:rPr>
          <w:rFonts w:ascii="宋体" w:hAnsi="宋体" w:cs="宋体" w:eastAsia="宋体" w:hint="default"/>
          <w:sz w:val="27"/>
          <w:szCs w:val="27"/>
        </w:rPr>
      </w:pPr>
    </w:p>
    <w:p>
      <w:pPr>
        <w:spacing w:line="340" w:lineRule="auto" w:before="35"/>
        <w:ind w:left="573" w:right="0" w:hanging="420"/>
        <w:jc w:val="left"/>
        <w:rPr>
          <w:rFonts w:ascii="宋体" w:hAnsi="宋体" w:cs="宋体" w:eastAsia="宋体" w:hint="default"/>
          <w:sz w:val="21"/>
          <w:szCs w:val="21"/>
        </w:rPr>
      </w:pPr>
      <w:r>
        <w:rPr>
          <w:rFonts w:ascii="宋体" w:hAnsi="宋体" w:cs="宋体" w:eastAsia="宋体" w:hint="default"/>
          <w:sz w:val="21"/>
          <w:szCs w:val="21"/>
        </w:rPr>
        <w:t>公积（其他资本公积）。 </w:t>
      </w:r>
      <w:r>
        <w:rPr>
          <w:rFonts w:ascii="宋体" w:hAnsi="宋体" w:cs="宋体" w:eastAsia="宋体" w:hint="default"/>
          <w:spacing w:val="-1"/>
          <w:sz w:val="21"/>
          <w:szCs w:val="21"/>
        </w:rPr>
        <w:t>处置时，将取得的价款与该金融资产账面价值之间的差额，计入投资损益；同时，将原直接计入所有</w:t>
      </w:r>
    </w:p>
    <w:p>
      <w:pPr>
        <w:spacing w:before="27"/>
        <w:ind w:left="153" w:right="0" w:firstLine="0"/>
        <w:jc w:val="left"/>
        <w:rPr>
          <w:rFonts w:ascii="宋体" w:hAnsi="宋体" w:cs="宋体" w:eastAsia="宋体" w:hint="default"/>
          <w:sz w:val="21"/>
          <w:szCs w:val="21"/>
        </w:rPr>
      </w:pPr>
      <w:r>
        <w:rPr>
          <w:rFonts w:ascii="宋体" w:hAnsi="宋体" w:cs="宋体" w:eastAsia="宋体" w:hint="default"/>
          <w:sz w:val="21"/>
          <w:szCs w:val="21"/>
        </w:rPr>
        <w:t>者权益的公允价值变动累计额对应处置部分的金额转出，计入投资损益。</w:t>
      </w:r>
    </w:p>
    <w:p>
      <w:pPr>
        <w:spacing w:line="340" w:lineRule="auto" w:before="115"/>
        <w:ind w:left="573" w:right="1581" w:firstLine="0"/>
        <w:jc w:val="left"/>
        <w:rPr>
          <w:rFonts w:ascii="宋体" w:hAnsi="宋体" w:cs="宋体" w:eastAsia="宋体" w:hint="default"/>
          <w:sz w:val="21"/>
          <w:szCs w:val="21"/>
        </w:rPr>
      </w:pPr>
      <w:r>
        <w:rPr>
          <w:rFonts w:ascii="宋体" w:hAnsi="宋体" w:cs="宋体" w:eastAsia="宋体" w:hint="default"/>
          <w:sz w:val="21"/>
          <w:szCs w:val="21"/>
        </w:rPr>
        <w:t>⑤其他金融负债 按其公允价值和相关交易费用之和作为初始确认金额。采用摊余成本进行后续计量。</w:t>
      </w:r>
    </w:p>
    <w:p>
      <w:pPr>
        <w:spacing w:line="652" w:lineRule="exact" w:before="12"/>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spacing w:line="340" w:lineRule="auto" w:before="14"/>
        <w:ind w:left="574" w:right="0" w:hanging="420"/>
        <w:jc w:val="left"/>
        <w:rPr>
          <w:rFonts w:ascii="宋体" w:hAnsi="宋体" w:cs="宋体" w:eastAsia="宋体" w:hint="default"/>
          <w:sz w:val="21"/>
          <w:szCs w:val="21"/>
        </w:rPr>
      </w:pPr>
      <w:r>
        <w:rPr>
          <w:rFonts w:ascii="宋体" w:hAnsi="宋体" w:cs="宋体" w:eastAsia="宋体" w:hint="default"/>
          <w:sz w:val="21"/>
          <w:szCs w:val="21"/>
        </w:rPr>
        <w:t>认该金融资产；如保留了金融资产所有权上几乎所有的风险和报酬的，则不终止确认该金融资产。 </w:t>
      </w:r>
      <w:r>
        <w:rPr>
          <w:rFonts w:ascii="宋体" w:hAnsi="宋体" w:cs="宋体" w:eastAsia="宋体" w:hint="default"/>
          <w:spacing w:val="-1"/>
          <w:sz w:val="21"/>
          <w:szCs w:val="21"/>
        </w:rPr>
        <w:t>在判断金融资产转移是否满足上述金融资产终止确认条件时，采用实质重于形式的原则。公司将金融</w:t>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资产转移区分为金融资产整体转移和部分转移。金融资产整体转移满足终止确认条件的，将下列两项金额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的差额计入当期损益：</w:t>
      </w:r>
    </w:p>
    <w:p>
      <w:pPr>
        <w:spacing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①所转移金融资产的账面价值；</w:t>
      </w:r>
    </w:p>
    <w:p>
      <w:pPr>
        <w:spacing w:line="340" w:lineRule="auto" w:before="115"/>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②因转移而收到的对价，与原直接计入所有者权益的公允价值变动累计额（涉及转移的金融资产为可</w:t>
      </w:r>
      <w:r>
        <w:rPr>
          <w:rFonts w:ascii="宋体" w:hAnsi="宋体" w:cs="宋体" w:eastAsia="宋体" w:hint="default"/>
          <w:sz w:val="21"/>
          <w:szCs w:val="21"/>
        </w:rPr>
        <w:t> 供出售金融资产的情形）之和。</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金融资产部分转移满足终止确认条件的，将所转移金融资产整体的账面价值，在终止确认部分和未终</w:t>
      </w:r>
      <w:r>
        <w:rPr>
          <w:rFonts w:ascii="宋体" w:hAnsi="宋体" w:cs="宋体" w:eastAsia="宋体" w:hint="default"/>
          <w:sz w:val="21"/>
          <w:szCs w:val="21"/>
        </w:rPr>
        <w:t> 止确认部分之间，按照各自的相对公允价值进行分摊，并将下列两项金额的差额计入当期损益：</w:t>
      </w:r>
    </w:p>
    <w:p>
      <w:pPr>
        <w:spacing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①终止确认部分的账面价值；</w:t>
      </w:r>
    </w:p>
    <w:p>
      <w:pPr>
        <w:spacing w:before="115"/>
        <w:ind w:left="574" w:right="0" w:firstLine="0"/>
        <w:jc w:val="left"/>
        <w:rPr>
          <w:rFonts w:ascii="宋体" w:hAnsi="宋体" w:cs="宋体" w:eastAsia="宋体" w:hint="default"/>
          <w:sz w:val="21"/>
          <w:szCs w:val="21"/>
        </w:rPr>
      </w:pPr>
      <w:r>
        <w:rPr>
          <w:rFonts w:ascii="宋体" w:hAnsi="宋体" w:cs="宋体" w:eastAsia="宋体" w:hint="default"/>
          <w:sz w:val="21"/>
          <w:szCs w:val="21"/>
        </w:rPr>
        <w:t>②终止确认部分的对价，与原直接计入所有者权益的公允价值变动累计额中对应终止确认部分的金额</w:t>
      </w:r>
    </w:p>
    <w:p>
      <w:pPr>
        <w:spacing w:line="340" w:lineRule="auto" w:before="115"/>
        <w:ind w:left="574" w:right="320" w:hanging="420"/>
        <w:jc w:val="left"/>
        <w:rPr>
          <w:rFonts w:ascii="宋体" w:hAnsi="宋体" w:cs="宋体" w:eastAsia="宋体" w:hint="default"/>
          <w:sz w:val="21"/>
          <w:szCs w:val="21"/>
        </w:rPr>
      </w:pPr>
      <w:r>
        <w:rPr>
          <w:rFonts w:ascii="宋体" w:hAnsi="宋体" w:cs="宋体" w:eastAsia="宋体" w:hint="default"/>
          <w:sz w:val="21"/>
          <w:szCs w:val="21"/>
        </w:rPr>
        <w:t>（涉及转移的金融资产为可供出售金融资产的情形）之和。 金融资产转移不满足终止确认条件的，继续确认该金融资产，所收到的对价确认为一项金融负债。</w:t>
      </w:r>
    </w:p>
    <w:p>
      <w:pPr>
        <w:spacing w:line="652" w:lineRule="exact" w:before="12"/>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spacing w:line="340" w:lineRule="auto" w:before="14"/>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签定协议，以承担新金融负债方式替换现存金融负债，且新金融负债与现存金融负债的合同条款实质上不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同的，则终止确认现存金融负债，并同时确认新金融负债。</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对现存金融负债全部或部分合同条款作出实质性修改的，则终止确认现存金融负债或其一部分，同时</w:t>
      </w:r>
      <w:r>
        <w:rPr>
          <w:rFonts w:ascii="宋体" w:hAnsi="宋体" w:cs="宋体" w:eastAsia="宋体" w:hint="default"/>
          <w:sz w:val="21"/>
          <w:szCs w:val="21"/>
        </w:rPr>
        <w:t> 将修改条款后的金融负债确认为一项新金融负债。</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金融负债全部或部分终止确认时，终止确认的金融负债账面价值与支付对价（包括转出的非现金资产</w:t>
      </w:r>
      <w:r>
        <w:rPr>
          <w:rFonts w:ascii="宋体" w:hAnsi="宋体" w:cs="宋体" w:eastAsia="宋体" w:hint="default"/>
          <w:sz w:val="21"/>
          <w:szCs w:val="21"/>
        </w:rPr>
        <w:t> 或承担的新金融负债）之间的差额，计入当期损益。</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本公司若回购部分金融负债的，在回购日按照继续确认部分与终止确认部分的相对公允价值，将该金</w:t>
      </w:r>
      <w:r>
        <w:rPr>
          <w:rFonts w:ascii="宋体" w:hAnsi="宋体" w:cs="宋体" w:eastAsia="宋体" w:hint="default"/>
          <w:sz w:val="21"/>
          <w:szCs w:val="21"/>
        </w:rPr>
        <w:t> </w:t>
      </w:r>
      <w:r>
        <w:rPr>
          <w:rFonts w:ascii="宋体" w:hAnsi="宋体" w:cs="宋体" w:eastAsia="宋体" w:hint="default"/>
          <w:spacing w:val="-1"/>
          <w:sz w:val="21"/>
          <w:szCs w:val="21"/>
        </w:rPr>
        <w:t>融负债整体的账面价值进行分配。分配给终止确认部分的账面价值与支付的对价（包括转出的非现金资产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或承担的新金融负债）之间的差额，计入当期损益。</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06" w:lineRule="auto" w:before="35"/>
        <w:ind w:left="574" w:right="179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spacing w:before="105"/>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除以公允价值计量且其变动计入当期损益的金融资产外，本公司于资产负债表日对金融资产的账面价</w:t>
      </w:r>
      <w:r>
        <w:rPr>
          <w:rFonts w:ascii="宋体" w:hAnsi="宋体" w:cs="宋体" w:eastAsia="宋体" w:hint="default"/>
          <w:sz w:val="21"/>
          <w:szCs w:val="21"/>
        </w:rPr>
        <w:t> 值进行检查，如果有客观证据表明某项金融资产发生减值的，计提减值准备。</w:t>
      </w:r>
    </w:p>
    <w:p>
      <w:pPr>
        <w:spacing w:line="340" w:lineRule="auto"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①可供出售金融资产的减值准备： </w:t>
      </w:r>
      <w:r>
        <w:rPr>
          <w:rFonts w:ascii="宋体" w:hAnsi="宋体" w:cs="宋体" w:eastAsia="宋体" w:hint="default"/>
          <w:spacing w:val="-1"/>
          <w:sz w:val="21"/>
          <w:szCs w:val="21"/>
        </w:rPr>
        <w:t>期末如果可供出售金融资产的公允价值发生较大幅度下降，或在综合考虑各种相关因素后，预期这种</w:t>
      </w:r>
    </w:p>
    <w:p>
      <w:pPr>
        <w:spacing w:line="340" w:lineRule="auto" w:before="27"/>
        <w:ind w:left="154" w:right="149" w:firstLine="0"/>
        <w:jc w:val="both"/>
        <w:rPr>
          <w:rFonts w:ascii="宋体" w:hAnsi="宋体" w:cs="宋体" w:eastAsia="宋体" w:hint="default"/>
          <w:sz w:val="21"/>
          <w:szCs w:val="21"/>
        </w:rPr>
      </w:pPr>
      <w:r>
        <w:rPr>
          <w:rFonts w:ascii="宋体" w:hAnsi="宋体" w:cs="宋体" w:eastAsia="宋体" w:hint="default"/>
          <w:spacing w:val="-1"/>
          <w:sz w:val="21"/>
          <w:szCs w:val="21"/>
        </w:rPr>
        <w:t>下降趋势属于非暂时性的，就认定其已发生减值，将原直接计入所有者权益的公允价值下降形成的累计损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失一并转出，确认减值损失。对于已确认减值损失的可供出售债务工具，在随后的会计期间公允价值已上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升且客观上与确认原减值损失确认后发生的事项有关的，原确认的减值损失予以转回，计入当期损益。可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供出售权益工具投资发生的减值损失，不得通过损益转回。</w:t>
      </w:r>
    </w:p>
    <w:p>
      <w:pPr>
        <w:spacing w:line="340" w:lineRule="auto" w:before="27"/>
        <w:ind w:left="574" w:right="2840" w:firstLine="0"/>
        <w:jc w:val="left"/>
        <w:rPr>
          <w:rFonts w:ascii="宋体" w:hAnsi="宋体" w:cs="宋体" w:eastAsia="宋体" w:hint="default"/>
          <w:sz w:val="21"/>
          <w:szCs w:val="21"/>
        </w:rPr>
      </w:pPr>
      <w:r>
        <w:rPr>
          <w:rFonts w:ascii="宋体" w:hAnsi="宋体" w:cs="宋体" w:eastAsia="宋体" w:hint="default"/>
          <w:sz w:val="21"/>
          <w:szCs w:val="21"/>
        </w:rPr>
        <w:t>②持有至到期投资的减值准备： 持有至到期投资减值损失的计量比照应收款项减值损失计量方法处理。</w:t>
      </w:r>
    </w:p>
    <w:p>
      <w:pPr>
        <w:spacing w:line="240" w:lineRule="auto" w:before="1"/>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60"/>
        <w:gridCol w:w="5608"/>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1027"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单独进行减值测试，如有客观证据表明其已发生减值，按预计未来现金</w:t>
            </w:r>
            <w:r>
              <w:rPr>
                <w:rFonts w:ascii="宋体" w:hAnsi="宋体" w:cs="宋体" w:eastAsia="宋体" w:hint="default"/>
                <w:sz w:val="18"/>
                <w:szCs w:val="18"/>
              </w:rPr>
              <w:t> </w:t>
            </w:r>
            <w:r>
              <w:rPr>
                <w:rFonts w:ascii="宋体" w:hAnsi="宋体" w:cs="宋体" w:eastAsia="宋体" w:hint="default"/>
                <w:spacing w:val="-1"/>
                <w:sz w:val="18"/>
                <w:szCs w:val="18"/>
              </w:rPr>
              <w:t>流量现值低于其账面价值的差额计提坏账准备，计入当期损益。单独测</w:t>
            </w:r>
            <w:r>
              <w:rPr>
                <w:rFonts w:ascii="宋体" w:hAnsi="宋体" w:cs="宋体" w:eastAsia="宋体" w:hint="default"/>
                <w:sz w:val="18"/>
                <w:szCs w:val="18"/>
              </w:rPr>
              <w:t> 试未发生减值的应收款项，将其归入相应组合计提坏账准备。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40"/>
        <w:gridCol w:w="1620"/>
        <w:gridCol w:w="5608"/>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按组合计提坏账准 备的计提方法</w:t>
            </w:r>
          </w:p>
        </w:tc>
        <w:tc>
          <w:tcPr>
            <w:tcW w:w="5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5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不属于单项计提坏账准备，且不属于下列组合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的应收款项。</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c>
          <w:tcPr>
            <w:tcW w:w="5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合并范围内的关联方。</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：应收补贴款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c>
          <w:tcPr>
            <w:tcW w:w="5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3252"/>
        <w:gridCol w:w="3268"/>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48"/>
        <w:gridCol w:w="3252"/>
        <w:gridCol w:w="3268"/>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0"/>
        <w:gridCol w:w="7048"/>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如有客观证据表明年末单项金额不重大的应收款项发生了减值的，根据其未来现金流量现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值低于其账面价值的差额，确认减值损失，计提坏账准备。</w:t>
            </w:r>
          </w:p>
        </w:tc>
      </w:tr>
      <w:tr>
        <w:trPr>
          <w:trHeight w:val="358" w:hRule="exact"/>
        </w:trPr>
        <w:tc>
          <w:tcPr>
            <w:tcW w:w="252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单独测试未发生减值的应收账款和其他应收款，以账龄为信用风险特征根据账龄分析法计</w:t>
            </w:r>
          </w:p>
        </w:tc>
      </w:tr>
      <w:tr>
        <w:trPr>
          <w:trHeight w:val="332" w:hRule="exact"/>
        </w:trPr>
        <w:tc>
          <w:tcPr>
            <w:tcW w:w="2520" w:type="dxa"/>
            <w:tcBorders>
              <w:top w:val="nil" w:sz="6" w:space="0" w:color="auto"/>
              <w:left w:val="single" w:sz="4" w:space="0" w:color="000000"/>
              <w:bottom w:val="nil" w:sz="6" w:space="0" w:color="auto"/>
              <w:right w:val="single" w:sz="4" w:space="0" w:color="000000"/>
            </w:tcBorders>
            <w:shd w:val="clear" w:color="auto" w:fill="D3D3D3"/>
          </w:tcPr>
          <w:p>
            <w:pPr/>
          </w:p>
        </w:tc>
        <w:tc>
          <w:tcPr>
            <w:tcW w:w="7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提坏账准备。</w:t>
            </w:r>
          </w:p>
        </w:tc>
      </w:tr>
      <w:tr>
        <w:trPr>
          <w:trHeight w:val="399" w:hRule="exact"/>
        </w:trPr>
        <w:tc>
          <w:tcPr>
            <w:tcW w:w="25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1"/>
                <w:sz w:val="18"/>
                <w:szCs w:val="18"/>
              </w:rPr>
              <w:t>其他说明：年末对于不适用按帐龄段划分的类似信用风险特征组合的应收票据、预付账款</w:t>
            </w:r>
          </w:p>
        </w:tc>
      </w:tr>
      <w:tr>
        <w:trPr>
          <w:trHeight w:val="244" w:hRule="exact"/>
        </w:trPr>
        <w:tc>
          <w:tcPr>
            <w:tcW w:w="2520" w:type="dxa"/>
            <w:tcBorders>
              <w:top w:val="nil" w:sz="6" w:space="0" w:color="auto"/>
              <w:left w:val="single" w:sz="4" w:space="0" w:color="000000"/>
              <w:bottom w:val="nil" w:sz="6" w:space="0" w:color="auto"/>
              <w:right w:val="single" w:sz="4" w:space="0" w:color="000000"/>
            </w:tcBorders>
            <w:shd w:val="clear" w:color="auto" w:fill="D3D3D3"/>
          </w:tcPr>
          <w:p>
            <w:pPr/>
          </w:p>
        </w:tc>
        <w:tc>
          <w:tcPr>
            <w:tcW w:w="7048"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和长期应收款均进行单项减值测试。如有客观证据表明其发生了减值的，根据其未来现金</w:t>
            </w:r>
          </w:p>
        </w:tc>
      </w:tr>
      <w:tr>
        <w:trPr>
          <w:trHeight w:val="313" w:hRule="exact"/>
        </w:trPr>
        <w:tc>
          <w:tcPr>
            <w:tcW w:w="2520" w:type="dxa"/>
            <w:tcBorders>
              <w:top w:val="nil" w:sz="6" w:space="0" w:color="auto"/>
              <w:left w:val="single" w:sz="4" w:space="0" w:color="000000"/>
              <w:bottom w:val="nil" w:sz="6" w:space="0" w:color="auto"/>
              <w:right w:val="single" w:sz="4" w:space="0" w:color="000000"/>
            </w:tcBorders>
            <w:shd w:val="clear" w:color="auto" w:fill="D3D3D3"/>
          </w:tcPr>
          <w:p>
            <w:pPr/>
          </w:p>
        </w:tc>
        <w:tc>
          <w:tcPr>
            <w:tcW w:w="7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流量现值低于其账面价值的差额，确认减值损失，计提坏账准备。如经减值测试未发现减</w:t>
            </w:r>
          </w:p>
        </w:tc>
      </w:tr>
      <w:tr>
        <w:trPr>
          <w:trHeight w:val="357" w:hRule="exact"/>
        </w:trPr>
        <w:tc>
          <w:tcPr>
            <w:tcW w:w="252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值的，则不计提坏账准备。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06" w:lineRule="auto" w:before="0"/>
        <w:ind w:left="574" w:right="326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存货分类为：原材料、周转材料、库存商品、在产品、产成品等。</w:t>
      </w:r>
    </w:p>
    <w:p>
      <w:pPr>
        <w:spacing w:line="506" w:lineRule="auto" w:before="104"/>
        <w:ind w:left="574" w:right="641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pStyle w:val="Heading3"/>
        <w:spacing w:line="240" w:lineRule="auto" w:before="105"/>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27"/>
          <w:szCs w:val="27"/>
        </w:rPr>
      </w:pPr>
    </w:p>
    <w:p>
      <w:pPr>
        <w:spacing w:line="340"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期末对存货进行全面清查后，按存货的成本与可变现净值孰低提取或调整存货跌价准备。 </w:t>
      </w:r>
      <w:r>
        <w:rPr>
          <w:rFonts w:ascii="宋体" w:hAnsi="宋体" w:cs="宋体" w:eastAsia="宋体" w:hint="default"/>
          <w:spacing w:val="-1"/>
          <w:sz w:val="21"/>
          <w:szCs w:val="21"/>
        </w:rPr>
        <w:t>产成品、库存商品和用于出售的材料等直接用于出售的商品存货，在正常生产经营过程中，以该存货</w:t>
      </w:r>
    </w:p>
    <w:p>
      <w:pPr>
        <w:spacing w:line="340" w:lineRule="auto" w:before="27"/>
        <w:ind w:left="154" w:right="149" w:firstLine="0"/>
        <w:jc w:val="both"/>
        <w:rPr>
          <w:rFonts w:ascii="宋体" w:hAnsi="宋体" w:cs="宋体" w:eastAsia="宋体" w:hint="default"/>
          <w:sz w:val="21"/>
          <w:szCs w:val="21"/>
        </w:rPr>
      </w:pPr>
      <w:r>
        <w:rPr>
          <w:rFonts w:ascii="宋体" w:hAnsi="宋体" w:cs="宋体" w:eastAsia="宋体" w:hint="default"/>
          <w:spacing w:val="-1"/>
          <w:sz w:val="21"/>
          <w:szCs w:val="21"/>
        </w:rPr>
        <w:t>的估计售价减去估计的销售费用和相关税费后的金额，确定其可变现净值；需要经过加工的材料存货，在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正常生产经营过程中，以所生产的产成品的估计售价减去至完工时估计将要发生的成本、估计的销售费用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和相关税费后的金额，确定其可变现净值；为执行销售合同或者劳务合同而持有的存货，其可变现净值以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合同价格为基础计算，若持有存货的数量多于销售合同订购数量的，超出部分的存货的可变现净值以一般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销售价格为基础计算。</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期末按照单个存货项目计提存货跌价准备；但对于数量繁多、单价较低的存货，按照存货类别计提存</w:t>
      </w:r>
      <w:r>
        <w:rPr>
          <w:rFonts w:ascii="宋体" w:hAnsi="宋体" w:cs="宋体" w:eastAsia="宋体" w:hint="default"/>
          <w:sz w:val="21"/>
          <w:szCs w:val="21"/>
        </w:rPr>
        <w:t> </w:t>
      </w:r>
      <w:r>
        <w:rPr>
          <w:rFonts w:ascii="宋体" w:hAnsi="宋体" w:cs="宋体" w:eastAsia="宋体" w:hint="default"/>
          <w:spacing w:val="-1"/>
          <w:sz w:val="21"/>
          <w:szCs w:val="21"/>
        </w:rPr>
        <w:t>货跌价准备；与在同一地区生产和销售的产品系列相关、具有相同或类似最终用途或目的，且难以与其他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项目分开计量的存货，则合并计提存货跌价准备。</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以前减记存货价值的影响因素已经消失的，减记的金额予以恢复，并在原已计提的存货跌价准备金额</w:t>
      </w:r>
      <w:r>
        <w:rPr>
          <w:rFonts w:ascii="宋体" w:hAnsi="宋体" w:cs="宋体" w:eastAsia="宋体" w:hint="default"/>
          <w:sz w:val="21"/>
          <w:szCs w:val="21"/>
        </w:rPr>
        <w:t> 内转回，转回的金额计入当期损益。</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06" w:lineRule="auto" w:before="35"/>
        <w:ind w:left="574" w:right="773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pStyle w:val="Heading3"/>
        <w:spacing w:line="240" w:lineRule="auto" w:before="105"/>
        <w:ind w:right="95"/>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3"/>
        <w:rPr>
          <w:rFonts w:ascii="宋体" w:hAnsi="宋体" w:cs="宋体" w:eastAsia="宋体" w:hint="default"/>
          <w:b/>
          <w:bCs/>
          <w:sz w:val="22"/>
          <w:szCs w:val="22"/>
        </w:rPr>
      </w:pPr>
    </w:p>
    <w:p>
      <w:pPr>
        <w:spacing w:before="0"/>
        <w:ind w:left="573" w:right="95" w:firstLine="0"/>
        <w:jc w:val="left"/>
        <w:rPr>
          <w:rFonts w:ascii="宋体" w:hAnsi="宋体" w:cs="宋体" w:eastAsia="宋体" w:hint="default"/>
          <w:sz w:val="21"/>
          <w:szCs w:val="21"/>
        </w:rPr>
      </w:pPr>
      <w:r>
        <w:rPr>
          <w:rFonts w:ascii="宋体" w:hAnsi="宋体" w:cs="宋体" w:eastAsia="宋体" w:hint="default"/>
          <w:sz w:val="21"/>
          <w:szCs w:val="21"/>
        </w:rPr>
        <w:t>①低值易耗品采用一次摊销法；</w:t>
      </w:r>
    </w:p>
    <w:p>
      <w:pPr>
        <w:spacing w:before="66"/>
        <w:ind w:left="573" w:right="95" w:firstLine="0"/>
        <w:jc w:val="left"/>
        <w:rPr>
          <w:rFonts w:ascii="宋体" w:hAnsi="宋体" w:cs="宋体" w:eastAsia="宋体" w:hint="default"/>
          <w:sz w:val="21"/>
          <w:szCs w:val="21"/>
        </w:rPr>
      </w:pPr>
      <w:r>
        <w:rPr>
          <w:rFonts w:ascii="宋体" w:hAnsi="宋体" w:cs="宋体" w:eastAsia="宋体" w:hint="default"/>
          <w:sz w:val="21"/>
          <w:szCs w:val="21"/>
        </w:rPr>
        <w:t>②包装物采用一次摊销法。</w:t>
      </w:r>
    </w:p>
    <w:p>
      <w:pPr>
        <w:spacing w:line="240" w:lineRule="auto" w:before="8"/>
        <w:rPr>
          <w:rFonts w:ascii="宋体" w:hAnsi="宋体" w:cs="宋体" w:eastAsia="宋体" w:hint="default"/>
          <w:sz w:val="29"/>
          <w:szCs w:val="29"/>
        </w:rPr>
      </w:pPr>
    </w:p>
    <w:p>
      <w:pPr>
        <w:spacing w:before="0"/>
        <w:ind w:left="153"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line="374" w:lineRule="auto" w:before="0"/>
        <w:ind w:left="573" w:right="95"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 </w:t>
      </w:r>
      <w:r>
        <w:rPr>
          <w:rFonts w:ascii="宋体" w:hAnsi="宋体" w:cs="宋体" w:eastAsia="宋体" w:hint="default"/>
          <w:spacing w:val="-1"/>
          <w:sz w:val="21"/>
          <w:szCs w:val="21"/>
        </w:rPr>
        <w:t>同一控制下的企业合并：公司以支付现金、转让非现金资产或承担债务方式以及以发行权益性证券作</w:t>
      </w:r>
    </w:p>
    <w:p>
      <w:pPr>
        <w:spacing w:line="340" w:lineRule="auto" w:before="0"/>
        <w:ind w:left="153" w:right="102" w:firstLine="0"/>
        <w:jc w:val="left"/>
        <w:rPr>
          <w:rFonts w:ascii="宋体" w:hAnsi="宋体" w:cs="宋体" w:eastAsia="宋体" w:hint="default"/>
          <w:sz w:val="21"/>
          <w:szCs w:val="21"/>
        </w:rPr>
      </w:pPr>
      <w:r>
        <w:rPr>
          <w:rFonts w:ascii="宋体" w:hAnsi="宋体" w:cs="宋体" w:eastAsia="宋体" w:hint="default"/>
          <w:sz w:val="21"/>
          <w:szCs w:val="21"/>
        </w:rPr>
        <w:t>为合并对价的，在合并日按照取得被合并方所有者权益账面价值的份额作为长期股权投资的初始投资成 本。长期股权投资初始投资成本与支付合并对价之间的差额，调整资本公积中的股本溢价；资本公积中的 </w:t>
      </w:r>
      <w:r>
        <w:rPr>
          <w:rFonts w:ascii="宋体" w:hAnsi="宋体" w:cs="宋体" w:eastAsia="宋体" w:hint="default"/>
          <w:spacing w:val="-3"/>
          <w:sz w:val="21"/>
          <w:szCs w:val="21"/>
        </w:rPr>
        <w:t>股本溢价不足冲减的，调整留存收益。合并发生的各项直接相关费用，包括为进行合并而支付的审计费用、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评估费用、法律服务费用等，于发生时计入当期损益。</w:t>
      </w:r>
    </w:p>
    <w:p>
      <w:pPr>
        <w:spacing w:line="340" w:lineRule="auto" w:before="65"/>
        <w:ind w:left="153" w:right="211" w:firstLine="420"/>
        <w:jc w:val="both"/>
        <w:rPr>
          <w:rFonts w:ascii="宋体" w:hAnsi="宋体" w:cs="宋体" w:eastAsia="宋体" w:hint="default"/>
          <w:sz w:val="21"/>
          <w:szCs w:val="21"/>
        </w:rPr>
      </w:pPr>
      <w:r>
        <w:rPr>
          <w:rFonts w:ascii="宋体" w:hAnsi="宋体" w:cs="宋体" w:eastAsia="宋体" w:hint="default"/>
          <w:spacing w:val="-1"/>
          <w:sz w:val="21"/>
          <w:szCs w:val="21"/>
        </w:rPr>
        <w:t>非同一控制下的企业合并：公司按照购买日确定的合并成本作为长期股权投资的初始投资成本。合并</w:t>
      </w:r>
      <w:r>
        <w:rPr>
          <w:rFonts w:ascii="宋体" w:hAnsi="宋体" w:cs="宋体" w:eastAsia="宋体" w:hint="default"/>
          <w:sz w:val="21"/>
          <w:szCs w:val="21"/>
        </w:rPr>
        <w:t> </w:t>
      </w:r>
      <w:r>
        <w:rPr>
          <w:rFonts w:ascii="宋体" w:hAnsi="宋体" w:cs="宋体" w:eastAsia="宋体" w:hint="default"/>
          <w:spacing w:val="-1"/>
          <w:sz w:val="21"/>
          <w:szCs w:val="21"/>
        </w:rPr>
        <w:t>成本为购买日购买方为取得对被购买方的控制权而付出的资产、发生或承担的负债以及发行的权益性证券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的公允价值。购买方为企业合并而发生的审计、法律服务、评估咨询等中介费用以及其他相关管理费用于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发生时计入当期损益；购买方作为合并对价发行的权益性证券或债务性证券的交易费用，计入权益性证券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或债务性证券的初始确认金额。通过多次交易分步实现的非同一控制下企业合并，以购买日之前所持被购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买方的股权投资的账面价值与购买日新增投资成本之和，作为该项投资的初始投资成本。本公司将合并协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议约定的或有对价作为企业合并转移对价的一部分，按照其在购买日的公允价值计入企业合并成本。</w:t>
      </w:r>
    </w:p>
    <w:p>
      <w:pPr>
        <w:spacing w:line="374" w:lineRule="auto" w:before="67"/>
        <w:ind w:left="574" w:right="95" w:firstLine="0"/>
        <w:jc w:val="left"/>
        <w:rPr>
          <w:rFonts w:ascii="宋体" w:hAnsi="宋体" w:cs="宋体" w:eastAsia="宋体" w:hint="default"/>
          <w:sz w:val="21"/>
          <w:szCs w:val="21"/>
        </w:rPr>
      </w:pPr>
      <w:r>
        <w:rPr>
          <w:rFonts w:ascii="宋体" w:hAnsi="宋体" w:cs="宋体" w:eastAsia="宋体" w:hint="default"/>
          <w:sz w:val="21"/>
          <w:szCs w:val="21"/>
        </w:rPr>
        <w:t>②其他方式取得的长期股权投资 以支付现金方式取得的长期股权投资，按照实际支付的购买价款作为初始投资成本。 以发行权益性证券取得的长期股权投资，按照发行权益性证券的公允价值作为初始投资成本。 </w:t>
      </w:r>
      <w:r>
        <w:rPr>
          <w:rFonts w:ascii="宋体" w:hAnsi="宋体" w:cs="宋体" w:eastAsia="宋体" w:hint="default"/>
          <w:spacing w:val="-1"/>
          <w:sz w:val="21"/>
          <w:szCs w:val="21"/>
        </w:rPr>
        <w:t>投资者投入的长期股权投资，按照投资合同或协议约定的价值（扣除已宣告但尚未发放的现金股利或</w:t>
      </w:r>
    </w:p>
    <w:p>
      <w:pPr>
        <w:spacing w:line="374" w:lineRule="auto" w:before="0"/>
        <w:ind w:left="574" w:right="95" w:hanging="420"/>
        <w:jc w:val="left"/>
        <w:rPr>
          <w:rFonts w:ascii="宋体" w:hAnsi="宋体" w:cs="宋体" w:eastAsia="宋体" w:hint="default"/>
          <w:sz w:val="21"/>
          <w:szCs w:val="21"/>
        </w:rPr>
      </w:pPr>
      <w:r>
        <w:rPr>
          <w:rFonts w:ascii="宋体" w:hAnsi="宋体" w:cs="宋体" w:eastAsia="宋体" w:hint="default"/>
          <w:sz w:val="21"/>
          <w:szCs w:val="21"/>
        </w:rPr>
        <w:t>利润）作为初始投资成本，但合同或协议约定价值不公允的除外。 </w:t>
      </w:r>
      <w:r>
        <w:rPr>
          <w:rFonts w:ascii="宋体" w:hAnsi="宋体" w:cs="宋体" w:eastAsia="宋体" w:hint="default"/>
          <w:spacing w:val="-1"/>
          <w:sz w:val="21"/>
          <w:szCs w:val="21"/>
        </w:rPr>
        <w:t>在非货币性资产交换具备商业实质和换入资产或换出资产的公允价值能够可靠计量的前提下，非货币</w:t>
      </w:r>
    </w:p>
    <w:p>
      <w:pPr>
        <w:spacing w:line="340" w:lineRule="auto" w:before="0"/>
        <w:ind w:left="154" w:right="211" w:firstLine="0"/>
        <w:jc w:val="both"/>
        <w:rPr>
          <w:rFonts w:ascii="宋体" w:hAnsi="宋体" w:cs="宋体" w:eastAsia="宋体" w:hint="default"/>
          <w:sz w:val="21"/>
          <w:szCs w:val="21"/>
        </w:rPr>
      </w:pPr>
      <w:r>
        <w:rPr>
          <w:rFonts w:ascii="宋体" w:hAnsi="宋体" w:cs="宋体" w:eastAsia="宋体" w:hint="default"/>
          <w:spacing w:val="-1"/>
          <w:sz w:val="21"/>
          <w:szCs w:val="21"/>
        </w:rPr>
        <w:t>性资产交换换入的长期股权投资以换出资产的公允价值为基础确定其初始投资成本，除非有确凿证据表明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换入资产的公允价值更加可靠；不满足上述前提的非货币性资产交换，以换出资产的账面价值和应支付的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相关税费作为换入长期股权投资的初始投资成本。</w:t>
      </w:r>
    </w:p>
    <w:p>
      <w:pPr>
        <w:spacing w:before="66"/>
        <w:ind w:left="574" w:right="95"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after="0"/>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10"/>
        <w:rPr>
          <w:rFonts w:ascii="宋体" w:hAnsi="宋体" w:cs="宋体" w:eastAsia="宋体" w:hint="default"/>
          <w:b/>
          <w:bCs/>
          <w:sz w:val="27"/>
          <w:szCs w:val="27"/>
        </w:rPr>
      </w:pPr>
    </w:p>
    <w:p>
      <w:pPr>
        <w:spacing w:line="374"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①后续计量 公司对子公司的长期股权投资，采用成本法核算，编制合并财务报表时按照权益法进行调整。 </w:t>
      </w:r>
      <w:r>
        <w:rPr>
          <w:rFonts w:ascii="宋体" w:hAnsi="宋体" w:cs="宋体" w:eastAsia="宋体" w:hint="default"/>
          <w:spacing w:val="-1"/>
          <w:sz w:val="21"/>
          <w:szCs w:val="21"/>
        </w:rPr>
        <w:t>对被投资单位不具有共同控制或重大影响，并且在活跃市场中没有报价、公允价值不能可靠计量的长</w:t>
      </w:r>
    </w:p>
    <w:p>
      <w:pPr>
        <w:spacing w:line="374" w:lineRule="auto" w:before="0"/>
        <w:ind w:left="574" w:right="0" w:hanging="420"/>
        <w:jc w:val="left"/>
        <w:rPr>
          <w:rFonts w:ascii="宋体" w:hAnsi="宋体" w:cs="宋体" w:eastAsia="宋体" w:hint="default"/>
          <w:sz w:val="21"/>
          <w:szCs w:val="21"/>
        </w:rPr>
      </w:pPr>
      <w:r>
        <w:rPr>
          <w:rFonts w:ascii="宋体" w:hAnsi="宋体" w:cs="宋体" w:eastAsia="宋体" w:hint="default"/>
          <w:sz w:val="21"/>
          <w:szCs w:val="21"/>
        </w:rPr>
        <w:t>期股权投资，采用成本法核算。 </w:t>
      </w:r>
      <w:r>
        <w:rPr>
          <w:rFonts w:ascii="宋体" w:hAnsi="宋体" w:cs="宋体" w:eastAsia="宋体" w:hint="default"/>
          <w:spacing w:val="-1"/>
          <w:sz w:val="21"/>
          <w:szCs w:val="21"/>
        </w:rPr>
        <w:t>对被投资单位具有共同控制或重大影响的长期股权投资，采用权益法核算。初始投资成本大于投资时</w:t>
      </w:r>
    </w:p>
    <w:p>
      <w:pPr>
        <w:spacing w:line="340" w:lineRule="auto" w:before="0"/>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应享有被投资单位可辨认净资产公允价值份额的差额，不调整长期股权投资的初始投资成本；初始投资成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本小于投资时应享有被投资单位可辨认净资产公允价值份额的差额，计入当期损益。</w:t>
      </w:r>
    </w:p>
    <w:p>
      <w:pPr>
        <w:spacing w:line="340" w:lineRule="auto" w:before="65"/>
        <w:ind w:left="154" w:right="150" w:firstLine="420"/>
        <w:jc w:val="both"/>
        <w:rPr>
          <w:rFonts w:ascii="宋体" w:hAnsi="宋体" w:cs="宋体" w:eastAsia="宋体" w:hint="default"/>
          <w:sz w:val="21"/>
          <w:szCs w:val="21"/>
        </w:rPr>
      </w:pPr>
      <w:r>
        <w:rPr>
          <w:rFonts w:ascii="宋体" w:hAnsi="宋体" w:cs="宋体" w:eastAsia="宋体" w:hint="default"/>
          <w:spacing w:val="-1"/>
          <w:sz w:val="21"/>
          <w:szCs w:val="21"/>
        </w:rPr>
        <w:t>被投资单位除净损益以外所有者权益其他变动的处理：对于被投资单位除净损益以外所有者权益的其</w:t>
      </w:r>
      <w:r>
        <w:rPr>
          <w:rFonts w:ascii="宋体" w:hAnsi="宋体" w:cs="宋体" w:eastAsia="宋体" w:hint="default"/>
          <w:sz w:val="21"/>
          <w:szCs w:val="21"/>
        </w:rPr>
        <w:t> </w:t>
      </w:r>
      <w:r>
        <w:rPr>
          <w:rFonts w:ascii="宋体" w:hAnsi="宋体" w:cs="宋体" w:eastAsia="宋体" w:hint="default"/>
          <w:spacing w:val="-1"/>
          <w:sz w:val="21"/>
          <w:szCs w:val="21"/>
        </w:rPr>
        <w:t>他变动，在持股比例不变的情况下，公司按照持股比例计算应享有或承担的部分，调整长期股权投资的账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面价值，同时增加或减少资本公积（其他资本公积）。</w:t>
      </w:r>
    </w:p>
    <w:p>
      <w:pPr>
        <w:spacing w:line="374" w:lineRule="auto" w:before="67"/>
        <w:ind w:left="574" w:right="0" w:firstLine="0"/>
        <w:jc w:val="left"/>
        <w:rPr>
          <w:rFonts w:ascii="宋体" w:hAnsi="宋体" w:cs="宋体" w:eastAsia="宋体" w:hint="default"/>
          <w:sz w:val="21"/>
          <w:szCs w:val="21"/>
        </w:rPr>
      </w:pPr>
      <w:r>
        <w:rPr>
          <w:rFonts w:ascii="宋体" w:hAnsi="宋体" w:cs="宋体" w:eastAsia="宋体" w:hint="default"/>
          <w:sz w:val="21"/>
          <w:szCs w:val="21"/>
        </w:rPr>
        <w:t>②损益确认 </w:t>
      </w:r>
      <w:r>
        <w:rPr>
          <w:rFonts w:ascii="宋体" w:hAnsi="宋体" w:cs="宋体" w:eastAsia="宋体" w:hint="default"/>
          <w:spacing w:val="-1"/>
          <w:sz w:val="21"/>
          <w:szCs w:val="21"/>
        </w:rPr>
        <w:t>成本法下，除取得投资时实际支付的价款或对价中包含的已宣告但尚未发放的现金股利或利润外，公</w:t>
      </w:r>
    </w:p>
    <w:p>
      <w:pPr>
        <w:spacing w:line="374" w:lineRule="auto" w:before="0"/>
        <w:ind w:left="574" w:right="0" w:hanging="420"/>
        <w:jc w:val="left"/>
        <w:rPr>
          <w:rFonts w:ascii="宋体" w:hAnsi="宋体" w:cs="宋体" w:eastAsia="宋体" w:hint="default"/>
          <w:sz w:val="21"/>
          <w:szCs w:val="21"/>
        </w:rPr>
      </w:pPr>
      <w:r>
        <w:rPr>
          <w:rFonts w:ascii="宋体" w:hAnsi="宋体" w:cs="宋体" w:eastAsia="宋体" w:hint="default"/>
          <w:sz w:val="21"/>
          <w:szCs w:val="21"/>
        </w:rPr>
        <w:t>司按照享有被投资单位宣告发放的现金股利或利润确认投资收益。 </w:t>
      </w:r>
      <w:r>
        <w:rPr>
          <w:rFonts w:ascii="宋体" w:hAnsi="宋体" w:cs="宋体" w:eastAsia="宋体" w:hint="default"/>
          <w:spacing w:val="-1"/>
          <w:sz w:val="21"/>
          <w:szCs w:val="21"/>
        </w:rPr>
        <w:t>权益法下，在被投资单位账面净利润的基础上考虑：被投资单位与本公司采用的会计政策及会计期间</w:t>
      </w:r>
    </w:p>
    <w:p>
      <w:pPr>
        <w:spacing w:line="340" w:lineRule="auto" w:before="0"/>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不一致，按本公司的会计政策及会计期间对被投资单位财务报表进行调整；以取得投资时被投资单位固定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资产、无形资产的公允价值为基础计提的折旧额或摊销额以及有关资产减值准备金额等对被投资单位净利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润的影响；对本公司与联营企业及合营企业之间发生的未实现内部交易予以抵销等事项的适当调整后，确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认应享有或应负担被投资单位的净利润或净亏损。</w:t>
      </w:r>
    </w:p>
    <w:p>
      <w:pPr>
        <w:spacing w:line="340" w:lineRule="auto" w:before="66"/>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在公司确认应分担被投资单位发生的亏损时，按照以下顺序进行处理：首先，冲减长期股权投资的账</w:t>
      </w:r>
      <w:r>
        <w:rPr>
          <w:rFonts w:ascii="宋体" w:hAnsi="宋体" w:cs="宋体" w:eastAsia="宋体" w:hint="default"/>
          <w:sz w:val="21"/>
          <w:szCs w:val="21"/>
        </w:rPr>
        <w:t> </w:t>
      </w:r>
      <w:r>
        <w:rPr>
          <w:rFonts w:ascii="宋体" w:hAnsi="宋体" w:cs="宋体" w:eastAsia="宋体" w:hint="default"/>
          <w:spacing w:val="-1"/>
          <w:sz w:val="21"/>
          <w:szCs w:val="21"/>
        </w:rPr>
        <w:t>面价值。其次，长期股权投资的账面价值不足以冲减的，以其他实质上构成对被投资单位净投资的长期权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益账面价值为限继续确认投资损失，冲减长期应收项目等的账面价值。最后，经过上述处理，按照投资合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同或协议约定企业仍承担额外义务的，按预计承担的义务确认预计负债，计入当期投资损失。被投资单位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以后期间实现盈利的，公司在扣除未确认的亏损分担额后，按与上述相反的顺序处理，减记已确认预计负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债的账面余额、恢复其他实质上构成对被投资单位净投资的长期权益及长期股权投资的账面价值，同时确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认投资收益。</w:t>
      </w:r>
    </w:p>
    <w:p>
      <w:pPr>
        <w:spacing w:line="340" w:lineRule="auto" w:before="65"/>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在持有投资期间，被投资单位能够提供合并财务报表的，应当以合并财务报表中的净利润和其他权益</w:t>
      </w:r>
      <w:r>
        <w:rPr>
          <w:rFonts w:ascii="宋体" w:hAnsi="宋体" w:cs="宋体" w:eastAsia="宋体" w:hint="default"/>
          <w:sz w:val="21"/>
          <w:szCs w:val="21"/>
        </w:rPr>
        <w:t> 变动为基础进行核算。</w:t>
      </w:r>
    </w:p>
    <w:p>
      <w:pPr>
        <w:spacing w:line="652" w:lineRule="exact" w:before="1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共同控制，是指按照合同约定对某项经济活动所共有的控制，仅在与该项经济活动相关的重要财务和</w:t>
      </w:r>
    </w:p>
    <w:p>
      <w:pPr>
        <w:spacing w:line="340" w:lineRule="auto" w:before="14"/>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经营决策需要分享控制权的投资方一致同意时存在。投资企业与其他方对被投资单位实施共同控制的，被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投资单位为其合营企业。</w:t>
      </w:r>
    </w:p>
    <w:p>
      <w:pPr>
        <w:spacing w:before="65"/>
        <w:ind w:left="574" w:right="0" w:firstLine="0"/>
        <w:jc w:val="left"/>
        <w:rPr>
          <w:rFonts w:ascii="宋体" w:hAnsi="宋体" w:cs="宋体" w:eastAsia="宋体" w:hint="default"/>
          <w:sz w:val="21"/>
          <w:szCs w:val="21"/>
        </w:rPr>
      </w:pPr>
      <w:r>
        <w:rPr>
          <w:rFonts w:ascii="宋体" w:hAnsi="宋体" w:cs="宋体" w:eastAsia="宋体" w:hint="default"/>
          <w:sz w:val="21"/>
          <w:szCs w:val="21"/>
        </w:rPr>
        <w:t>重大影响，是指对一个企业的财务和经营决策有参与决策的权力，但并不能够控制或者与其他方一起</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7"/>
          <w:szCs w:val="27"/>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共同控制这些政策的制定。投资企业能够对被投资单位施加重大影响的，被投资单位为其联营企业。</w:t>
      </w:r>
    </w:p>
    <w:p>
      <w:pPr>
        <w:spacing w:line="630" w:lineRule="atLeast" w:before="35"/>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重大影响以下的、在活跃市场中没有报价、公允价值不能可靠计量的长期股权投资，其减值损失是根</w:t>
      </w:r>
    </w:p>
    <w:p>
      <w:pPr>
        <w:spacing w:line="340" w:lineRule="auto" w:before="115"/>
        <w:ind w:left="574" w:right="0" w:hanging="420"/>
        <w:jc w:val="left"/>
        <w:rPr>
          <w:rFonts w:ascii="宋体" w:hAnsi="宋体" w:cs="宋体" w:eastAsia="宋体" w:hint="default"/>
          <w:sz w:val="21"/>
          <w:szCs w:val="21"/>
        </w:rPr>
      </w:pPr>
      <w:r>
        <w:rPr>
          <w:rFonts w:ascii="宋体" w:hAnsi="宋体" w:cs="宋体" w:eastAsia="宋体" w:hint="default"/>
          <w:sz w:val="21"/>
          <w:szCs w:val="21"/>
        </w:rPr>
        <w:t>据其账面价值与按类似金融资产当时市场收益率对未来现金流量折现确定的现值之间的差额进行确定。 </w:t>
      </w:r>
      <w:r>
        <w:rPr>
          <w:rFonts w:ascii="宋体" w:hAnsi="宋体" w:cs="宋体" w:eastAsia="宋体" w:hint="default"/>
          <w:spacing w:val="3"/>
          <w:sz w:val="21"/>
          <w:szCs w:val="21"/>
        </w:rPr>
        <w:t>除因企业合并形成的商誉以外的存在减值迹象的其他长期股权投资，如果可收回金额的计量结果表</w:t>
      </w:r>
    </w:p>
    <w:p>
      <w:pPr>
        <w:spacing w:line="340" w:lineRule="auto" w:before="27"/>
        <w:ind w:left="574" w:right="2420" w:hanging="420"/>
        <w:jc w:val="left"/>
        <w:rPr>
          <w:rFonts w:ascii="宋体" w:hAnsi="宋体" w:cs="宋体" w:eastAsia="宋体" w:hint="default"/>
          <w:sz w:val="21"/>
          <w:szCs w:val="21"/>
        </w:rPr>
      </w:pPr>
      <w:r>
        <w:rPr>
          <w:rFonts w:ascii="宋体" w:hAnsi="宋体" w:cs="宋体" w:eastAsia="宋体" w:hint="default"/>
          <w:sz w:val="21"/>
          <w:szCs w:val="21"/>
        </w:rPr>
        <w:t>明，该长期股权投资的可收回金额低于其账面价值的，将差额确认为减值损失。 长期股权投资减值损失一经确认，不再转回。</w:t>
      </w:r>
    </w:p>
    <w:p>
      <w:pPr>
        <w:spacing w:line="240" w:lineRule="auto" w:before="1"/>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652" w:lineRule="exact" w:before="46"/>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固定资产指为生产商品、提供劳务、出租或经营管理而持有，并且使用寿命超过一个会计年度的有形</w:t>
      </w:r>
    </w:p>
    <w:p>
      <w:pPr>
        <w:spacing w:before="15"/>
        <w:ind w:left="154" w:right="0" w:firstLine="0"/>
        <w:jc w:val="left"/>
        <w:rPr>
          <w:rFonts w:ascii="宋体" w:hAnsi="宋体" w:cs="宋体" w:eastAsia="宋体" w:hint="default"/>
          <w:sz w:val="21"/>
          <w:szCs w:val="21"/>
        </w:rPr>
      </w:pPr>
      <w:r>
        <w:rPr>
          <w:rFonts w:ascii="宋体" w:hAnsi="宋体" w:cs="宋体" w:eastAsia="宋体" w:hint="default"/>
          <w:sz w:val="21"/>
          <w:szCs w:val="21"/>
        </w:rPr>
        <w:t>资产。固定资产在同时满足下列条件时予以确认：</w:t>
      </w:r>
    </w:p>
    <w:p>
      <w:pPr>
        <w:spacing w:before="156"/>
        <w:ind w:left="574" w:right="0" w:firstLine="0"/>
        <w:jc w:val="left"/>
        <w:rPr>
          <w:rFonts w:ascii="宋体" w:hAnsi="宋体" w:cs="宋体" w:eastAsia="宋体" w:hint="default"/>
          <w:sz w:val="21"/>
          <w:szCs w:val="21"/>
        </w:rPr>
      </w:pPr>
      <w:r>
        <w:rPr>
          <w:rFonts w:ascii="宋体" w:hAnsi="宋体" w:cs="宋体" w:eastAsia="宋体" w:hint="default"/>
          <w:sz w:val="21"/>
          <w:szCs w:val="21"/>
        </w:rPr>
        <w:t>①与该固定资产有关的经济利益很可能流入企业；</w:t>
      </w:r>
    </w:p>
    <w:p>
      <w:pPr>
        <w:spacing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②该固定资产的成本能够可靠地计量。</w:t>
      </w:r>
    </w:p>
    <w:p>
      <w:pPr>
        <w:spacing w:line="640" w:lineRule="atLeast" w:before="25"/>
        <w:ind w:left="574" w:right="137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spacing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①租赁期满后租赁资产的所有权归属于本公司；</w:t>
      </w:r>
    </w:p>
    <w:p>
      <w:pPr>
        <w:spacing w:before="156"/>
        <w:ind w:left="574" w:right="0" w:firstLine="0"/>
        <w:jc w:val="left"/>
        <w:rPr>
          <w:rFonts w:ascii="宋体" w:hAnsi="宋体" w:cs="宋体" w:eastAsia="宋体" w:hint="default"/>
          <w:sz w:val="21"/>
          <w:szCs w:val="21"/>
        </w:rPr>
      </w:pPr>
      <w:r>
        <w:rPr>
          <w:rFonts w:ascii="宋体" w:hAnsi="宋体" w:cs="宋体" w:eastAsia="宋体" w:hint="default"/>
          <w:sz w:val="21"/>
          <w:szCs w:val="21"/>
        </w:rPr>
        <w:t>②公司具有购买资产的选择权，购买价款远低于行使选择权时该资产的公允价值；</w:t>
      </w:r>
    </w:p>
    <w:p>
      <w:pPr>
        <w:spacing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③租赁期占所租赁资产使用寿命的大部分；</w:t>
      </w:r>
    </w:p>
    <w:p>
      <w:pPr>
        <w:spacing w:line="374" w:lineRule="auto"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④租赁开始日的最低租赁付款额现值，与该资产的公允价值不存在较大的差异。 </w:t>
      </w:r>
      <w:r>
        <w:rPr>
          <w:rFonts w:ascii="宋体" w:hAnsi="宋体" w:cs="宋体" w:eastAsia="宋体" w:hint="default"/>
          <w:spacing w:val="-1"/>
          <w:sz w:val="21"/>
          <w:szCs w:val="21"/>
        </w:rPr>
        <w:t>公司在承租开始日，将租赁资产公允价值与最低租赁付款额现值两者中较低者作为租入资产的入账价</w:t>
      </w:r>
    </w:p>
    <w:p>
      <w:pPr>
        <w:spacing w:line="274"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值，将最低租赁付款额作为长期应付款的入账价值，其差额作为未确认的融资费。</w:t>
      </w:r>
    </w:p>
    <w:p>
      <w:pPr>
        <w:spacing w:line="630" w:lineRule="atLeast" w:before="35"/>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固定资产折旧采用年限平均法分类计提，根据固定资产类别、预计使用寿命和预计净残值率确定折旧</w:t>
      </w:r>
    </w:p>
    <w:p>
      <w:pPr>
        <w:spacing w:line="340" w:lineRule="auto" w:before="11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率。如固定资产各组成部分的使用寿命不同或者以不同方式为企业提供经济利益，则选择不同折旧率或折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旧方法，分别计提折旧。</w:t>
      </w:r>
    </w:p>
    <w:p>
      <w:pPr>
        <w:spacing w:line="340" w:lineRule="auto" w:before="27"/>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融资租赁方式租入的固定资产，能合理确定租赁期届满时将会取得租赁资产所有权的，在租赁资产尚</w:t>
      </w:r>
      <w:r>
        <w:rPr>
          <w:rFonts w:ascii="宋体" w:hAnsi="宋体" w:cs="宋体" w:eastAsia="宋体" w:hint="default"/>
          <w:sz w:val="21"/>
          <w:szCs w:val="21"/>
        </w:rPr>
        <w:t> </w:t>
      </w:r>
      <w:r>
        <w:rPr>
          <w:rFonts w:ascii="宋体" w:hAnsi="宋体" w:cs="宋体" w:eastAsia="宋体" w:hint="default"/>
          <w:spacing w:val="-1"/>
          <w:sz w:val="21"/>
          <w:szCs w:val="21"/>
        </w:rPr>
        <w:t>可使用年限内计提折旧；无法合理确定租赁期届满时能够取得租赁资产所有权的，在租赁期与租赁资产尚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可使用年限两者中较短的期间内计提折旧。</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13.57% -</w:t>
            </w:r>
            <w:r>
              <w:rPr>
                <w:rFonts w:ascii="Times New Roman"/>
                <w:spacing w:val="-1"/>
                <w:sz w:val="18"/>
              </w:rPr>
              <w:t> </w:t>
            </w:r>
            <w:r>
              <w:rPr>
                <w:rFonts w:ascii="Times New Roman"/>
                <w:sz w:val="18"/>
              </w:rPr>
              <w:t>9.50%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11"/>
                <w:sz w:val="18"/>
              </w:rPr>
              <w:t> </w:t>
            </w:r>
            <w:r>
              <w:rPr>
                <w:rFonts w:ascii="Times New Roman"/>
                <w:sz w:val="18"/>
              </w:rPr>
              <w:t>11.88%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15.83%</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15.83%</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15.83%</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14.29%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 -</w:t>
            </w:r>
            <w:r>
              <w:rPr>
                <w:rFonts w:ascii="Times New Roman"/>
                <w:spacing w:val="-3"/>
                <w:sz w:val="18"/>
              </w:rPr>
              <w:t> </w:t>
            </w:r>
            <w:r>
              <w:rPr>
                <w:rFonts w:ascii="Times New Roman"/>
                <w:sz w:val="18"/>
              </w:rPr>
              <w:t>10.00%</w:t>
            </w:r>
          </w:p>
        </w:tc>
      </w:tr>
    </w:tbl>
    <w:p>
      <w:pPr>
        <w:spacing w:line="240" w:lineRule="auto" w:before="2"/>
        <w:rPr>
          <w:rFonts w:ascii="宋体" w:hAnsi="宋体" w:cs="宋体" w:eastAsia="宋体" w:hint="default"/>
          <w:sz w:val="19"/>
          <w:szCs w:val="19"/>
        </w:rPr>
      </w:pPr>
    </w:p>
    <w:p>
      <w:pPr>
        <w:spacing w:before="35"/>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4" w:right="90" w:firstLine="0"/>
        <w:jc w:val="left"/>
        <w:rPr>
          <w:rFonts w:ascii="宋体" w:hAnsi="宋体" w:cs="宋体" w:eastAsia="宋体" w:hint="default"/>
          <w:sz w:val="21"/>
          <w:szCs w:val="21"/>
        </w:rPr>
      </w:pPr>
      <w:r>
        <w:rPr>
          <w:rFonts w:ascii="宋体" w:hAnsi="宋体" w:cs="宋体" w:eastAsia="宋体" w:hint="default"/>
          <w:sz w:val="21"/>
          <w:szCs w:val="21"/>
        </w:rPr>
        <w:t>公司在每期末判断固定资产是否存在可能发生减值的迹象。 </w:t>
      </w:r>
      <w:r>
        <w:rPr>
          <w:rFonts w:ascii="宋体" w:hAnsi="宋体" w:cs="宋体" w:eastAsia="宋体" w:hint="default"/>
          <w:spacing w:val="-1"/>
          <w:sz w:val="21"/>
          <w:szCs w:val="21"/>
        </w:rPr>
        <w:t>固定资产存在减值迹象的，估计其可收回金额。可收回金额根据固定资产的公允价值减去处置费用后</w:t>
      </w:r>
    </w:p>
    <w:p>
      <w:pPr>
        <w:spacing w:line="340" w:lineRule="auto" w:before="27"/>
        <w:ind w:left="574" w:right="90" w:hanging="360"/>
        <w:jc w:val="left"/>
        <w:rPr>
          <w:rFonts w:ascii="宋体" w:hAnsi="宋体" w:cs="宋体" w:eastAsia="宋体" w:hint="default"/>
          <w:sz w:val="21"/>
          <w:szCs w:val="21"/>
        </w:rPr>
      </w:pPr>
      <w:r>
        <w:rPr>
          <w:rFonts w:ascii="宋体" w:hAnsi="宋体" w:cs="宋体" w:eastAsia="宋体" w:hint="default"/>
          <w:sz w:val="21"/>
          <w:szCs w:val="21"/>
        </w:rPr>
        <w:t>的净额与固定资产预计未来现金流量的现值两者之间较高者确定。 </w:t>
      </w:r>
      <w:r>
        <w:rPr>
          <w:rFonts w:ascii="宋体" w:hAnsi="宋体" w:cs="宋体" w:eastAsia="宋体" w:hint="default"/>
          <w:spacing w:val="-1"/>
          <w:sz w:val="21"/>
          <w:szCs w:val="21"/>
        </w:rPr>
        <w:t>当固定资产的可收回金额低于其账面价值的，将固定资产的账面价值减记至可收回金额，减记的金额</w:t>
      </w:r>
    </w:p>
    <w:p>
      <w:pPr>
        <w:spacing w:line="340" w:lineRule="auto" w:before="27"/>
        <w:ind w:left="574" w:right="90" w:hanging="360"/>
        <w:jc w:val="left"/>
        <w:rPr>
          <w:rFonts w:ascii="宋体" w:hAnsi="宋体" w:cs="宋体" w:eastAsia="宋体" w:hint="default"/>
          <w:sz w:val="21"/>
          <w:szCs w:val="21"/>
        </w:rPr>
      </w:pPr>
      <w:r>
        <w:rPr>
          <w:rFonts w:ascii="宋体" w:hAnsi="宋体" w:cs="宋体" w:eastAsia="宋体" w:hint="default"/>
          <w:sz w:val="21"/>
          <w:szCs w:val="21"/>
        </w:rPr>
        <w:t>确认为固定资产减值损失，计入当期损益，同时计提相应的固定资产减值准备。 </w:t>
      </w:r>
      <w:r>
        <w:rPr>
          <w:rFonts w:ascii="宋体" w:hAnsi="宋体" w:cs="宋体" w:eastAsia="宋体" w:hint="default"/>
          <w:spacing w:val="-1"/>
          <w:sz w:val="21"/>
          <w:szCs w:val="21"/>
        </w:rPr>
        <w:t>固定资产减值损失确认后，减值固定资产的折旧在未来期间作相应调整，以使该固定资产在剩余使用</w:t>
      </w:r>
    </w:p>
    <w:p>
      <w:pPr>
        <w:spacing w:line="340" w:lineRule="auto" w:before="27"/>
        <w:ind w:left="574" w:right="90" w:hanging="360"/>
        <w:jc w:val="left"/>
        <w:rPr>
          <w:rFonts w:ascii="宋体" w:hAnsi="宋体" w:cs="宋体" w:eastAsia="宋体" w:hint="default"/>
          <w:sz w:val="21"/>
          <w:szCs w:val="21"/>
        </w:rPr>
      </w:pPr>
      <w:r>
        <w:rPr>
          <w:rFonts w:ascii="宋体" w:hAnsi="宋体" w:cs="宋体" w:eastAsia="宋体" w:hint="default"/>
          <w:sz w:val="21"/>
          <w:szCs w:val="21"/>
        </w:rPr>
        <w:t>寿命内，系统地分摊调整后的固定资产账面价值（扣除预计净残值）。 固定资产的减值损失一经确认，在以后会计期间不再转回。 </w:t>
      </w:r>
      <w:r>
        <w:rPr>
          <w:rFonts w:ascii="宋体" w:hAnsi="宋体" w:cs="宋体" w:eastAsia="宋体" w:hint="default"/>
          <w:spacing w:val="-1"/>
          <w:sz w:val="21"/>
          <w:szCs w:val="21"/>
        </w:rPr>
        <w:t>有迹象表明一项固定资产可能发生减值的，企业以单项固定资产为基础估计其可收回金额。企业难以</w:t>
      </w:r>
    </w:p>
    <w:p>
      <w:pPr>
        <w:spacing w:before="27"/>
        <w:ind w:left="213" w:right="0" w:firstLine="0"/>
        <w:jc w:val="left"/>
        <w:rPr>
          <w:rFonts w:ascii="宋体" w:hAnsi="宋体" w:cs="宋体" w:eastAsia="宋体" w:hint="default"/>
          <w:sz w:val="21"/>
          <w:szCs w:val="21"/>
        </w:rPr>
      </w:pPr>
      <w:r>
        <w:rPr>
          <w:rFonts w:ascii="宋体" w:hAnsi="宋体" w:cs="宋体" w:eastAsia="宋体" w:hint="default"/>
          <w:sz w:val="21"/>
          <w:szCs w:val="21"/>
        </w:rPr>
        <w:t>对单项固定资产的可收回金额进行估计的，以该固定资产所属的资产组为基础确定资产组的可收回金额。</w:t>
      </w:r>
    </w:p>
    <w:p>
      <w:pPr>
        <w:spacing w:line="240" w:lineRule="auto" w:before="10"/>
        <w:rPr>
          <w:rFonts w:ascii="宋体" w:hAnsi="宋体" w:cs="宋体" w:eastAsia="宋体" w:hint="default"/>
          <w:sz w:val="28"/>
          <w:szCs w:val="28"/>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06" w:lineRule="auto" w:before="0"/>
        <w:ind w:left="573" w:right="645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pStyle w:val="Heading3"/>
        <w:spacing w:line="240" w:lineRule="auto" w:before="103"/>
        <w:ind w:left="153" w:right="9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9"/>
        <w:rPr>
          <w:rFonts w:ascii="宋体" w:hAnsi="宋体" w:cs="宋体" w:eastAsia="宋体" w:hint="default"/>
          <w:b/>
          <w:bCs/>
          <w:sz w:val="27"/>
          <w:szCs w:val="27"/>
        </w:rPr>
      </w:pPr>
    </w:p>
    <w:p>
      <w:pPr>
        <w:spacing w:line="340" w:lineRule="auto" w:before="0"/>
        <w:ind w:left="154" w:right="168" w:firstLine="420"/>
        <w:jc w:val="both"/>
        <w:rPr>
          <w:rFonts w:ascii="宋体" w:hAnsi="宋体" w:cs="宋体" w:eastAsia="宋体" w:hint="default"/>
          <w:sz w:val="21"/>
          <w:szCs w:val="21"/>
        </w:rPr>
      </w:pPr>
      <w:r>
        <w:rPr>
          <w:rFonts w:ascii="宋体" w:hAnsi="宋体" w:cs="宋体" w:eastAsia="宋体" w:hint="default"/>
          <w:sz w:val="21"/>
          <w:szCs w:val="21"/>
        </w:rPr>
        <w:t>在建工程项目按建造该项资产达到预定可使用状态前所发生的全部支出，作为固定资产的入账价值。 </w:t>
      </w:r>
      <w:r>
        <w:rPr>
          <w:rFonts w:ascii="宋体" w:hAnsi="宋体" w:cs="宋体" w:eastAsia="宋体" w:hint="default"/>
          <w:spacing w:val="-1"/>
          <w:sz w:val="21"/>
          <w:szCs w:val="21"/>
        </w:rPr>
        <w:t>所建造的固定资产在建工程已达到预定可使用状态，但尚未办理竣工决算的，自达到预定可使用状态之日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起，根据工程预算、造价或者工程实际成本等，按估计的价值转入固定资产，并按本公司固定资产折旧政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策计提固定资产的折旧，待办理竣工决算后，再按实际成本调整原来的暂估价值，但不调整原已计提的折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旧额。</w:t>
      </w:r>
    </w:p>
    <w:p>
      <w:pPr>
        <w:spacing w:after="0" w:line="340" w:lineRule="auto"/>
        <w:jc w:val="both"/>
        <w:rPr>
          <w:rFonts w:ascii="宋体" w:hAnsi="宋体" w:cs="宋体" w:eastAsia="宋体" w:hint="default"/>
          <w:sz w:val="21"/>
          <w:szCs w:val="21"/>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line="340"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公司在每期末判断在建工程是否存在可能发生减值的迹象。 </w:t>
      </w:r>
      <w:r>
        <w:rPr>
          <w:rFonts w:ascii="宋体" w:hAnsi="宋体" w:cs="宋体" w:eastAsia="宋体" w:hint="default"/>
          <w:spacing w:val="-1"/>
          <w:sz w:val="21"/>
          <w:szCs w:val="21"/>
        </w:rPr>
        <w:t>在建工程存在减值迹象的，估计其可收回金额。有迹象表明一项在建工程可能发生减值的，企业以单</w:t>
      </w:r>
    </w:p>
    <w:p>
      <w:pPr>
        <w:spacing w:line="340" w:lineRule="auto" w:before="2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项在建工程为基础估计其可收回金额。企业难以对单项在建工程的可收回金额进行估计的，以该在建工程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所属的资产组为基础确定资产组的可收回金额。</w:t>
      </w:r>
    </w:p>
    <w:p>
      <w:pPr>
        <w:spacing w:line="340" w:lineRule="auto" w:before="27"/>
        <w:ind w:left="154" w:right="147" w:firstLine="420"/>
        <w:jc w:val="both"/>
        <w:rPr>
          <w:rFonts w:ascii="宋体" w:hAnsi="宋体" w:cs="宋体" w:eastAsia="宋体" w:hint="default"/>
          <w:sz w:val="21"/>
          <w:szCs w:val="21"/>
        </w:rPr>
      </w:pPr>
      <w:r>
        <w:rPr>
          <w:rFonts w:ascii="宋体" w:hAnsi="宋体" w:cs="宋体" w:eastAsia="宋体" w:hint="default"/>
          <w:spacing w:val="3"/>
          <w:sz w:val="21"/>
          <w:szCs w:val="21"/>
        </w:rPr>
        <w:t>可收回金额根据在建工程的公允价值减去处置费用后的净额与在建工程预计未来现金流量的现值两</w:t>
      </w:r>
      <w:r>
        <w:rPr>
          <w:rFonts w:ascii="宋体" w:hAnsi="宋体" w:cs="宋体" w:eastAsia="宋体" w:hint="default"/>
          <w:sz w:val="21"/>
          <w:szCs w:val="21"/>
        </w:rPr>
        <w:t> 者之间较高者确定。</w:t>
      </w:r>
    </w:p>
    <w:p>
      <w:pPr>
        <w:spacing w:line="340" w:lineRule="auto" w:before="27"/>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当在建工程的可收回金额低于其账面价值的，将在建工程的账面价值减记至可收回金额，减记的金额</w:t>
      </w:r>
      <w:r>
        <w:rPr>
          <w:rFonts w:ascii="宋体" w:hAnsi="宋体" w:cs="宋体" w:eastAsia="宋体" w:hint="default"/>
          <w:sz w:val="21"/>
          <w:szCs w:val="21"/>
        </w:rPr>
        <w:t> 确认为在建工程减值损失，计入当期损益，同时计提相应的在建工程减值准备。</w:t>
      </w:r>
    </w:p>
    <w:p>
      <w:pPr>
        <w:spacing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在建工程的减值损失一经确认，在以后会计期间不再转回。</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①公司取得无形资产时按成本进行初始计量； </w:t>
      </w:r>
      <w:r>
        <w:rPr>
          <w:rFonts w:ascii="宋体" w:hAnsi="宋体" w:cs="宋体" w:eastAsia="宋体" w:hint="default"/>
          <w:spacing w:val="-1"/>
          <w:sz w:val="21"/>
          <w:szCs w:val="21"/>
        </w:rPr>
        <w:t>外购无形资产的成本，包括购买价款、相关税费以及直接归属于使该项资产达到预定用途所发生的其</w:t>
      </w:r>
    </w:p>
    <w:p>
      <w:pPr>
        <w:spacing w:line="340" w:lineRule="auto" w:before="27"/>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他支出。购买无形资产的价款超过正常信用条件延期支付，实质上具有融资性质的，无形资产的成本以购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买价款的现值为基础确定。</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债务重组取得债务人用以抵债的无形资产，以该无形资产的公允价值为基础确定其入账价值，并将重</w:t>
      </w:r>
      <w:r>
        <w:rPr>
          <w:rFonts w:ascii="宋体" w:hAnsi="宋体" w:cs="宋体" w:eastAsia="宋体" w:hint="default"/>
          <w:sz w:val="21"/>
          <w:szCs w:val="21"/>
        </w:rPr>
        <w:t> 组债务的账面价值与该用以抵债的无形资产公允价值之间的差额，计入当期损益；</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在非货币性资产交换具备商业实质且换入资产或换出资产的公允价值能够可靠计量的前提下，非货币</w:t>
      </w:r>
      <w:r>
        <w:rPr>
          <w:rFonts w:ascii="宋体" w:hAnsi="宋体" w:cs="宋体" w:eastAsia="宋体" w:hint="default"/>
          <w:sz w:val="21"/>
          <w:szCs w:val="21"/>
        </w:rPr>
        <w:t> </w:t>
      </w:r>
      <w:r>
        <w:rPr>
          <w:rFonts w:ascii="宋体" w:hAnsi="宋体" w:cs="宋体" w:eastAsia="宋体" w:hint="default"/>
          <w:spacing w:val="-1"/>
          <w:sz w:val="21"/>
          <w:szCs w:val="21"/>
        </w:rPr>
        <w:t>性资产交换换入的无形资产以换出资产的公允价值为基础确定其入账价值，除非有确凿证据表明换入资产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的公允价值更加可靠；不满足上述前提的非货币性资产交换，以换出资产的账面价值和应支付的相关税费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作为换入无形资产的成本，不确认损益。</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以同一控制下的企业吸收合并方式取得的无形资产按被合并方的账面价值确定其入账价值；以非同一</w:t>
      </w:r>
      <w:r>
        <w:rPr>
          <w:rFonts w:ascii="宋体" w:hAnsi="宋体" w:cs="宋体" w:eastAsia="宋体" w:hint="default"/>
          <w:sz w:val="21"/>
          <w:szCs w:val="21"/>
        </w:rPr>
        <w:t> 控制下的企业吸收合并方式取得的无形资产按公允价值确定其入账价值。</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内部自行开发的无形资产，其成本包括：开发该无形资产时耗用的材料、劳务成本、注册费、在开发</w:t>
      </w:r>
      <w:r>
        <w:rPr>
          <w:rFonts w:ascii="宋体" w:hAnsi="宋体" w:cs="宋体" w:eastAsia="宋体" w:hint="default"/>
          <w:sz w:val="21"/>
          <w:szCs w:val="21"/>
        </w:rPr>
        <w:t> </w:t>
      </w:r>
      <w:r>
        <w:rPr>
          <w:rFonts w:ascii="宋体" w:hAnsi="宋体" w:cs="宋体" w:eastAsia="宋体" w:hint="default"/>
          <w:spacing w:val="-1"/>
          <w:sz w:val="21"/>
          <w:szCs w:val="21"/>
        </w:rPr>
        <w:t>过程中使用的其他专利权和特许权的摊销以及满足资本化条件的利息费用，以及为使该无形资产达到预定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用途前所发生的其他直接费用。</w:t>
      </w:r>
    </w:p>
    <w:p>
      <w:pPr>
        <w:spacing w:line="340" w:lineRule="auto" w:before="27"/>
        <w:ind w:left="573" w:right="5571" w:firstLine="0"/>
        <w:jc w:val="left"/>
        <w:rPr>
          <w:rFonts w:ascii="宋体" w:hAnsi="宋体" w:cs="宋体" w:eastAsia="宋体" w:hint="default"/>
          <w:sz w:val="21"/>
          <w:szCs w:val="21"/>
        </w:rPr>
      </w:pPr>
      <w:r>
        <w:rPr>
          <w:rFonts w:ascii="宋体" w:hAnsi="宋体" w:cs="宋体" w:eastAsia="宋体" w:hint="default"/>
          <w:sz w:val="21"/>
          <w:szCs w:val="21"/>
        </w:rPr>
        <w:t>②后续计量 在取得无形资产时分析判断其使用寿命。</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对于使用寿命有限的无形资产，在为企业带来经济利益的期限内按直线法摊销；无法预见无形资产为</w:t>
      </w:r>
      <w:r>
        <w:rPr>
          <w:rFonts w:ascii="宋体" w:hAnsi="宋体" w:cs="宋体" w:eastAsia="宋体" w:hint="default"/>
          <w:sz w:val="21"/>
          <w:szCs w:val="21"/>
        </w:rPr>
        <w:t> 企业带来经济利益期限的，视为使用寿命不确定的无形资产，不予摊销。</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444" w:right="2760"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土地使用权证有效日期</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与该项无形资产有关的经济利益的预期实现方式</w:t>
            </w:r>
          </w:p>
        </w:tc>
      </w:tr>
    </w:tbl>
    <w:p>
      <w:pPr>
        <w:spacing w:line="240" w:lineRule="auto" w:before="2"/>
        <w:rPr>
          <w:rFonts w:ascii="宋体" w:hAnsi="宋体" w:cs="宋体" w:eastAsia="宋体" w:hint="default"/>
          <w:sz w:val="19"/>
          <w:szCs w:val="19"/>
        </w:rPr>
      </w:pPr>
    </w:p>
    <w:p>
      <w:pPr>
        <w:spacing w:line="506" w:lineRule="auto" w:before="35"/>
        <w:ind w:left="444" w:right="3810" w:hanging="29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spacing w:val="1"/>
          <w:w w:val="99"/>
          <w:sz w:val="21"/>
          <w:szCs w:val="21"/>
        </w:rPr>
        <w:t> </w:t>
      </w:r>
      <w:r>
        <w:rPr>
          <w:rFonts w:ascii="宋体" w:hAnsi="宋体" w:cs="宋体" w:eastAsia="宋体" w:hint="default"/>
          <w:sz w:val="21"/>
          <w:szCs w:val="21"/>
        </w:rPr>
        <w:t>截至资产负债表日，本公司没有使用寿命不确定的无形资产。</w:t>
      </w:r>
    </w:p>
    <w:p>
      <w:pPr>
        <w:pStyle w:val="Heading3"/>
        <w:spacing w:line="240" w:lineRule="auto" w:before="105"/>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9"/>
        <w:rPr>
          <w:rFonts w:ascii="宋体" w:hAnsi="宋体" w:cs="宋体" w:eastAsia="宋体" w:hint="default"/>
          <w:b/>
          <w:bCs/>
          <w:sz w:val="27"/>
          <w:szCs w:val="27"/>
        </w:rPr>
      </w:pPr>
    </w:p>
    <w:p>
      <w:pPr>
        <w:spacing w:line="340"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对于使用寿命确定的无形资产，如有明显减值迹象的，期末进行减值测试。 对于使用寿命不确定的无形资产，每期末进行减值测试。 </w:t>
      </w:r>
      <w:r>
        <w:rPr>
          <w:rFonts w:ascii="宋体" w:hAnsi="宋体" w:cs="宋体" w:eastAsia="宋体" w:hint="default"/>
          <w:spacing w:val="-1"/>
          <w:sz w:val="21"/>
          <w:szCs w:val="21"/>
        </w:rPr>
        <w:t>对无形资产进行减值测试，估计其可收回金额。有迹象表明一项无形资产可能发生减值的，公司以单</w:t>
      </w:r>
    </w:p>
    <w:p>
      <w:pPr>
        <w:spacing w:line="340" w:lineRule="auto" w:before="27"/>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项无形资产为基础估计其可收回金额。公司难以对单项资产的可收回金额进行估计的，以该无形资产所属</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的资产组为基础确定无形资产组的可收回金额。</w:t>
      </w:r>
    </w:p>
    <w:p>
      <w:pPr>
        <w:spacing w:line="340" w:lineRule="auto" w:before="27"/>
        <w:ind w:left="153" w:right="0" w:firstLine="420"/>
        <w:jc w:val="left"/>
        <w:rPr>
          <w:rFonts w:ascii="宋体" w:hAnsi="宋体" w:cs="宋体" w:eastAsia="宋体" w:hint="default"/>
          <w:sz w:val="21"/>
          <w:szCs w:val="21"/>
        </w:rPr>
      </w:pPr>
      <w:r>
        <w:rPr>
          <w:rFonts w:ascii="宋体" w:hAnsi="宋体" w:cs="宋体" w:eastAsia="宋体" w:hint="default"/>
          <w:spacing w:val="3"/>
          <w:sz w:val="21"/>
          <w:szCs w:val="21"/>
        </w:rPr>
        <w:t>可收回金额根据无形资产的公允价值减去处置费用后的净额与无形资产预计未来现金流量的现值两</w:t>
      </w:r>
      <w:r>
        <w:rPr>
          <w:rFonts w:ascii="宋体" w:hAnsi="宋体" w:cs="宋体" w:eastAsia="宋体" w:hint="default"/>
          <w:sz w:val="21"/>
          <w:szCs w:val="21"/>
        </w:rPr>
        <w:t> 者之间较高者确定。</w:t>
      </w:r>
    </w:p>
    <w:p>
      <w:pPr>
        <w:spacing w:line="340" w:lineRule="auto" w:before="27"/>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当无形资产的可收回金额低于其账面价值的，将无形资产的账面价值减记至可收回金额，减记的金额</w:t>
      </w:r>
      <w:r>
        <w:rPr>
          <w:rFonts w:ascii="宋体" w:hAnsi="宋体" w:cs="宋体" w:eastAsia="宋体" w:hint="default"/>
          <w:sz w:val="21"/>
          <w:szCs w:val="21"/>
        </w:rPr>
        <w:t> 确认为无形资产减值损失，计入当期损益，同时计提相应的无形资产减值准备。</w:t>
      </w:r>
    </w:p>
    <w:p>
      <w:pPr>
        <w:spacing w:line="340" w:lineRule="auto" w:before="27"/>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无形资产减值损失确认后，减值无形资产的折耗或者摊销费用在未来期间作相应调整，以使该无形资</w:t>
      </w:r>
      <w:r>
        <w:rPr>
          <w:rFonts w:ascii="宋体" w:hAnsi="宋体" w:cs="宋体" w:eastAsia="宋体" w:hint="default"/>
          <w:sz w:val="21"/>
          <w:szCs w:val="21"/>
        </w:rPr>
        <w:t> 产在剩余使用寿命内，系统地分摊调整后的无形资产账面价值（扣除预计净残值）。</w:t>
      </w:r>
    </w:p>
    <w:p>
      <w:pPr>
        <w:spacing w:before="27"/>
        <w:ind w:left="573" w:right="0" w:firstLine="0"/>
        <w:jc w:val="left"/>
        <w:rPr>
          <w:rFonts w:ascii="宋体" w:hAnsi="宋体" w:cs="宋体" w:eastAsia="宋体" w:hint="default"/>
          <w:sz w:val="21"/>
          <w:szCs w:val="21"/>
        </w:rPr>
      </w:pPr>
      <w:r>
        <w:rPr>
          <w:rFonts w:ascii="宋体" w:hAnsi="宋体" w:cs="宋体" w:eastAsia="宋体" w:hint="default"/>
          <w:sz w:val="21"/>
          <w:szCs w:val="21"/>
        </w:rPr>
        <w:t>无形资产的减值损失一经确认，在以后会计期间不再转回。</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公司内部研究开发项目的支出分为研究阶段支出和开发阶段支出。 研究阶段：为获取并理解新的科学或技术知识等而进行的独创性的有计划调查、研究活动的阶段。 </w:t>
      </w:r>
      <w:r>
        <w:rPr>
          <w:rFonts w:ascii="宋体" w:hAnsi="宋体" w:cs="宋体" w:eastAsia="宋体" w:hint="default"/>
          <w:spacing w:val="-1"/>
          <w:sz w:val="21"/>
          <w:szCs w:val="21"/>
        </w:rPr>
        <w:t>开发阶段：在进行商业性生产或使用前，将研究成果或其他知识应用于某项计划或设计，以生产出新</w:t>
      </w:r>
    </w:p>
    <w:p>
      <w:pPr>
        <w:spacing w:before="27"/>
        <w:ind w:left="154" w:right="0" w:firstLine="0"/>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p>
    <w:p>
      <w:pPr>
        <w:spacing w:line="630" w:lineRule="atLeast" w:before="37"/>
        <w:ind w:left="574" w:right="242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spacing w:before="115"/>
        <w:ind w:left="574" w:right="0"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7"/>
          <w:szCs w:val="27"/>
        </w:rPr>
      </w:pPr>
    </w:p>
    <w:p>
      <w:pPr>
        <w:spacing w:before="35"/>
        <w:ind w:left="574" w:right="95"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340" w:lineRule="auto" w:before="115"/>
        <w:ind w:left="153" w:right="95" w:firstLine="420"/>
        <w:jc w:val="left"/>
        <w:rPr>
          <w:rFonts w:ascii="宋体" w:hAnsi="宋体" w:cs="宋体" w:eastAsia="宋体" w:hint="default"/>
          <w:sz w:val="21"/>
          <w:szCs w:val="21"/>
        </w:rPr>
      </w:pPr>
      <w:r>
        <w:rPr>
          <w:rFonts w:ascii="宋体" w:hAnsi="宋体" w:cs="宋体" w:eastAsia="宋体" w:hint="default"/>
          <w:spacing w:val="-1"/>
          <w:sz w:val="21"/>
          <w:szCs w:val="21"/>
        </w:rPr>
        <w:t>③无形资产产生经济利益的方式，包括能够证明运用该无形资产生产的产品存在市场或无形资产自身</w:t>
      </w:r>
      <w:r>
        <w:rPr>
          <w:rFonts w:ascii="宋体" w:hAnsi="宋体" w:cs="宋体" w:eastAsia="宋体" w:hint="default"/>
          <w:sz w:val="21"/>
          <w:szCs w:val="21"/>
        </w:rPr>
        <w:t> 存在市场，无形资产将在内部使用的，能够证明其有用性；</w:t>
      </w:r>
    </w:p>
    <w:p>
      <w:pPr>
        <w:spacing w:line="340" w:lineRule="auto" w:before="27"/>
        <w:ind w:left="153" w:right="95" w:firstLine="420"/>
        <w:jc w:val="left"/>
        <w:rPr>
          <w:rFonts w:ascii="宋体" w:hAnsi="宋体" w:cs="宋体" w:eastAsia="宋体" w:hint="default"/>
          <w:sz w:val="21"/>
          <w:szCs w:val="21"/>
        </w:rPr>
      </w:pPr>
      <w:r>
        <w:rPr>
          <w:rFonts w:ascii="宋体" w:hAnsi="宋体" w:cs="宋体" w:eastAsia="宋体" w:hint="default"/>
          <w:spacing w:val="-1"/>
          <w:sz w:val="21"/>
          <w:szCs w:val="21"/>
        </w:rPr>
        <w:t>④有足够的技术、财务资源和其他资源支持，以完成该无形资产的开发，并有能力使用或出售该无形</w:t>
      </w:r>
      <w:r>
        <w:rPr>
          <w:rFonts w:ascii="宋体" w:hAnsi="宋体" w:cs="宋体" w:eastAsia="宋体" w:hint="default"/>
          <w:sz w:val="21"/>
          <w:szCs w:val="21"/>
        </w:rPr>
        <w:t> 资产；</w:t>
      </w:r>
    </w:p>
    <w:p>
      <w:pPr>
        <w:spacing w:line="340" w:lineRule="auto" w:before="27"/>
        <w:ind w:left="573" w:right="95" w:firstLine="0"/>
        <w:jc w:val="left"/>
        <w:rPr>
          <w:rFonts w:ascii="宋体" w:hAnsi="宋体" w:cs="宋体" w:eastAsia="宋体" w:hint="default"/>
          <w:sz w:val="21"/>
          <w:szCs w:val="21"/>
        </w:rPr>
      </w:pPr>
      <w:r>
        <w:rPr>
          <w:rFonts w:ascii="宋体" w:hAnsi="宋体" w:cs="宋体" w:eastAsia="宋体" w:hint="default"/>
          <w:sz w:val="21"/>
          <w:szCs w:val="21"/>
        </w:rPr>
        <w:t>⑤归属于该无形资产开发阶段的支出能够可靠地计量。 </w:t>
      </w:r>
      <w:r>
        <w:rPr>
          <w:rFonts w:ascii="宋体" w:hAnsi="宋体" w:cs="宋体" w:eastAsia="宋体" w:hint="default"/>
          <w:spacing w:val="-1"/>
          <w:sz w:val="21"/>
          <w:szCs w:val="21"/>
        </w:rPr>
        <w:t>开发阶段的支出，若不满足上列条件的，于发生时计入当期损益。研究阶段的支出，在发生时计入当</w:t>
      </w:r>
    </w:p>
    <w:p>
      <w:pPr>
        <w:spacing w:before="27"/>
        <w:ind w:left="153" w:right="95" w:firstLine="0"/>
        <w:jc w:val="left"/>
        <w:rPr>
          <w:rFonts w:ascii="宋体" w:hAnsi="宋体" w:cs="宋体" w:eastAsia="宋体" w:hint="default"/>
          <w:sz w:val="21"/>
          <w:szCs w:val="21"/>
        </w:rPr>
      </w:pPr>
      <w:r>
        <w:rPr>
          <w:rFonts w:ascii="宋体" w:hAnsi="宋体" w:cs="宋体" w:eastAsia="宋体" w:hint="default"/>
          <w:sz w:val="21"/>
          <w:szCs w:val="21"/>
        </w:rPr>
        <w:t>期损益。</w:t>
      </w:r>
    </w:p>
    <w:p>
      <w:pPr>
        <w:spacing w:line="240" w:lineRule="auto" w:before="10"/>
        <w:rPr>
          <w:rFonts w:ascii="宋体" w:hAnsi="宋体" w:cs="宋体" w:eastAsia="宋体" w:hint="default"/>
          <w:sz w:val="28"/>
          <w:szCs w:val="28"/>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3" w:right="1221" w:firstLine="0"/>
        <w:jc w:val="left"/>
        <w:rPr>
          <w:rFonts w:ascii="宋体" w:hAnsi="宋体" w:cs="宋体" w:eastAsia="宋体" w:hint="default"/>
          <w:sz w:val="21"/>
          <w:szCs w:val="21"/>
        </w:rPr>
      </w:pPr>
      <w:r>
        <w:rPr>
          <w:rFonts w:ascii="宋体" w:hAnsi="宋体" w:cs="宋体" w:eastAsia="宋体" w:hint="default"/>
          <w:sz w:val="21"/>
          <w:szCs w:val="21"/>
        </w:rPr>
        <w:t>长期待摊费用为已经发生但应由本期和以后各期负担的分摊期限在一年以上的各项费用。 长期待摊费用在受益期内平均摊销。</w:t>
      </w:r>
    </w:p>
    <w:p>
      <w:pPr>
        <w:spacing w:line="240" w:lineRule="auto" w:before="1"/>
        <w:rPr>
          <w:rFonts w:ascii="宋体" w:hAnsi="宋体" w:cs="宋体" w:eastAsia="宋体" w:hint="default"/>
          <w:sz w:val="22"/>
          <w:szCs w:val="22"/>
        </w:rPr>
      </w:pPr>
    </w:p>
    <w:p>
      <w:pPr>
        <w:spacing w:before="0"/>
        <w:ind w:left="153"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line="374" w:lineRule="auto" w:before="0"/>
        <w:ind w:left="574" w:right="95" w:firstLine="0"/>
        <w:jc w:val="left"/>
        <w:rPr>
          <w:rFonts w:ascii="宋体" w:hAnsi="宋体" w:cs="宋体" w:eastAsia="宋体" w:hint="default"/>
          <w:sz w:val="21"/>
          <w:szCs w:val="21"/>
        </w:rPr>
      </w:pPr>
      <w:r>
        <w:rPr>
          <w:rFonts w:ascii="宋体" w:hAnsi="宋体" w:cs="宋体" w:eastAsia="宋体" w:hint="default"/>
          <w:sz w:val="21"/>
          <w:szCs w:val="21"/>
        </w:rPr>
        <w:t>①销售商品收入确认和计量的总体原则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spacing w:line="340" w:lineRule="auto" w:before="0"/>
        <w:ind w:left="154" w:right="101" w:firstLine="0"/>
        <w:jc w:val="left"/>
        <w:rPr>
          <w:rFonts w:ascii="宋体" w:hAnsi="宋体" w:cs="宋体" w:eastAsia="宋体" w:hint="default"/>
          <w:sz w:val="21"/>
          <w:szCs w:val="21"/>
        </w:rPr>
      </w:pPr>
      <w:r>
        <w:rPr>
          <w:rFonts w:ascii="宋体" w:hAnsi="宋体" w:cs="宋体" w:eastAsia="宋体" w:hint="default"/>
          <w:spacing w:val="-3"/>
          <w:sz w:val="21"/>
          <w:szCs w:val="21"/>
        </w:rPr>
        <w:t>权，也没有对已售出的商品实施有效控制；收入的金额能够可靠地计量；相关的经济利益很可能流入企业；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相关的已发生或将发生的成本能够可靠地计量时，确认商品销售收入实现。</w:t>
      </w:r>
    </w:p>
    <w:p>
      <w:pPr>
        <w:spacing w:line="374" w:lineRule="auto" w:before="66"/>
        <w:ind w:left="574" w:right="95" w:firstLine="0"/>
        <w:jc w:val="left"/>
        <w:rPr>
          <w:rFonts w:ascii="宋体" w:hAnsi="宋体" w:cs="宋体" w:eastAsia="宋体" w:hint="default"/>
          <w:sz w:val="21"/>
          <w:szCs w:val="21"/>
        </w:rPr>
      </w:pPr>
      <w:r>
        <w:rPr>
          <w:rFonts w:ascii="宋体" w:hAnsi="宋体" w:cs="宋体" w:eastAsia="宋体" w:hint="default"/>
          <w:sz w:val="21"/>
          <w:szCs w:val="21"/>
        </w:rPr>
        <w:t>②本公司销售商品收入确认的确认标准及收入确认时间的具体判断标准 </w:t>
      </w:r>
      <w:r>
        <w:rPr>
          <w:rFonts w:ascii="宋体" w:hAnsi="宋体" w:cs="宋体" w:eastAsia="宋体" w:hint="default"/>
          <w:spacing w:val="-3"/>
          <w:sz w:val="21"/>
          <w:szCs w:val="21"/>
        </w:rPr>
        <w:t>考虑公司相关业务流程，本公司</w:t>
      </w:r>
      <w:r>
        <w:rPr>
          <w:rFonts w:ascii="宋体" w:hAnsi="宋体" w:cs="宋体" w:eastAsia="宋体" w:hint="default"/>
          <w:spacing w:val="-59"/>
          <w:sz w:val="21"/>
          <w:szCs w:val="21"/>
        </w:rPr>
        <w:t> </w:t>
      </w:r>
      <w:r>
        <w:rPr>
          <w:rFonts w:ascii="宋体" w:hAnsi="宋体" w:cs="宋体" w:eastAsia="宋体" w:hint="default"/>
          <w:sz w:val="21"/>
          <w:szCs w:val="21"/>
        </w:rPr>
        <w:t>ATM</w:t>
      </w:r>
      <w:r>
        <w:rPr>
          <w:rFonts w:ascii="宋体" w:hAnsi="宋体" w:cs="宋体" w:eastAsia="宋体" w:hint="default"/>
          <w:spacing w:val="-58"/>
          <w:sz w:val="21"/>
          <w:szCs w:val="21"/>
        </w:rPr>
        <w:t> </w:t>
      </w:r>
      <w:r>
        <w:rPr>
          <w:rFonts w:ascii="宋体" w:hAnsi="宋体" w:cs="宋体" w:eastAsia="宋体" w:hint="default"/>
          <w:sz w:val="21"/>
          <w:szCs w:val="21"/>
        </w:rPr>
        <w:t>及</w:t>
      </w:r>
      <w:r>
        <w:rPr>
          <w:rFonts w:ascii="宋体" w:hAnsi="宋体" w:cs="宋体" w:eastAsia="宋体" w:hint="default"/>
          <w:spacing w:val="-60"/>
          <w:sz w:val="21"/>
          <w:szCs w:val="21"/>
        </w:rPr>
        <w:t> </w:t>
      </w:r>
      <w:r>
        <w:rPr>
          <w:rFonts w:ascii="宋体" w:hAnsi="宋体" w:cs="宋体" w:eastAsia="宋体" w:hint="default"/>
          <w:sz w:val="21"/>
          <w:szCs w:val="21"/>
        </w:rPr>
        <w:t>TVM</w:t>
      </w:r>
      <w:r>
        <w:rPr>
          <w:rFonts w:ascii="宋体" w:hAnsi="宋体" w:cs="宋体" w:eastAsia="宋体" w:hint="default"/>
          <w:spacing w:val="-58"/>
          <w:sz w:val="21"/>
          <w:szCs w:val="21"/>
        </w:rPr>
        <w:t> </w:t>
      </w:r>
      <w:r>
        <w:rPr>
          <w:rFonts w:ascii="宋体" w:hAnsi="宋体" w:cs="宋体" w:eastAsia="宋体" w:hint="default"/>
          <w:sz w:val="21"/>
          <w:szCs w:val="21"/>
        </w:rPr>
        <w:t>销售收入以取得购买方确认后的到货签收表作为收入确认</w:t>
      </w:r>
    </w:p>
    <w:p>
      <w:pPr>
        <w:spacing w:line="274" w:lineRule="exact" w:before="0"/>
        <w:ind w:left="154" w:right="95" w:firstLine="0"/>
        <w:jc w:val="left"/>
        <w:rPr>
          <w:rFonts w:ascii="宋体" w:hAnsi="宋体" w:cs="宋体" w:eastAsia="宋体" w:hint="default"/>
          <w:sz w:val="21"/>
          <w:szCs w:val="21"/>
        </w:rPr>
      </w:pPr>
      <w:r>
        <w:rPr>
          <w:rFonts w:ascii="宋体" w:hAnsi="宋体" w:cs="宋体" w:eastAsia="宋体" w:hint="default"/>
          <w:sz w:val="21"/>
          <w:szCs w:val="21"/>
        </w:rPr>
        <w:t>的时点。</w:t>
      </w:r>
    </w:p>
    <w:p>
      <w:pPr>
        <w:spacing w:line="630" w:lineRule="atLeast" w:before="36"/>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spacing w:before="115"/>
        <w:ind w:left="154" w:right="95" w:firstLine="0"/>
        <w:jc w:val="left"/>
        <w:rPr>
          <w:rFonts w:ascii="宋体" w:hAnsi="宋体" w:cs="宋体" w:eastAsia="宋体" w:hint="default"/>
          <w:sz w:val="21"/>
          <w:szCs w:val="21"/>
        </w:rPr>
      </w:pPr>
      <w:r>
        <w:rPr>
          <w:rFonts w:ascii="宋体" w:hAnsi="宋体" w:cs="宋体" w:eastAsia="宋体" w:hint="default"/>
          <w:sz w:val="21"/>
          <w:szCs w:val="21"/>
        </w:rPr>
        <w:t>使用权收入金额：</w:t>
      </w:r>
    </w:p>
    <w:p>
      <w:pPr>
        <w:spacing w:before="115"/>
        <w:ind w:left="574" w:right="95" w:firstLine="0"/>
        <w:jc w:val="left"/>
        <w:rPr>
          <w:rFonts w:ascii="宋体" w:hAnsi="宋体" w:cs="宋体" w:eastAsia="宋体" w:hint="default"/>
          <w:sz w:val="21"/>
          <w:szCs w:val="21"/>
        </w:rPr>
      </w:pPr>
      <w:r>
        <w:rPr>
          <w:rFonts w:ascii="宋体" w:hAnsi="宋体" w:cs="宋体" w:eastAsia="宋体" w:hint="default"/>
          <w:sz w:val="21"/>
          <w:szCs w:val="21"/>
        </w:rPr>
        <w:t>①利息收入金额，按照他人使用本企业货币资金的时间和实际利率计算确定。</w:t>
      </w:r>
    </w:p>
    <w:p>
      <w:pPr>
        <w:spacing w:before="115"/>
        <w:ind w:left="574" w:right="95" w:firstLine="0"/>
        <w:jc w:val="left"/>
        <w:rPr>
          <w:rFonts w:ascii="宋体" w:hAnsi="宋体" w:cs="宋体" w:eastAsia="宋体" w:hint="default"/>
          <w:sz w:val="21"/>
          <w:szCs w:val="21"/>
        </w:rPr>
      </w:pPr>
      <w:r>
        <w:rPr>
          <w:rFonts w:ascii="宋体" w:hAnsi="宋体" w:cs="宋体" w:eastAsia="宋体" w:hint="default"/>
          <w:sz w:val="21"/>
          <w:szCs w:val="21"/>
        </w:rPr>
        <w:t>②使用费收入金额，按照有关合同或协议约定的收费时间和方法计算确定。</w:t>
      </w:r>
    </w:p>
    <w:p>
      <w:pPr>
        <w:spacing w:line="340" w:lineRule="auto" w:before="115"/>
        <w:ind w:left="153" w:right="95" w:firstLine="420"/>
        <w:jc w:val="left"/>
        <w:rPr>
          <w:rFonts w:ascii="宋体" w:hAnsi="宋体" w:cs="宋体" w:eastAsia="宋体" w:hint="default"/>
          <w:sz w:val="21"/>
          <w:szCs w:val="21"/>
        </w:rPr>
      </w:pPr>
      <w:r>
        <w:rPr>
          <w:rFonts w:ascii="宋体" w:hAnsi="宋体" w:cs="宋体" w:eastAsia="宋体" w:hint="default"/>
          <w:sz w:val="21"/>
          <w:szCs w:val="21"/>
        </w:rPr>
        <w:t>③ATM</w:t>
      </w:r>
      <w:r>
        <w:rPr>
          <w:rFonts w:ascii="宋体" w:hAnsi="宋体" w:cs="宋体" w:eastAsia="宋体" w:hint="default"/>
          <w:spacing w:val="34"/>
          <w:sz w:val="21"/>
          <w:szCs w:val="21"/>
        </w:rPr>
        <w:t> </w:t>
      </w:r>
      <w:r>
        <w:rPr>
          <w:rFonts w:ascii="宋体" w:hAnsi="宋体" w:cs="宋体" w:eastAsia="宋体" w:hint="default"/>
          <w:spacing w:val="-4"/>
          <w:sz w:val="21"/>
          <w:szCs w:val="21"/>
        </w:rPr>
        <w:t>服务收入金额，按照收入的金额能够可靠地计量；相关的经济利益很可能流入企业时确认收入。</w:t>
      </w:r>
      <w:r>
        <w:rPr>
          <w:rFonts w:ascii="宋体" w:hAnsi="宋体" w:cs="宋体" w:eastAsia="宋体" w:hint="default"/>
          <w:sz w:val="21"/>
          <w:szCs w:val="21"/>
        </w:rPr>
        <w:t> 考虑服务的特殊性，收入确认时点为公司已提供服务、接受服务方确认所提供的服务并支付款项。</w:t>
      </w:r>
    </w:p>
    <w:p>
      <w:pPr>
        <w:spacing w:before="27"/>
        <w:ind w:left="573" w:right="95" w:firstLine="0"/>
        <w:jc w:val="left"/>
        <w:rPr>
          <w:rFonts w:ascii="宋体" w:hAnsi="宋体" w:cs="宋体" w:eastAsia="宋体" w:hint="default"/>
          <w:sz w:val="21"/>
          <w:szCs w:val="21"/>
        </w:rPr>
      </w:pPr>
      <w:r>
        <w:rPr>
          <w:rFonts w:ascii="宋体" w:hAnsi="宋体" w:cs="宋体" w:eastAsia="宋体" w:hint="default"/>
          <w:sz w:val="21"/>
          <w:szCs w:val="21"/>
        </w:rPr>
        <w:t>④经营收入金额，按照有关合同或协议约定的收费时间和方法计算确定。</w:t>
      </w:r>
    </w:p>
    <w:p>
      <w:pPr>
        <w:spacing w:after="0"/>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政府补助，是本公司从政府无偿取得的货币性资产与非货币性资产。分为与资产相关的政府补助和与</w:t>
      </w:r>
      <w:r>
        <w:rPr>
          <w:rFonts w:ascii="宋体" w:hAnsi="宋体" w:cs="宋体" w:eastAsia="宋体" w:hint="default"/>
          <w:sz w:val="21"/>
          <w:szCs w:val="21"/>
        </w:rPr>
        <w:t> 收益相关的政府补助。</w:t>
      </w:r>
    </w:p>
    <w:p>
      <w:pPr>
        <w:spacing w:line="652" w:lineRule="exact" w:before="1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与购建固定资产、无形资产等长期资产相关的政府补助，确认为递延收益，按照所建造或购买的资产</w:t>
      </w:r>
    </w:p>
    <w:p>
      <w:pPr>
        <w:spacing w:line="340" w:lineRule="auto" w:before="14"/>
        <w:ind w:left="573" w:right="0" w:hanging="420"/>
        <w:jc w:val="left"/>
        <w:rPr>
          <w:rFonts w:ascii="宋体" w:hAnsi="宋体" w:cs="宋体" w:eastAsia="宋体" w:hint="default"/>
          <w:sz w:val="21"/>
          <w:szCs w:val="21"/>
        </w:rPr>
      </w:pPr>
      <w:r>
        <w:rPr>
          <w:rFonts w:ascii="宋体" w:hAnsi="宋体" w:cs="宋体" w:eastAsia="宋体" w:hint="default"/>
          <w:sz w:val="21"/>
          <w:szCs w:val="21"/>
        </w:rPr>
        <w:t>使用年限分期计入营业外收入； </w:t>
      </w:r>
      <w:r>
        <w:rPr>
          <w:rFonts w:ascii="宋体" w:hAnsi="宋体" w:cs="宋体" w:eastAsia="宋体" w:hint="default"/>
          <w:spacing w:val="-1"/>
          <w:sz w:val="21"/>
          <w:szCs w:val="21"/>
        </w:rPr>
        <w:t>与收益相关的政府补助，用于补偿企业以后期间的相关费用或损失的，取得时确认为递延收益，在确</w:t>
      </w:r>
    </w:p>
    <w:p>
      <w:pPr>
        <w:spacing w:line="340" w:lineRule="auto" w:before="27"/>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认相关费用的期间计入当期营业外收入；用于补偿企业已发生的相关费用或损失的，取得时直接计入当期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营业外收入。</w:t>
      </w:r>
    </w:p>
    <w:p>
      <w:pPr>
        <w:spacing w:line="652" w:lineRule="exact" w:before="12"/>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、递延所得税资产和递延所得税负债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spacing w:line="376" w:lineRule="auto" w:before="15"/>
        <w:ind w:left="573" w:right="3471" w:hanging="420"/>
        <w:jc w:val="left"/>
        <w:rPr>
          <w:rFonts w:ascii="宋体" w:hAnsi="宋体" w:cs="宋体" w:eastAsia="宋体" w:hint="default"/>
          <w:sz w:val="21"/>
          <w:szCs w:val="21"/>
        </w:rPr>
      </w:pPr>
      <w:r>
        <w:rPr>
          <w:rFonts w:ascii="宋体" w:hAnsi="宋体" w:cs="宋体" w:eastAsia="宋体" w:hint="default"/>
          <w:sz w:val="21"/>
          <w:szCs w:val="21"/>
        </w:rPr>
        <w:t>应纳税所得额为限。 对于应纳税暂时性差异，除特殊情况外，确认递延所得税负债。</w:t>
      </w:r>
    </w:p>
    <w:p>
      <w:pPr>
        <w:spacing w:line="340" w:lineRule="auto" w:before="34"/>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不确认递延所得税资产或递延所得税负债的特殊情况包括：商誉的初始确认；除企业合并以外的发生</w:t>
      </w:r>
      <w:r>
        <w:rPr>
          <w:rFonts w:ascii="宋体" w:hAnsi="宋体" w:cs="宋体" w:eastAsia="宋体" w:hint="default"/>
          <w:sz w:val="21"/>
          <w:szCs w:val="21"/>
        </w:rPr>
        <w:t> 时既不影响会计利润也不影响应纳税所得额（或可抵扣亏损）的其他交易或事项。</w:t>
      </w:r>
    </w:p>
    <w:p>
      <w:pPr>
        <w:spacing w:line="340" w:lineRule="auto" w:before="65"/>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当拥有以净额结算的法定权利，且意图以净额结算或取得资产、清偿负债同时进行时，本公司当期所</w:t>
      </w:r>
      <w:r>
        <w:rPr>
          <w:rFonts w:ascii="宋体" w:hAnsi="宋体" w:cs="宋体" w:eastAsia="宋体" w:hint="default"/>
          <w:sz w:val="21"/>
          <w:szCs w:val="21"/>
        </w:rPr>
        <w:t> 得税资产及当期所得税负债以抵销后的净额列报。</w:t>
      </w:r>
    </w:p>
    <w:p>
      <w:pPr>
        <w:spacing w:line="340" w:lineRule="auto" w:before="66"/>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当拥有以净额结算当期所得税资产及当期所得税负债的法定权利，且递延所得税资产及递延所得税负</w:t>
      </w:r>
      <w:r>
        <w:rPr>
          <w:rFonts w:ascii="宋体" w:hAnsi="宋体" w:cs="宋体" w:eastAsia="宋体" w:hint="default"/>
          <w:sz w:val="21"/>
          <w:szCs w:val="21"/>
        </w:rPr>
        <w:t> </w:t>
      </w:r>
      <w:r>
        <w:rPr>
          <w:rFonts w:ascii="宋体" w:hAnsi="宋体" w:cs="宋体" w:eastAsia="宋体" w:hint="default"/>
          <w:spacing w:val="-1"/>
          <w:sz w:val="21"/>
          <w:szCs w:val="21"/>
        </w:rPr>
        <w:t>债是与同一税收征管部门对同一纳税主体征收的所得税相关或者是对不同的纳税主体相关，但在未来每一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具有重要性的递延所得税资产及负债转回的期间内，涉及的纳税主体意图以净额结算当期所得税资产和负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债或是同时取得资产、清偿负债时，本公司递延所得税资产及递延所得税负债以抵销后的净额列报。</w:t>
      </w:r>
    </w:p>
    <w:p>
      <w:pPr>
        <w:spacing w:line="240" w:lineRule="auto" w:before="1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、经营租赁</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line="340" w:lineRule="auto" w:before="0"/>
        <w:ind w:left="153" w:right="147" w:firstLine="420"/>
        <w:jc w:val="both"/>
        <w:rPr>
          <w:rFonts w:ascii="宋体" w:hAnsi="宋体" w:cs="宋体" w:eastAsia="宋体" w:hint="default"/>
          <w:sz w:val="21"/>
          <w:szCs w:val="21"/>
        </w:rPr>
      </w:pPr>
      <w:r>
        <w:rPr>
          <w:rFonts w:ascii="宋体" w:hAnsi="宋体" w:cs="宋体" w:eastAsia="宋体" w:hint="default"/>
          <w:sz w:val="21"/>
          <w:szCs w:val="21"/>
        </w:rPr>
        <w:t>（1）公司租入资产所支付的租赁费，在不扣除免租期的整个租赁期内，按直线法进行分摊，计入当</w:t>
      </w:r>
      <w:r>
        <w:rPr>
          <w:rFonts w:ascii="宋体" w:hAnsi="宋体" w:cs="宋体" w:eastAsia="宋体" w:hint="default"/>
          <w:spacing w:val="2"/>
          <w:sz w:val="21"/>
          <w:szCs w:val="21"/>
        </w:rPr>
        <w:t> </w:t>
      </w:r>
      <w:r>
        <w:rPr>
          <w:rFonts w:ascii="宋体" w:hAnsi="宋体" w:cs="宋体" w:eastAsia="宋体" w:hint="default"/>
          <w:sz w:val="21"/>
          <w:szCs w:val="21"/>
        </w:rPr>
        <w:t>期费用。公司支付的与租赁交易相关的初始直接费用，计入当期费用。</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资产出租方承担了应由公司承担的与租赁相关的费用时，公司将该部分费用从租金总额中扣除，按扣</w:t>
      </w:r>
      <w:r>
        <w:rPr>
          <w:rFonts w:ascii="宋体" w:hAnsi="宋体" w:cs="宋体" w:eastAsia="宋体" w:hint="default"/>
          <w:sz w:val="21"/>
          <w:szCs w:val="21"/>
        </w:rPr>
        <w:t> 除后的租金费用在租赁期内分摊，计入当期费用。</w:t>
      </w:r>
    </w:p>
    <w:p>
      <w:pPr>
        <w:spacing w:line="340" w:lineRule="auto" w:before="27"/>
        <w:ind w:left="153" w:right="128" w:firstLine="420"/>
        <w:jc w:val="both"/>
        <w:rPr>
          <w:rFonts w:ascii="宋体" w:hAnsi="宋体" w:cs="宋体" w:eastAsia="宋体" w:hint="default"/>
          <w:sz w:val="21"/>
          <w:szCs w:val="21"/>
        </w:rPr>
      </w:pPr>
      <w:r>
        <w:rPr>
          <w:rFonts w:ascii="宋体" w:hAnsi="宋体" w:cs="宋体" w:eastAsia="宋体" w:hint="default"/>
          <w:sz w:val="21"/>
          <w:szCs w:val="21"/>
        </w:rPr>
        <w:t>（2）公司出租资产所收取的租赁费，在不扣除免租期的整个租赁期内，按直线法进行分摊，确认为</w:t>
      </w:r>
      <w:r>
        <w:rPr>
          <w:rFonts w:ascii="宋体" w:hAnsi="宋体" w:cs="宋体" w:eastAsia="宋体" w:hint="default"/>
          <w:spacing w:val="2"/>
          <w:sz w:val="21"/>
          <w:szCs w:val="21"/>
        </w:rPr>
        <w:t> </w:t>
      </w:r>
      <w:r>
        <w:rPr>
          <w:rFonts w:ascii="宋体" w:hAnsi="宋体" w:cs="宋体" w:eastAsia="宋体" w:hint="default"/>
          <w:sz w:val="21"/>
          <w:szCs w:val="21"/>
        </w:rPr>
        <w:t>租赁收入。公司支付的与租赁交易相关的初始直接费用，计入当期费用；如金额较大的，则予以资本化，</w:t>
      </w:r>
      <w:r>
        <w:rPr>
          <w:rFonts w:ascii="宋体" w:hAnsi="宋体" w:cs="宋体" w:eastAsia="宋体" w:hint="default"/>
          <w:sz w:val="21"/>
          <w:szCs w:val="21"/>
        </w:rPr>
        <w:t> 在整个租赁期间内按照与租赁收入确认相同的基础分期计入当期收益。</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7"/>
          <w:szCs w:val="27"/>
        </w:rPr>
      </w:pPr>
    </w:p>
    <w:p>
      <w:pPr>
        <w:spacing w:line="340" w:lineRule="auto" w:before="35"/>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公司承担了应由承租方承担的与租赁相关的费用时，公司将该部分费用从租金收入总额中扣除，按扣</w:t>
      </w:r>
      <w:r>
        <w:rPr>
          <w:rFonts w:ascii="宋体" w:hAnsi="宋体" w:cs="宋体" w:eastAsia="宋体" w:hint="default"/>
          <w:sz w:val="21"/>
          <w:szCs w:val="21"/>
        </w:rPr>
        <w:t> 除后的租金费用在租赁期内分配。</w:t>
      </w:r>
    </w:p>
    <w:p>
      <w:pPr>
        <w:spacing w:line="614" w:lineRule="exact" w:before="42"/>
        <w:ind w:left="153" w:right="57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本报告期主要会计政策、会计估计是否变更</w:t>
      </w:r>
    </w:p>
    <w:p>
      <w:pPr>
        <w:spacing w:line="274" w:lineRule="exact"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590" w:lineRule="atLeast" w:before="22"/>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本报告期主要会计政策是否变更</w:t>
      </w:r>
    </w:p>
    <w:p>
      <w:pPr>
        <w:spacing w:before="78"/>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600" w:lineRule="atLeast" w:before="11"/>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本报告期主要会计估计是否变更</w:t>
      </w:r>
    </w:p>
    <w:p>
      <w:pPr>
        <w:spacing w:before="76"/>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590" w:lineRule="atLeast" w:before="22"/>
        <w:ind w:left="154" w:right="68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本报告期是否发现前期会计差错</w:t>
      </w:r>
    </w:p>
    <w:p>
      <w:pPr>
        <w:spacing w:before="78"/>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600" w:lineRule="atLeast" w:before="10"/>
        <w:ind w:left="154" w:right="51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本报告期是否发现采用追溯重述法的前期会计差错</w:t>
      </w:r>
    </w:p>
    <w:p>
      <w:pPr>
        <w:spacing w:before="76"/>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600" w:lineRule="atLeast" w:before="10"/>
        <w:ind w:left="154" w:right="51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本报告期是否发现采用未来适用法的前期会计差错</w:t>
      </w:r>
    </w:p>
    <w:p>
      <w:pPr>
        <w:spacing w:before="76"/>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w:t>
      </w:r>
    </w:p>
    <w:p>
      <w:pPr>
        <w:spacing w:line="240" w:lineRule="auto" w:before="10"/>
        <w:rPr>
          <w:rFonts w:ascii="宋体" w:hAnsi="宋体" w:cs="宋体" w:eastAsia="宋体" w:hint="default"/>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pict>
          <v:group style="position:absolute;margin-left:434.940002pt;margin-top:66.933968pt;width:98.7pt;height:20.75pt;mso-position-horizontal-relative:page;mso-position-vertical-relative:paragraph;z-index:-1105624" coordorigin="8699,1339" coordsize="1974,415">
            <v:group style="position:absolute;left:8710;top:1350;width:2;height:392" coordorigin="8710,1350" coordsize="2,392">
              <v:shape style="position:absolute;left:8710;top:1350;width:2;height:392" coordorigin="8710,1350" coordsize="0,392" path="m8710,1350l8710,1742e" filled="false" stroked="true" strokeweight="1.140pt" strokecolor="#ffffff">
                <v:path arrowok="t"/>
              </v:shape>
            </v:group>
            <v:group style="position:absolute;left:8722;top:1350;width:1952;height:392" coordorigin="8722,1350" coordsize="1952,392">
              <v:shape style="position:absolute;left:8722;top:1350;width:1952;height:392" coordorigin="8722,1350" coordsize="1952,392" path="m8722,1742l10673,1742,10673,1350,8722,1350,8722,1742xe" filled="true" fillcolor="#ffffff" stroked="false">
                <v:path arrowok="t"/>
                <v:fill type="solid"/>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4045"/>
        <w:gridCol w:w="2008"/>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4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w:t>
            </w:r>
          </w:p>
        </w:tc>
        <w:tc>
          <w:tcPr>
            <w:tcW w:w="2008" w:type="dxa"/>
            <w:tcBorders>
              <w:top w:val="single" w:sz="4" w:space="0" w:color="000000"/>
              <w:left w:val="single" w:sz="4" w:space="0" w:color="000000"/>
              <w:bottom w:val="nil" w:sz="6" w:space="0" w:color="auto"/>
              <w:right w:val="single" w:sz="4" w:space="0" w:color="000000"/>
            </w:tcBorders>
          </w:tcPr>
          <w:p>
            <w:pPr/>
          </w:p>
        </w:tc>
      </w:tr>
      <w:tr>
        <w:trPr>
          <w:trHeight w:val="392"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45" w:type="dxa"/>
            <w:tcBorders>
              <w:top w:val="nil" w:sz="6" w:space="0" w:color="auto"/>
              <w:left w:val="single" w:sz="13" w:space="0" w:color="D3D3D3"/>
              <w:bottom w:val="nil" w:sz="6" w:space="0" w:color="auto"/>
              <w:right w:val="single" w:sz="4" w:space="0" w:color="000000"/>
            </w:tcBorders>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pacing w:val="-3"/>
                <w:sz w:val="18"/>
                <w:szCs w:val="18"/>
              </w:rPr>
              <w:t>计算销项税额，在扣除当期允许抵扣的进项税额后</w:t>
            </w:r>
          </w:p>
        </w:tc>
        <w:tc>
          <w:tcPr>
            <w:tcW w:w="2008" w:type="dxa"/>
            <w:tcBorders>
              <w:top w:val="nil" w:sz="6" w:space="0" w:color="auto"/>
              <w:left w:val="single" w:sz="4" w:space="0" w:color="000000"/>
              <w:bottom w:val="nil" w:sz="6" w:space="0" w:color="auto"/>
              <w:right w:val="single" w:sz="4" w:space="0" w:color="000000"/>
            </w:tcBorders>
          </w:tcPr>
          <w:p>
            <w:pPr>
              <w:pStyle w:val="TableParagraph"/>
              <w:tabs>
                <w:tab w:pos="1643" w:val="left" w:leader="none"/>
              </w:tabs>
              <w:spacing w:line="240" w:lineRule="auto" w:before="50"/>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17%</w:t>
            </w:r>
          </w:p>
        </w:tc>
      </w:tr>
      <w:tr>
        <w:trPr>
          <w:trHeight w:val="318"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404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差额部分为应交增值税</w:t>
            </w:r>
          </w:p>
        </w:tc>
        <w:tc>
          <w:tcPr>
            <w:tcW w:w="2008" w:type="dxa"/>
            <w:tcBorders>
              <w:top w:val="nil" w:sz="6" w:space="0" w:color="auto"/>
              <w:left w:val="single" w:sz="4" w:space="0" w:color="000000"/>
              <w:bottom w:val="single" w:sz="4" w:space="0" w:color="000000"/>
              <w:right w:val="single" w:sz="4" w:space="0" w:color="000000"/>
            </w:tcBorders>
          </w:tcPr>
          <w:p>
            <w:pPr/>
          </w:p>
        </w:tc>
      </w:tr>
      <w:tr>
        <w:trPr>
          <w:trHeight w:val="161"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4045" w:type="dxa"/>
            <w:vMerge w:val="restart"/>
            <w:tcBorders>
              <w:top w:val="single" w:sz="4" w:space="0" w:color="000000"/>
              <w:left w:val="single" w:sz="10" w:space="0" w:color="D3D3D3"/>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月开始实行营业税改征增值税，之前</w:t>
            </w:r>
          </w:p>
        </w:tc>
        <w:tc>
          <w:tcPr>
            <w:tcW w:w="2008"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（一般规模纳税人</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12" w:hRule="exact"/>
        </w:trPr>
        <w:tc>
          <w:tcPr>
            <w:tcW w:w="35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45" w:type="dxa"/>
            <w:vMerge/>
            <w:tcBorders>
              <w:left w:val="single" w:sz="10" w:space="0" w:color="D3D3D3"/>
              <w:bottom w:val="nil" w:sz="6" w:space="0" w:color="auto"/>
              <w:right w:val="single" w:sz="4" w:space="0" w:color="000000"/>
            </w:tcBorders>
          </w:tcPr>
          <w:p>
            <w:pPr/>
          </w:p>
        </w:tc>
        <w:tc>
          <w:tcPr>
            <w:tcW w:w="2008" w:type="dxa"/>
            <w:vMerge/>
            <w:tcBorders>
              <w:left w:val="single" w:sz="4" w:space="0" w:color="000000"/>
              <w:bottom w:val="nil" w:sz="6" w:space="0" w:color="auto"/>
              <w:right w:val="single" w:sz="4" w:space="0" w:color="000000"/>
            </w:tcBorders>
          </w:tcPr>
          <w:p>
            <w:pPr/>
          </w:p>
        </w:tc>
      </w:tr>
      <w:tr>
        <w:trPr>
          <w:trHeight w:val="179" w:hRule="exact"/>
        </w:trPr>
        <w:tc>
          <w:tcPr>
            <w:tcW w:w="3515" w:type="dxa"/>
            <w:vMerge/>
            <w:tcBorders>
              <w:left w:val="single" w:sz="4" w:space="0" w:color="000000"/>
              <w:bottom w:val="nil" w:sz="6" w:space="0" w:color="auto"/>
              <w:right w:val="single" w:sz="4" w:space="0" w:color="000000"/>
            </w:tcBorders>
            <w:shd w:val="clear" w:color="auto" w:fill="D3D3D3"/>
          </w:tcPr>
          <w:p>
            <w:pPr/>
          </w:p>
        </w:tc>
        <w:tc>
          <w:tcPr>
            <w:tcW w:w="4045" w:type="dxa"/>
            <w:vMerge w:val="restart"/>
            <w:tcBorders>
              <w:top w:val="nil" w:sz="6" w:space="0" w:color="auto"/>
              <w:left w:val="single" w:sz="10" w:space="0" w:color="D3D3D3"/>
              <w:right w:val="single" w:sz="4" w:space="0" w:color="000000"/>
            </w:tcBorders>
          </w:tcPr>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缴纳营业税的营运收入、维护费等收入均开始缴纳</w:t>
            </w:r>
          </w:p>
        </w:tc>
        <w:tc>
          <w:tcPr>
            <w:tcW w:w="2008" w:type="dxa"/>
            <w:vMerge w:val="restart"/>
            <w:tcBorders>
              <w:top w:val="nil" w:sz="6" w:space="0" w:color="auto"/>
              <w:left w:val="single" w:sz="4" w:space="0" w:color="000000"/>
              <w:right w:val="single" w:sz="4" w:space="0" w:color="000000"/>
            </w:tcBorders>
          </w:tcPr>
          <w:p>
            <w:pPr>
              <w:pStyle w:val="TableParagraph"/>
              <w:spacing w:line="244" w:lineRule="exact"/>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（小规模纳税人）</w:t>
            </w:r>
          </w:p>
        </w:tc>
      </w:tr>
      <w:tr>
        <w:trPr>
          <w:trHeight w:val="162"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4045" w:type="dxa"/>
            <w:vMerge/>
            <w:tcBorders>
              <w:left w:val="single" w:sz="10" w:space="0" w:color="D3D3D3"/>
              <w:bottom w:val="single" w:sz="4" w:space="0" w:color="000000"/>
              <w:right w:val="single" w:sz="4" w:space="0" w:color="000000"/>
            </w:tcBorders>
          </w:tcPr>
          <w:p>
            <w:pPr/>
          </w:p>
        </w:tc>
        <w:tc>
          <w:tcPr>
            <w:tcW w:w="20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5"/>
        <w:gridCol w:w="4045"/>
        <w:gridCol w:w="2008"/>
      </w:tblGrid>
      <w:tr>
        <w:trPr>
          <w:trHeight w:val="986"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9"/>
              <w:jc w:val="both"/>
              <w:rPr>
                <w:rFonts w:ascii="宋体" w:hAnsi="宋体" w:cs="宋体" w:eastAsia="宋体" w:hint="default"/>
                <w:sz w:val="18"/>
                <w:szCs w:val="18"/>
              </w:rPr>
            </w:pPr>
            <w:r>
              <w:rPr>
                <w:rFonts w:ascii="宋体" w:hAnsi="宋体" w:cs="宋体" w:eastAsia="宋体" w:hint="default"/>
                <w:sz w:val="18"/>
                <w:szCs w:val="18"/>
              </w:rPr>
              <w:t>增值税，企业按照按税法规定计算的销售货物和应 税劳务收入为基础计算销项税额，在扣除当期允许 抵扣的进项税额后，差额部分为应交增值税</w:t>
            </w: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广东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5"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045"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江苏保通金融外包服务有限公司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石家庄银通金融服务有限公司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GRGBanking Equipment(HK)</w:t>
            </w:r>
            <w:r>
              <w:rPr>
                <w:rFonts w:ascii="Times New Roman"/>
                <w:spacing w:val="-8"/>
                <w:sz w:val="18"/>
              </w:rPr>
              <w:t> </w:t>
            </w:r>
            <w:r>
              <w:rPr>
                <w:rFonts w:ascii="Times New Roman"/>
                <w:sz w:val="18"/>
              </w:rPr>
              <w:t>Co.,Limited</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w:t>
            </w:r>
          </w:p>
        </w:tc>
      </w:tr>
    </w:tbl>
    <w:p>
      <w:pPr>
        <w:spacing w:line="240" w:lineRule="auto" w:before="2"/>
        <w:rPr>
          <w:rFonts w:ascii="宋体" w:hAnsi="宋体" w:cs="宋体" w:eastAsia="宋体" w:hint="default"/>
          <w:b/>
          <w:bCs/>
          <w:sz w:val="19"/>
          <w:szCs w:val="19"/>
        </w:rPr>
      </w:pPr>
    </w:p>
    <w:p>
      <w:pPr>
        <w:spacing w:before="35"/>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21" w:lineRule="auto" w:before="0"/>
        <w:ind w:left="574" w:right="95" w:hanging="6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）增值税：</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根据“财税</w:t>
      </w:r>
      <w:r>
        <w:rPr>
          <w:rFonts w:ascii="Times New Roman" w:hAnsi="Times New Roman" w:cs="Times New Roman" w:eastAsia="Times New Roman" w:hint="default"/>
          <w:spacing w:val="-2"/>
          <w:sz w:val="21"/>
          <w:szCs w:val="21"/>
        </w:rPr>
        <w:t>[2011]100</w:t>
      </w:r>
      <w:r>
        <w:rPr>
          <w:rFonts w:ascii="宋体" w:hAnsi="宋体" w:cs="宋体" w:eastAsia="宋体" w:hint="default"/>
          <w:spacing w:val="-2"/>
          <w:sz w:val="21"/>
          <w:szCs w:val="21"/>
        </w:rPr>
        <w:t>号”文《关于软件产品增值税政策的通知》的规定，增值税一般纳税人销售其自</w:t>
      </w:r>
    </w:p>
    <w:p>
      <w:pPr>
        <w:spacing w:before="20"/>
        <w:ind w:left="154" w:right="95" w:firstLine="0"/>
        <w:jc w:val="left"/>
        <w:rPr>
          <w:rFonts w:ascii="宋体" w:hAnsi="宋体" w:cs="宋体" w:eastAsia="宋体" w:hint="default"/>
          <w:sz w:val="21"/>
          <w:szCs w:val="21"/>
        </w:rPr>
      </w:pPr>
      <w:r>
        <w:rPr>
          <w:rFonts w:ascii="宋体" w:hAnsi="宋体" w:cs="宋体" w:eastAsia="宋体" w:hint="default"/>
          <w:spacing w:val="-4"/>
          <w:sz w:val="21"/>
          <w:szCs w:val="21"/>
        </w:rPr>
        <w:t>行开发生产的软件产品，按</w:t>
      </w:r>
      <w:r>
        <w:rPr>
          <w:rFonts w:ascii="Times New Roman" w:hAnsi="Times New Roman" w:cs="Times New Roman" w:eastAsia="Times New Roman" w:hint="default"/>
          <w:spacing w:val="-4"/>
          <w:sz w:val="21"/>
          <w:szCs w:val="21"/>
        </w:rPr>
        <w:t>17%</w:t>
      </w:r>
      <w:r>
        <w:rPr>
          <w:rFonts w:ascii="宋体" w:hAnsi="宋体" w:cs="宋体" w:eastAsia="宋体" w:hint="default"/>
          <w:spacing w:val="-4"/>
          <w:sz w:val="21"/>
          <w:szCs w:val="21"/>
        </w:rPr>
        <w:t>税率征收增值税后，对其增值税实际税负超过</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的部分实行即征即退政策。</w:t>
      </w:r>
    </w:p>
    <w:p>
      <w:pPr>
        <w:spacing w:line="321" w:lineRule="auto" w:before="99"/>
        <w:ind w:left="574" w:right="95" w:hanging="85"/>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）企业所得税：</w:t>
      </w:r>
      <w:r>
        <w:rPr>
          <w:rFonts w:ascii="宋体" w:hAnsi="宋体" w:cs="宋体" w:eastAsia="宋体" w:hint="default"/>
          <w:b/>
          <w:bCs/>
          <w:w w:val="99"/>
          <w:sz w:val="21"/>
          <w:szCs w:val="21"/>
        </w:rPr>
        <w:t> </w:t>
      </w:r>
      <w:r>
        <w:rPr>
          <w:rFonts w:ascii="宋体" w:hAnsi="宋体" w:cs="宋体" w:eastAsia="宋体" w:hint="default"/>
          <w:spacing w:val="2"/>
          <w:sz w:val="21"/>
          <w:szCs w:val="21"/>
        </w:rPr>
        <w:t>经国家发展和改革委员会、工业和信息化部、财政部、商务部和国家税务总局【发改高技</w:t>
      </w:r>
      <w:r>
        <w:rPr>
          <w:rFonts w:ascii="Times New Roman" w:hAnsi="Times New Roman" w:cs="Times New Roman" w:eastAsia="Times New Roman" w:hint="default"/>
          <w:spacing w:val="2"/>
          <w:sz w:val="21"/>
          <w:szCs w:val="21"/>
        </w:rPr>
        <w:t>[2013]234</w:t>
      </w:r>
    </w:p>
    <w:p>
      <w:pPr>
        <w:spacing w:before="20"/>
        <w:ind w:left="154" w:right="95" w:firstLine="0"/>
        <w:jc w:val="left"/>
        <w:rPr>
          <w:rFonts w:ascii="宋体" w:hAnsi="宋体" w:cs="宋体" w:eastAsia="宋体" w:hint="default"/>
          <w:sz w:val="21"/>
          <w:szCs w:val="21"/>
        </w:rPr>
      </w:pPr>
      <w:r>
        <w:rPr>
          <w:rFonts w:ascii="宋体" w:hAnsi="宋体" w:cs="宋体" w:eastAsia="宋体" w:hint="default"/>
          <w:sz w:val="21"/>
          <w:szCs w:val="21"/>
        </w:rPr>
        <w:t>号】文件核准，本公司被认定为</w:t>
      </w:r>
      <w:r>
        <w:rPr>
          <w:rFonts w:ascii="Times New Roman" w:hAnsi="Times New Roman" w:cs="Times New Roman" w:eastAsia="Times New Roman" w:hint="default"/>
          <w:sz w:val="21"/>
          <w:szCs w:val="21"/>
        </w:rPr>
        <w:t>“2011-2012</w:t>
      </w:r>
      <w:r>
        <w:rPr>
          <w:rFonts w:ascii="宋体" w:hAnsi="宋体" w:cs="宋体" w:eastAsia="宋体" w:hint="default"/>
          <w:sz w:val="21"/>
          <w:szCs w:val="21"/>
        </w:rPr>
        <w:t>年度国家规划布局内重点软件企业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年度和</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年度减按</w:t>
      </w:r>
    </w:p>
    <w:p>
      <w:pPr>
        <w:spacing w:line="321" w:lineRule="auto" w:before="99"/>
        <w:ind w:left="574" w:right="95"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的税率计缴企业所得税。 </w:t>
      </w:r>
      <w:r>
        <w:rPr>
          <w:rFonts w:ascii="宋体" w:hAnsi="宋体" w:cs="宋体" w:eastAsia="宋体" w:hint="default"/>
          <w:spacing w:val="3"/>
          <w:sz w:val="21"/>
          <w:szCs w:val="21"/>
        </w:rPr>
        <w:t>深圳广电银通金融电子科技有限公司于</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29</w:t>
      </w:r>
      <w:r>
        <w:rPr>
          <w:rFonts w:ascii="宋体" w:hAnsi="宋体" w:cs="宋体" w:eastAsia="宋体" w:hint="default"/>
          <w:spacing w:val="3"/>
          <w:sz w:val="21"/>
          <w:szCs w:val="21"/>
        </w:rPr>
        <w:t>日取得深圳市科技工贸和信息化委员会等单位</w:t>
      </w:r>
      <w:r>
        <w:rPr>
          <w:rFonts w:ascii="宋体" w:hAnsi="宋体" w:cs="宋体" w:eastAsia="宋体" w:hint="default"/>
          <w:sz w:val="21"/>
          <w:szCs w:val="21"/>
        </w:rPr>
      </w:r>
    </w:p>
    <w:p>
      <w:pPr>
        <w:spacing w:line="321" w:lineRule="auto" w:before="20"/>
        <w:ind w:left="154" w:right="95" w:firstLine="0"/>
        <w:jc w:val="left"/>
        <w:rPr>
          <w:rFonts w:ascii="宋体" w:hAnsi="宋体" w:cs="宋体" w:eastAsia="宋体" w:hint="default"/>
          <w:sz w:val="21"/>
          <w:szCs w:val="21"/>
        </w:rPr>
      </w:pPr>
      <w:r>
        <w:rPr>
          <w:rFonts w:ascii="宋体" w:hAnsi="宋体" w:cs="宋体" w:eastAsia="宋体" w:hint="default"/>
          <w:spacing w:val="-4"/>
          <w:sz w:val="21"/>
          <w:szCs w:val="21"/>
        </w:rPr>
        <w:t>颁发的编号为</w:t>
      </w:r>
      <w:r>
        <w:rPr>
          <w:rFonts w:ascii="Times New Roman" w:hAnsi="Times New Roman" w:cs="Times New Roman" w:eastAsia="Times New Roman" w:hint="default"/>
          <w:spacing w:val="-4"/>
          <w:sz w:val="21"/>
          <w:szCs w:val="21"/>
        </w:rPr>
        <w:t>GR200944200242</w:t>
      </w:r>
      <w:r>
        <w:rPr>
          <w:rFonts w:ascii="宋体" w:hAnsi="宋体" w:cs="宋体" w:eastAsia="宋体" w:hint="default"/>
          <w:spacing w:val="-4"/>
          <w:sz w:val="21"/>
          <w:szCs w:val="21"/>
        </w:rPr>
        <w:t>号的《高新技术企业证书》。</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年度至</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年度企业所得税减按</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计缴。</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根据深圳市科技创新委员会下发的《关于公示深圳市</w:t>
      </w:r>
      <w:r>
        <w:rPr>
          <w:rFonts w:ascii="Times New Roman" w:hAnsi="Times New Roman" w:cs="Times New Roman" w:eastAsia="Times New Roman" w:hint="default"/>
          <w:sz w:val="21"/>
          <w:szCs w:val="21"/>
        </w:rPr>
        <w:t>2012</w:t>
      </w:r>
      <w:r>
        <w:rPr>
          <w:rFonts w:ascii="宋体" w:hAnsi="宋体" w:cs="宋体" w:eastAsia="宋体" w:hint="default"/>
          <w:sz w:val="21"/>
          <w:szCs w:val="21"/>
        </w:rPr>
        <w:t>年第一批拟通过复审高新技术企业名单的通知》</w:t>
      </w:r>
    </w:p>
    <w:p>
      <w:pPr>
        <w:spacing w:line="321" w:lineRule="auto" w:before="20"/>
        <w:ind w:left="154" w:right="196" w:firstLine="0"/>
        <w:jc w:val="left"/>
        <w:rPr>
          <w:rFonts w:ascii="宋体" w:hAnsi="宋体" w:cs="宋体" w:eastAsia="宋体" w:hint="default"/>
          <w:sz w:val="21"/>
          <w:szCs w:val="21"/>
        </w:rPr>
      </w:pPr>
      <w:r>
        <w:rPr>
          <w:rFonts w:ascii="宋体" w:hAnsi="宋体" w:cs="宋体" w:eastAsia="宋体" w:hint="default"/>
          <w:sz w:val="21"/>
          <w:szCs w:val="21"/>
        </w:rPr>
        <w:t>（深科技创新函【</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538</w:t>
      </w:r>
      <w:r>
        <w:rPr>
          <w:rFonts w:ascii="宋体" w:hAnsi="宋体" w:cs="宋体" w:eastAsia="宋体" w:hint="default"/>
          <w:sz w:val="21"/>
          <w:szCs w:val="21"/>
        </w:rPr>
        <w:t>号），深圳广电银通已通过高新技术企业复审，目前处于公示阶段，</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 度暂按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p>
      <w:pPr>
        <w:spacing w:after="0" w:line="321"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7"/>
          <w:szCs w:val="27"/>
        </w:rPr>
      </w:pPr>
    </w:p>
    <w:p>
      <w:pPr>
        <w:spacing w:line="321" w:lineRule="auto" w:before="35"/>
        <w:ind w:left="154" w:right="0" w:firstLine="420"/>
        <w:jc w:val="left"/>
        <w:rPr>
          <w:rFonts w:ascii="宋体" w:hAnsi="宋体" w:cs="宋体" w:eastAsia="宋体" w:hint="default"/>
          <w:sz w:val="21"/>
          <w:szCs w:val="21"/>
        </w:rPr>
      </w:pPr>
      <w:r>
        <w:rPr>
          <w:rFonts w:ascii="宋体" w:hAnsi="宋体" w:cs="宋体" w:eastAsia="宋体" w:hint="default"/>
          <w:sz w:val="21"/>
          <w:szCs w:val="21"/>
        </w:rPr>
        <w:t>广州穗通金融服务有限公司于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年取得编号为</w:t>
      </w:r>
      <w:r>
        <w:rPr>
          <w:rFonts w:ascii="Times New Roman" w:hAnsi="Times New Roman" w:cs="Times New Roman" w:eastAsia="Times New Roman" w:hint="default"/>
          <w:sz w:val="21"/>
          <w:szCs w:val="21"/>
        </w:rPr>
        <w:t>GR201144000517</w:t>
      </w:r>
      <w:r>
        <w:rPr>
          <w:rFonts w:ascii="宋体" w:hAnsi="宋体" w:cs="宋体" w:eastAsia="宋体" w:hint="default"/>
          <w:sz w:val="21"/>
          <w:szCs w:val="21"/>
        </w:rPr>
        <w:t>号的《高新技术企业证书》。</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年度企业所得税减按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计缴。</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六、企业合并及合并财务报表</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受银行</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自动柜</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员机进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行维护</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通金融 服务有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及管 理，对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15,300,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17,722,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467.33</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现金及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有价证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券提供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清分处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both"/>
              <w:rPr>
                <w:rFonts w:ascii="宋体" w:hAnsi="宋体" w:cs="宋体" w:eastAsia="宋体" w:hint="default"/>
                <w:sz w:val="18"/>
                <w:szCs w:val="18"/>
              </w:rPr>
            </w:pPr>
            <w:r>
              <w:rPr>
                <w:rFonts w:ascii="宋体" w:hAnsi="宋体" w:cs="宋体" w:eastAsia="宋体" w:hint="default"/>
                <w:sz w:val="18"/>
                <w:szCs w:val="18"/>
              </w:rPr>
              <w:t>深圳鹏 通金融 服务有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子公司 的控股 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both"/>
              <w:rPr>
                <w:rFonts w:ascii="宋体" w:hAnsi="宋体" w:cs="宋体" w:eastAsia="宋体" w:hint="default"/>
                <w:sz w:val="18"/>
                <w:szCs w:val="18"/>
              </w:rPr>
            </w:pPr>
            <w:r>
              <w:rPr>
                <w:rFonts w:ascii="宋体" w:hAnsi="宋体" w:cs="宋体" w:eastAsia="宋体" w:hint="default"/>
                <w:sz w:val="18"/>
                <w:szCs w:val="18"/>
              </w:rPr>
              <w:t>提供对 银行柜 员机进</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1,530,0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1,897,5</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52.26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行日常</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运行及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金及有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价证券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的清分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提供对</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银行柜</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员机进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江苏保 通金融 外包服 务有限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子公司 的控股 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行日常 运行及 管理服 务，现 金及有 价证券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2,750,0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1,655,6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93.01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的清分</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提供对</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银行柜</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员机进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石家庄 银通金 融服务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子公司 的控股 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行日常 运行及 管理服 务，现 金及有 价证券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4,261,8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07.55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的清分</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广州广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营金融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电银通 金融电 子科技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both"/>
              <w:rPr>
                <w:rFonts w:ascii="宋体" w:hAnsi="宋体" w:cs="宋体" w:eastAsia="宋体" w:hint="default"/>
                <w:sz w:val="18"/>
                <w:szCs w:val="18"/>
              </w:rPr>
            </w:pPr>
            <w:r>
              <w:rPr>
                <w:rFonts w:ascii="宋体" w:hAnsi="宋体" w:cs="宋体" w:eastAsia="宋体" w:hint="default"/>
                <w:sz w:val="18"/>
                <w:szCs w:val="18"/>
              </w:rPr>
              <w:t>电子设 备；计 算机软 件开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8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成，计</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融电子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控设备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的技术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受合法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有价证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券提供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清分处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理服务</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子设备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究、开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上海欣</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统集成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辰通金 融电子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both"/>
              <w:rPr>
                <w:rFonts w:ascii="宋体" w:hAnsi="宋体" w:cs="宋体" w:eastAsia="宋体" w:hint="default"/>
                <w:sz w:val="18"/>
                <w:szCs w:val="18"/>
              </w:rPr>
            </w:pPr>
            <w:r>
              <w:rPr>
                <w:rFonts w:ascii="宋体" w:hAnsi="宋体" w:cs="宋体" w:eastAsia="宋体" w:hint="default"/>
                <w:sz w:val="18"/>
                <w:szCs w:val="18"/>
              </w:rPr>
              <w:t>技术服 务（计 算机信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32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息系统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集成除</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pacing w:val="-3"/>
                <w:sz w:val="18"/>
                <w:szCs w:val="18"/>
              </w:rPr>
              <w:t>；在</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融电子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办公设</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控设备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的技术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融电子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事货物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及技术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自动柜</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员机进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行日常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理及数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收金融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托从事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务流程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外包服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据处理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等银行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后台业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广州支</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创业投</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点创业 投资有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资服 务；代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理其他</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创业投</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资企业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等机构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或个人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的创业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业提供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理服务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立创业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问机构</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金融电</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币类自</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131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10"/>
              <w:jc w:val="both"/>
              <w:rPr>
                <w:rFonts w:ascii="宋体" w:hAnsi="宋体" w:cs="宋体" w:eastAsia="宋体" w:hint="default"/>
                <w:sz w:val="18"/>
                <w:szCs w:val="18"/>
              </w:rPr>
            </w:pPr>
            <w:r>
              <w:rPr>
                <w:rFonts w:ascii="宋体" w:hAnsi="宋体" w:cs="宋体" w:eastAsia="宋体" w:hint="default"/>
                <w:sz w:val="18"/>
                <w:szCs w:val="18"/>
              </w:rPr>
              <w:t>广州中 智融通 金融科</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技有限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助设 备、税 务应用 设备、</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55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计算机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软硬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和技术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受合法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纸币清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分机提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供日常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有价证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券提供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清分处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理服务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（涉及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pacing w:val="-3"/>
                <w:sz w:val="18"/>
                <w:szCs w:val="18"/>
              </w:rPr>
              <w:t>；货</w:t>
            </w:r>
            <w:r>
              <w:rPr>
                <w:rFonts w:ascii="宋体" w:hAnsi="宋体" w:cs="宋体" w:eastAsia="宋体" w:hint="default"/>
                <w:sz w:val="18"/>
                <w:szCs w:val="18"/>
              </w:rPr>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政法规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禁止的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规限制</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的须取</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得许可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5"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100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40"/>
              <w:jc w:val="both"/>
              <w:rPr>
                <w:rFonts w:ascii="Times New Roman" w:hAnsi="Times New Roman" w:cs="Times New Roman" w:eastAsia="Times New Roman" w:hint="default"/>
                <w:sz w:val="18"/>
                <w:szCs w:val="18"/>
              </w:rPr>
            </w:pPr>
            <w:r>
              <w:rPr>
                <w:rFonts w:ascii="Times New Roman"/>
                <w:sz w:val="18"/>
              </w:rPr>
              <w:t>Banking Equipm ent</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302" w:lineRule="auto" w:before="64"/>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 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投资控 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24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22" w:right="0"/>
              <w:jc w:val="left"/>
              <w:rPr>
                <w:rFonts w:ascii="Times New Roman" w:hAnsi="Times New Roman" w:cs="Times New Roman" w:eastAsia="Times New Roman" w:hint="default"/>
                <w:sz w:val="18"/>
                <w:szCs w:val="18"/>
              </w:rPr>
            </w:pPr>
            <w:r>
              <w:rPr>
                <w:rFonts w:ascii="Times New Roman"/>
                <w:sz w:val="18"/>
              </w:rPr>
              <w:t>(HK)</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Co.,Lim</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ited</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93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62" w:lineRule="auto" w:before="45"/>
              <w:ind w:left="22" w:right="55"/>
              <w:jc w:val="left"/>
              <w:rPr>
                <w:rFonts w:ascii="Times New Roman" w:hAnsi="Times New Roman" w:cs="Times New Roman" w:eastAsia="Times New Roman" w:hint="default"/>
                <w:sz w:val="18"/>
                <w:szCs w:val="18"/>
              </w:rPr>
            </w:pPr>
            <w:r>
              <w:rPr>
                <w:rFonts w:ascii="Times New Roman"/>
                <w:sz w:val="18"/>
              </w:rPr>
              <w:t>Hongko</w:t>
            </w:r>
            <w:r>
              <w:rPr>
                <w:rFonts w:ascii="Times New Roman"/>
                <w:spacing w:val="-1"/>
                <w:sz w:val="18"/>
              </w:rPr>
              <w:t> </w:t>
            </w:r>
            <w:r>
              <w:rPr>
                <w:rFonts w:ascii="Times New Roman"/>
                <w:sz w:val="18"/>
              </w:rPr>
              <w:t>ng</w:t>
            </w:r>
            <w:r>
              <w:rPr>
                <w:rFonts w:ascii="Times New Roman"/>
                <w:sz w:val="18"/>
              </w:rPr>
              <w:t> Mexico,</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比索</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w:t>
            </w:r>
          </w:p>
          <w:p>
            <w:pPr>
              <w:pStyle w:val="TableParagraph"/>
              <w:spacing w:line="319" w:lineRule="auto" w:before="61"/>
              <w:ind w:left="22" w:right="108"/>
              <w:jc w:val="left"/>
              <w:rPr>
                <w:rFonts w:ascii="宋体" w:hAnsi="宋体" w:cs="宋体" w:eastAsia="宋体" w:hint="default"/>
                <w:sz w:val="18"/>
                <w:szCs w:val="18"/>
              </w:rPr>
            </w:pPr>
            <w:r>
              <w:rPr>
                <w:rFonts w:ascii="宋体" w:hAnsi="宋体" w:cs="宋体" w:eastAsia="宋体" w:hint="default"/>
                <w:sz w:val="18"/>
                <w:szCs w:val="18"/>
              </w:rPr>
              <w:t>售及维 修服务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S.A.</w:t>
            </w:r>
            <w:r>
              <w:rPr>
                <w:rFonts w:ascii="Times New Roman"/>
                <w:spacing w:val="-3"/>
                <w:sz w:val="18"/>
              </w:rPr>
              <w:t> </w:t>
            </w:r>
            <w:r>
              <w:rPr>
                <w:rFonts w:ascii="Times New Roman"/>
                <w:sz w:val="18"/>
              </w:rPr>
              <w:t>DE</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62"/>
              <w:jc w:val="left"/>
              <w:rPr>
                <w:rFonts w:ascii="Times New Roman" w:hAnsi="Times New Roman" w:cs="Times New Roman" w:eastAsia="Times New Roman" w:hint="default"/>
                <w:sz w:val="18"/>
                <w:szCs w:val="18"/>
              </w:rPr>
            </w:pPr>
            <w:r>
              <w:rPr>
                <w:rFonts w:ascii="Times New Roman"/>
                <w:sz w:val="18"/>
              </w:rPr>
              <w:t>Global</w:t>
            </w:r>
            <w:r>
              <w:rPr>
                <w:rFonts w:ascii="Times New Roman"/>
                <w:spacing w:val="-1"/>
                <w:sz w:val="18"/>
              </w:rPr>
              <w:t> </w:t>
            </w:r>
            <w:r>
              <w:rPr>
                <w:rFonts w:ascii="Times New Roman"/>
                <w:spacing w:val="-7"/>
                <w:sz w:val="18"/>
              </w:rPr>
              <w:t>ATM</w:t>
            </w:r>
          </w:p>
          <w:p>
            <w:pPr>
              <w:pStyle w:val="TableParagraph"/>
              <w:spacing w:line="362" w:lineRule="auto" w:before="5"/>
              <w:ind w:left="22" w:right="49"/>
              <w:jc w:val="left"/>
              <w:rPr>
                <w:rFonts w:ascii="Times New Roman" w:hAnsi="Times New Roman" w:cs="Times New Roman" w:eastAsia="Times New Roman" w:hint="default"/>
                <w:sz w:val="18"/>
                <w:szCs w:val="18"/>
              </w:rPr>
            </w:pPr>
            <w:r>
              <w:rPr>
                <w:rFonts w:ascii="Times New Roman"/>
                <w:sz w:val="18"/>
              </w:rPr>
              <w:t>Parts</w:t>
            </w:r>
            <w:r>
              <w:rPr>
                <w:rFonts w:ascii="Times New Roman"/>
                <w:spacing w:val="-1"/>
                <w:sz w:val="18"/>
              </w:rPr>
              <w:t> </w:t>
            </w:r>
            <w:r>
              <w:rPr>
                <w:rFonts w:ascii="Times New Roman"/>
                <w:sz w:val="18"/>
              </w:rPr>
              <w:t>Co.,Lim</w:t>
            </w:r>
            <w:r>
              <w:rPr>
                <w:rFonts w:ascii="Times New Roman"/>
                <w:sz w:val="18"/>
              </w:rPr>
              <w:t> ited</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专注开 展</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备件等 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65"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61"/>
              <w:jc w:val="left"/>
              <w:rPr>
                <w:rFonts w:ascii="Times New Roman" w:hAnsi="Times New Roman" w:cs="Times New Roman" w:eastAsia="Times New Roman" w:hint="default"/>
                <w:sz w:val="18"/>
                <w:szCs w:val="18"/>
              </w:rPr>
            </w:pPr>
            <w:r>
              <w:rPr>
                <w:rFonts w:ascii="Times New Roman"/>
                <w:sz w:val="18"/>
              </w:rPr>
              <w:t>Turkiye Bankaci</w:t>
            </w:r>
            <w:r>
              <w:rPr>
                <w:rFonts w:ascii="Times New Roman"/>
                <w:spacing w:val="-1"/>
                <w:sz w:val="18"/>
              </w:rPr>
              <w:t> </w:t>
            </w:r>
            <w:r>
              <w:rPr>
                <w:rFonts w:ascii="Times New Roman"/>
                <w:sz w:val="18"/>
              </w:rPr>
              <w:t>lik</w:t>
            </w:r>
            <w:r>
              <w:rPr>
                <w:rFonts w:ascii="Times New Roman"/>
                <w:sz w:val="18"/>
              </w:rPr>
              <w:t> Ekipma</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107"/>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里拉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w:t>
            </w:r>
          </w:p>
          <w:p>
            <w:pPr>
              <w:pStyle w:val="TableParagraph"/>
              <w:spacing w:line="319" w:lineRule="auto" w:before="61"/>
              <w:ind w:left="22" w:right="108"/>
              <w:jc w:val="left"/>
              <w:rPr>
                <w:rFonts w:ascii="宋体" w:hAnsi="宋体" w:cs="宋体" w:eastAsia="宋体" w:hint="default"/>
                <w:sz w:val="18"/>
                <w:szCs w:val="18"/>
              </w:rPr>
            </w:pPr>
            <w:r>
              <w:rPr>
                <w:rFonts w:ascii="宋体" w:hAnsi="宋体" w:cs="宋体" w:eastAsia="宋体" w:hint="default"/>
                <w:sz w:val="18"/>
                <w:szCs w:val="18"/>
              </w:rPr>
              <w:t>售及维 修服务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nlari Ltd</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93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62" w:lineRule="auto" w:before="45"/>
              <w:ind w:left="22" w:right="40"/>
              <w:jc w:val="both"/>
              <w:rPr>
                <w:rFonts w:ascii="Times New Roman" w:hAnsi="Times New Roman" w:cs="Times New Roman" w:eastAsia="Times New Roman" w:hint="default"/>
                <w:sz w:val="18"/>
                <w:szCs w:val="18"/>
              </w:rPr>
            </w:pPr>
            <w:r>
              <w:rPr>
                <w:rFonts w:ascii="Times New Roman"/>
                <w:sz w:val="18"/>
              </w:rPr>
              <w:t>Banking Equipm ent(HK)</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08"/>
              <w:jc w:val="both"/>
              <w:rPr>
                <w:rFonts w:ascii="宋体" w:hAnsi="宋体" w:cs="宋体" w:eastAsia="宋体" w:hint="default"/>
                <w:sz w:val="18"/>
                <w:szCs w:val="18"/>
              </w:rPr>
            </w:pPr>
            <w:r>
              <w:rPr>
                <w:rFonts w:ascii="宋体" w:hAnsi="宋体" w:cs="宋体" w:eastAsia="宋体" w:hint="default"/>
                <w:sz w:val="18"/>
                <w:szCs w:val="18"/>
              </w:rPr>
              <w:t>子公司 的子公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立特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w:t>
            </w:r>
          </w:p>
          <w:p>
            <w:pPr>
              <w:pStyle w:val="TableParagraph"/>
              <w:spacing w:line="319" w:lineRule="auto" w:before="61"/>
              <w:ind w:left="22" w:right="108"/>
              <w:jc w:val="left"/>
              <w:rPr>
                <w:rFonts w:ascii="宋体" w:hAnsi="宋体" w:cs="宋体" w:eastAsia="宋体" w:hint="default"/>
                <w:sz w:val="18"/>
                <w:szCs w:val="18"/>
              </w:rPr>
            </w:pPr>
            <w:r>
              <w:rPr>
                <w:rFonts w:ascii="宋体" w:hAnsi="宋体" w:cs="宋体" w:eastAsia="宋体" w:hint="default"/>
                <w:sz w:val="18"/>
                <w:szCs w:val="18"/>
              </w:rPr>
              <w:t>售及维 修服务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0.00</w:t>
            </w:r>
          </w:p>
        </w:tc>
      </w:tr>
      <w:tr>
        <w:trPr>
          <w:trHeight w:val="349"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Europe</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0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6"/>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本期亏 损超过 少数股</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2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营金融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融电子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电银通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备、税</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金融电 子科技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控设备 的技术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96,479,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295.26</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受合法</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有价证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券提供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清分处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7"/>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与上期相比本期新增合并单位</w:t>
      </w:r>
      <w:r>
        <w:rPr>
          <w:rFonts w:ascii="Times New Roman" w:hAnsi="Times New Roman" w:cs="Times New Roman" w:eastAsia="Times New Roman" w:hint="default"/>
          <w:sz w:val="21"/>
          <w:szCs w:val="21"/>
        </w:rPr>
        <w:t>3</w:t>
      </w:r>
      <w:r>
        <w:rPr>
          <w:rFonts w:ascii="宋体" w:hAnsi="宋体" w:cs="宋体" w:eastAsia="宋体" w:hint="default"/>
          <w:sz w:val="21"/>
          <w:szCs w:val="21"/>
        </w:rPr>
        <w:t>家，原因为：本期新设立一家子公司和两家子公司的子公司。</w:t>
      </w:r>
    </w:p>
    <w:p>
      <w:pPr>
        <w:spacing w:line="340" w:lineRule="auto" w:before="61"/>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（1）广州中智融通金融科技有限公司</w:t>
      </w:r>
      <w:r>
        <w:rPr>
          <w:rFonts w:ascii="宋体" w:hAnsi="宋体" w:cs="宋体" w:eastAsia="宋体" w:hint="default"/>
          <w:b/>
          <w:bCs/>
          <w:w w:val="99"/>
          <w:sz w:val="21"/>
          <w:szCs w:val="21"/>
        </w:rPr>
        <w:t> </w:t>
      </w:r>
      <w:r>
        <w:rPr>
          <w:rFonts w:ascii="宋体" w:hAnsi="宋体" w:cs="宋体" w:eastAsia="宋体" w:hint="default"/>
          <w:sz w:val="21"/>
          <w:szCs w:val="21"/>
        </w:rPr>
        <w:t>广州中智融通金融科技有限公司成立于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日，注册资本及投资总额为人民币</w:t>
      </w:r>
      <w:r>
        <w:rPr>
          <w:rFonts w:ascii="Times New Roman" w:hAnsi="Times New Roman" w:cs="Times New Roman" w:eastAsia="Times New Roman" w:hint="default"/>
          <w:sz w:val="21"/>
          <w:szCs w:val="21"/>
        </w:rPr>
        <w:t>5,000</w:t>
      </w:r>
      <w:r>
        <w:rPr>
          <w:rFonts w:ascii="宋体" w:hAnsi="宋体" w:cs="宋体" w:eastAsia="宋体" w:hint="default"/>
          <w:sz w:val="21"/>
          <w:szCs w:val="21"/>
        </w:rPr>
        <w:t>万元，由</w:t>
      </w:r>
    </w:p>
    <w:p>
      <w:pPr>
        <w:spacing w:after="0" w:line="340" w:lineRule="auto"/>
        <w:jc w:val="left"/>
        <w:rPr>
          <w:rFonts w:ascii="宋体" w:hAnsi="宋体" w:cs="宋体" w:eastAsia="宋体" w:hint="default"/>
          <w:sz w:val="21"/>
          <w:szCs w:val="21"/>
        </w:rPr>
        <w:sectPr>
          <w:footerReference w:type="default" r:id="rId14"/>
          <w:pgSz w:w="11910" w:h="16840"/>
          <w:pgMar w:footer="982" w:header="747" w:top="1060" w:bottom="1180" w:left="980" w:right="980"/>
        </w:sectPr>
      </w:pPr>
    </w:p>
    <w:p>
      <w:pPr>
        <w:spacing w:line="240" w:lineRule="auto" w:before="9"/>
        <w:rPr>
          <w:rFonts w:ascii="宋体" w:hAnsi="宋体" w:cs="宋体" w:eastAsia="宋体" w:hint="default"/>
          <w:sz w:val="27"/>
          <w:szCs w:val="27"/>
        </w:rPr>
      </w:pPr>
    </w:p>
    <w:p>
      <w:pPr>
        <w:spacing w:line="331" w:lineRule="auto" w:before="35"/>
        <w:ind w:left="153" w:right="99" w:firstLine="0"/>
        <w:jc w:val="left"/>
        <w:rPr>
          <w:rFonts w:ascii="宋体" w:hAnsi="宋体" w:cs="宋体" w:eastAsia="宋体" w:hint="default"/>
          <w:sz w:val="21"/>
          <w:szCs w:val="21"/>
        </w:rPr>
      </w:pPr>
      <w:r>
        <w:rPr>
          <w:rFonts w:ascii="宋体" w:hAnsi="宋体" w:cs="宋体" w:eastAsia="宋体" w:hint="default"/>
          <w:spacing w:val="-3"/>
          <w:sz w:val="21"/>
          <w:szCs w:val="21"/>
        </w:rPr>
        <w:t>本公司全额出资人民币</w:t>
      </w:r>
      <w:r>
        <w:rPr>
          <w:rFonts w:ascii="Times New Roman" w:hAnsi="Times New Roman" w:cs="Times New Roman" w:eastAsia="Times New Roman" w:hint="default"/>
          <w:spacing w:val="-3"/>
          <w:sz w:val="21"/>
          <w:szCs w:val="21"/>
        </w:rPr>
        <w:t>5,000</w:t>
      </w:r>
      <w:r>
        <w:rPr>
          <w:rFonts w:ascii="宋体" w:hAnsi="宋体" w:cs="宋体" w:eastAsia="宋体" w:hint="default"/>
          <w:spacing w:val="-3"/>
          <w:sz w:val="21"/>
          <w:szCs w:val="21"/>
        </w:rPr>
        <w:t>万元，占股比</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。注册地址为广州市高新技术产业开发区科学城科林路</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号。</w:t>
      </w:r>
      <w:r>
        <w:rPr>
          <w:rFonts w:ascii="宋体" w:hAnsi="宋体" w:cs="宋体" w:eastAsia="宋体" w:hint="default"/>
          <w:spacing w:val="-100"/>
          <w:sz w:val="21"/>
          <w:szCs w:val="21"/>
        </w:rPr>
        <w:t> </w:t>
      </w:r>
      <w:r>
        <w:rPr>
          <w:rFonts w:ascii="宋体" w:hAnsi="宋体" w:cs="宋体" w:eastAsia="宋体" w:hint="default"/>
          <w:sz w:val="21"/>
          <w:szCs w:val="21"/>
        </w:rPr>
        <w:t>取得广州市工商行政管理局签发注册号为</w:t>
      </w:r>
      <w:r>
        <w:rPr>
          <w:rFonts w:ascii="Times New Roman" w:hAnsi="Times New Roman" w:cs="Times New Roman" w:eastAsia="Times New Roman" w:hint="default"/>
          <w:sz w:val="21"/>
          <w:szCs w:val="21"/>
        </w:rPr>
        <w:t>440101000220051</w:t>
      </w:r>
      <w:r>
        <w:rPr>
          <w:rFonts w:ascii="宋体" w:hAnsi="宋体" w:cs="宋体" w:eastAsia="宋体" w:hint="default"/>
          <w:sz w:val="21"/>
          <w:szCs w:val="21"/>
        </w:rPr>
        <w:t>的企业法人营业执照，经营范围为：研究、生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产、销售、租赁：金融电子设备、货币类自助设备、税务应用设备、计算机软硬件，及相关的技术开发、</w:t>
      </w:r>
      <w:r>
        <w:rPr>
          <w:rFonts w:ascii="宋体" w:hAnsi="宋体" w:cs="宋体" w:eastAsia="宋体" w:hint="default"/>
          <w:sz w:val="21"/>
          <w:szCs w:val="21"/>
        </w:rPr>
        <w:t> 技术咨询和技术服务；计算机系统集成开发、销售及技术服务；接受合法委托对纸币清分机提供日常维护 与管理服务、对现金及有价证券提供清分处理服务（涉及金融服务的项目除外）；货物及技术进出口（法 </w:t>
      </w:r>
      <w:r>
        <w:rPr>
          <w:rFonts w:ascii="宋体" w:hAnsi="宋体" w:cs="宋体" w:eastAsia="宋体" w:hint="default"/>
          <w:spacing w:val="-2"/>
          <w:sz w:val="21"/>
          <w:szCs w:val="21"/>
        </w:rPr>
        <w:t>律、行政法规禁止的除外；法律、行政法规限制的须取得许可后方可经营）。目前，本公司实际出资</w:t>
      </w:r>
      <w:r>
        <w:rPr>
          <w:rFonts w:ascii="Times New Roman" w:hAnsi="Times New Roman" w:cs="Times New Roman" w:eastAsia="Times New Roman" w:hint="default"/>
          <w:spacing w:val="-2"/>
          <w:sz w:val="21"/>
          <w:szCs w:val="21"/>
        </w:rPr>
        <w:t>5,000</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pacing w:val="-35"/>
          <w:sz w:val="21"/>
          <w:szCs w:val="21"/>
        </w:rPr>
      </w:r>
      <w:r>
        <w:rPr>
          <w:rFonts w:ascii="宋体" w:hAnsi="宋体" w:cs="宋体" w:eastAsia="宋体" w:hint="default"/>
          <w:sz w:val="21"/>
          <w:szCs w:val="21"/>
        </w:rPr>
        <w:t>万元，公司暂未正式营运。</w:t>
      </w:r>
    </w:p>
    <w:p>
      <w:pPr>
        <w:spacing w:line="340" w:lineRule="auto" w:before="35"/>
        <w:ind w:left="573" w:right="95" w:firstLine="0"/>
        <w:jc w:val="left"/>
        <w:rPr>
          <w:rFonts w:ascii="宋体" w:hAnsi="宋体" w:cs="宋体" w:eastAsia="宋体" w:hint="default"/>
          <w:sz w:val="21"/>
          <w:szCs w:val="21"/>
        </w:rPr>
      </w:pPr>
      <w:r>
        <w:rPr>
          <w:rFonts w:ascii="宋体" w:hAnsi="宋体" w:cs="宋体" w:eastAsia="宋体" w:hint="default"/>
          <w:b/>
          <w:bCs/>
          <w:sz w:val="21"/>
          <w:szCs w:val="21"/>
        </w:rPr>
        <w:t>（2）上海欣辰通金融电子科技有限公司</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上海欣辰通金融电子科技有限公司成立于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日，注册资本及投资总额为人民币</w:t>
      </w:r>
      <w:r>
        <w:rPr>
          <w:rFonts w:ascii="Times New Roman" w:hAnsi="Times New Roman" w:cs="Times New Roman" w:eastAsia="Times New Roman" w:hint="default"/>
          <w:spacing w:val="-2"/>
          <w:sz w:val="21"/>
          <w:szCs w:val="21"/>
        </w:rPr>
        <w:t>1,000</w:t>
      </w:r>
      <w:r>
        <w:rPr>
          <w:rFonts w:ascii="宋体" w:hAnsi="宋体" w:cs="宋体" w:eastAsia="宋体" w:hint="default"/>
          <w:spacing w:val="-2"/>
          <w:sz w:val="21"/>
          <w:szCs w:val="21"/>
        </w:rPr>
        <w:t>万元。其</w:t>
      </w:r>
    </w:p>
    <w:p>
      <w:pPr>
        <w:spacing w:line="333" w:lineRule="auto" w:before="1"/>
        <w:ind w:left="154" w:right="177" w:hanging="1"/>
        <w:jc w:val="both"/>
        <w:rPr>
          <w:rFonts w:ascii="宋体" w:hAnsi="宋体" w:cs="宋体" w:eastAsia="宋体" w:hint="default"/>
          <w:sz w:val="21"/>
          <w:szCs w:val="21"/>
        </w:rPr>
      </w:pPr>
      <w:r>
        <w:rPr>
          <w:rFonts w:ascii="宋体" w:hAnsi="宋体" w:cs="宋体" w:eastAsia="宋体" w:hint="default"/>
          <w:sz w:val="21"/>
          <w:szCs w:val="21"/>
        </w:rPr>
        <w:t>中本公司的全资子公司深圳广电银通金融电子科技有限公司出资人民币</w:t>
      </w:r>
      <w:r>
        <w:rPr>
          <w:rFonts w:ascii="Times New Roman" w:hAnsi="Times New Roman" w:cs="Times New Roman" w:eastAsia="Times New Roman" w:hint="default"/>
          <w:sz w:val="21"/>
          <w:szCs w:val="21"/>
        </w:rPr>
        <w:t>1,000</w:t>
      </w:r>
      <w:r>
        <w:rPr>
          <w:rFonts w:ascii="宋体" w:hAnsi="宋体" w:cs="宋体" w:eastAsia="宋体" w:hint="default"/>
          <w:sz w:val="21"/>
          <w:szCs w:val="21"/>
        </w:rPr>
        <w:t>万元，占股比</w:t>
      </w:r>
      <w:r>
        <w:rPr>
          <w:rFonts w:ascii="Times New Roman" w:hAnsi="Times New Roman" w:cs="Times New Roman" w:eastAsia="Times New Roman" w:hint="default"/>
          <w:sz w:val="21"/>
          <w:szCs w:val="21"/>
        </w:rPr>
        <w:t>100%</w:t>
      </w:r>
      <w:r>
        <w:rPr>
          <w:rFonts w:ascii="宋体" w:hAnsi="宋体" w:cs="宋体" w:eastAsia="宋体" w:hint="default"/>
          <w:sz w:val="21"/>
          <w:szCs w:val="21"/>
        </w:rPr>
        <w:t>。注册地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2"/>
          <w:sz w:val="21"/>
          <w:szCs w:val="21"/>
        </w:rPr>
        <w:t>址为上</w:t>
      </w:r>
      <w:r>
        <w:rPr>
          <w:rFonts w:ascii="宋体" w:hAnsi="宋体" w:cs="宋体" w:eastAsia="宋体" w:hint="default"/>
          <w:spacing w:val="-71"/>
          <w:sz w:val="21"/>
          <w:szCs w:val="21"/>
        </w:rPr>
        <w:t> </w:t>
      </w:r>
      <w:r>
        <w:rPr>
          <w:rFonts w:ascii="宋体" w:hAnsi="宋体" w:cs="宋体" w:eastAsia="宋体" w:hint="default"/>
          <w:spacing w:val="16"/>
          <w:sz w:val="21"/>
          <w:szCs w:val="21"/>
        </w:rPr>
        <w:t>海市</w:t>
      </w:r>
      <w:r>
        <w:rPr>
          <w:rFonts w:ascii="宋体" w:hAnsi="宋体" w:cs="宋体" w:eastAsia="宋体" w:hint="default"/>
          <w:spacing w:val="-71"/>
          <w:sz w:val="21"/>
          <w:szCs w:val="21"/>
        </w:rPr>
        <w:t> </w:t>
      </w:r>
      <w:r>
        <w:rPr>
          <w:rFonts w:ascii="宋体" w:hAnsi="宋体" w:cs="宋体" w:eastAsia="宋体" w:hint="default"/>
          <w:spacing w:val="22"/>
          <w:sz w:val="21"/>
          <w:szCs w:val="21"/>
        </w:rPr>
        <w:t>宝山区</w:t>
      </w:r>
      <w:r>
        <w:rPr>
          <w:rFonts w:ascii="宋体" w:hAnsi="宋体" w:cs="宋体" w:eastAsia="宋体" w:hint="default"/>
          <w:spacing w:val="-71"/>
          <w:sz w:val="21"/>
          <w:szCs w:val="21"/>
        </w:rPr>
        <w:t> </w:t>
      </w:r>
      <w:r>
        <w:rPr>
          <w:rFonts w:ascii="宋体" w:hAnsi="宋体" w:cs="宋体" w:eastAsia="宋体" w:hint="default"/>
          <w:spacing w:val="16"/>
          <w:sz w:val="21"/>
          <w:szCs w:val="21"/>
        </w:rPr>
        <w:t>月罗</w:t>
      </w:r>
      <w:r>
        <w:rPr>
          <w:rFonts w:ascii="宋体" w:hAnsi="宋体" w:cs="宋体" w:eastAsia="宋体" w:hint="default"/>
          <w:spacing w:val="-71"/>
          <w:sz w:val="21"/>
          <w:szCs w:val="21"/>
        </w:rPr>
        <w:t> </w:t>
      </w:r>
      <w:r>
        <w:rPr>
          <w:rFonts w:ascii="宋体" w:hAnsi="宋体" w:cs="宋体" w:eastAsia="宋体" w:hint="default"/>
          <w:sz w:val="21"/>
          <w:szCs w:val="21"/>
        </w:rPr>
        <w:t>路</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559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P-366</w:t>
      </w:r>
      <w:r>
        <w:rPr>
          <w:rFonts w:ascii="Times New Roman" w:hAnsi="Times New Roman" w:cs="Times New Roman" w:eastAsia="Times New Roman" w:hint="default"/>
          <w:spacing w:val="-19"/>
          <w:sz w:val="21"/>
          <w:szCs w:val="21"/>
        </w:rPr>
        <w:t> </w:t>
      </w:r>
      <w:r>
        <w:rPr>
          <w:rFonts w:ascii="宋体" w:hAnsi="宋体" w:cs="宋体" w:eastAsia="宋体" w:hint="default"/>
          <w:spacing w:val="24"/>
          <w:sz w:val="21"/>
          <w:szCs w:val="21"/>
        </w:rPr>
        <w:t>室。取得</w:t>
      </w:r>
      <w:r>
        <w:rPr>
          <w:rFonts w:ascii="宋体" w:hAnsi="宋体" w:cs="宋体" w:eastAsia="宋体" w:hint="default"/>
          <w:spacing w:val="-71"/>
          <w:sz w:val="21"/>
          <w:szCs w:val="21"/>
        </w:rPr>
        <w:t> </w:t>
      </w:r>
      <w:r>
        <w:rPr>
          <w:rFonts w:ascii="宋体" w:hAnsi="宋体" w:cs="宋体" w:eastAsia="宋体" w:hint="default"/>
          <w:spacing w:val="22"/>
          <w:sz w:val="21"/>
          <w:szCs w:val="21"/>
        </w:rPr>
        <w:t>上海市</w:t>
      </w:r>
      <w:r>
        <w:rPr>
          <w:rFonts w:ascii="宋体" w:hAnsi="宋体" w:cs="宋体" w:eastAsia="宋体" w:hint="default"/>
          <w:spacing w:val="-71"/>
          <w:sz w:val="21"/>
          <w:szCs w:val="21"/>
        </w:rPr>
        <w:t> </w:t>
      </w:r>
      <w:r>
        <w:rPr>
          <w:rFonts w:ascii="宋体" w:hAnsi="宋体" w:cs="宋体" w:eastAsia="宋体" w:hint="default"/>
          <w:spacing w:val="16"/>
          <w:sz w:val="21"/>
          <w:szCs w:val="21"/>
        </w:rPr>
        <w:t>工商</w:t>
      </w:r>
      <w:r>
        <w:rPr>
          <w:rFonts w:ascii="宋体" w:hAnsi="宋体" w:cs="宋体" w:eastAsia="宋体" w:hint="default"/>
          <w:spacing w:val="-71"/>
          <w:sz w:val="21"/>
          <w:szCs w:val="21"/>
        </w:rPr>
        <w:t> </w:t>
      </w:r>
      <w:r>
        <w:rPr>
          <w:rFonts w:ascii="宋体" w:hAnsi="宋体" w:cs="宋体" w:eastAsia="宋体" w:hint="default"/>
          <w:spacing w:val="22"/>
          <w:sz w:val="21"/>
          <w:szCs w:val="21"/>
        </w:rPr>
        <w:t>行政管</w:t>
      </w:r>
      <w:r>
        <w:rPr>
          <w:rFonts w:ascii="宋体" w:hAnsi="宋体" w:cs="宋体" w:eastAsia="宋体" w:hint="default"/>
          <w:spacing w:val="-71"/>
          <w:sz w:val="21"/>
          <w:szCs w:val="21"/>
        </w:rPr>
        <w:t> </w:t>
      </w:r>
      <w:r>
        <w:rPr>
          <w:rFonts w:ascii="宋体" w:hAnsi="宋体" w:cs="宋体" w:eastAsia="宋体" w:hint="default"/>
          <w:spacing w:val="16"/>
          <w:sz w:val="21"/>
          <w:szCs w:val="21"/>
        </w:rPr>
        <w:t>理局</w:t>
      </w:r>
      <w:r>
        <w:rPr>
          <w:rFonts w:ascii="宋体" w:hAnsi="宋体" w:cs="宋体" w:eastAsia="宋体" w:hint="default"/>
          <w:spacing w:val="-71"/>
          <w:sz w:val="21"/>
          <w:szCs w:val="21"/>
        </w:rPr>
        <w:t> </w:t>
      </w:r>
      <w:r>
        <w:rPr>
          <w:rFonts w:ascii="宋体" w:hAnsi="宋体" w:cs="宋体" w:eastAsia="宋体" w:hint="default"/>
          <w:spacing w:val="22"/>
          <w:sz w:val="21"/>
          <w:szCs w:val="21"/>
        </w:rPr>
        <w:t>宝山分</w:t>
      </w:r>
      <w:r>
        <w:rPr>
          <w:rFonts w:ascii="宋体" w:hAnsi="宋体" w:cs="宋体" w:eastAsia="宋体" w:hint="default"/>
          <w:spacing w:val="-71"/>
          <w:sz w:val="21"/>
          <w:szCs w:val="21"/>
        </w:rPr>
        <w:t> </w:t>
      </w:r>
      <w:r>
        <w:rPr>
          <w:rFonts w:ascii="宋体" w:hAnsi="宋体" w:cs="宋体" w:eastAsia="宋体" w:hint="default"/>
          <w:spacing w:val="16"/>
          <w:sz w:val="21"/>
          <w:szCs w:val="21"/>
        </w:rPr>
        <w:t>局签</w:t>
      </w:r>
      <w:r>
        <w:rPr>
          <w:rFonts w:ascii="宋体" w:hAnsi="宋体" w:cs="宋体" w:eastAsia="宋体" w:hint="default"/>
          <w:spacing w:val="-71"/>
          <w:sz w:val="21"/>
          <w:szCs w:val="21"/>
        </w:rPr>
        <w:t> </w:t>
      </w:r>
      <w:r>
        <w:rPr>
          <w:rFonts w:ascii="宋体" w:hAnsi="宋体" w:cs="宋体" w:eastAsia="宋体" w:hint="default"/>
          <w:spacing w:val="22"/>
          <w:sz w:val="21"/>
          <w:szCs w:val="21"/>
        </w:rPr>
        <w:t>发注册</w:t>
      </w:r>
      <w:r>
        <w:rPr>
          <w:rFonts w:ascii="宋体" w:hAnsi="宋体" w:cs="宋体" w:eastAsia="宋体" w:hint="default"/>
          <w:spacing w:val="-71"/>
          <w:sz w:val="21"/>
          <w:szCs w:val="21"/>
        </w:rPr>
        <w:t> </w:t>
      </w:r>
      <w:r>
        <w:rPr>
          <w:rFonts w:ascii="宋体" w:hAnsi="宋体" w:cs="宋体" w:eastAsia="宋体" w:hint="default"/>
          <w:spacing w:val="16"/>
          <w:sz w:val="21"/>
          <w:szCs w:val="21"/>
        </w:rPr>
        <w:t>号为</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310113000952570</w:t>
      </w:r>
      <w:r>
        <w:rPr>
          <w:rFonts w:ascii="宋体" w:hAnsi="宋体" w:cs="宋体" w:eastAsia="宋体" w:hint="default"/>
          <w:sz w:val="21"/>
          <w:szCs w:val="21"/>
        </w:rPr>
        <w:t>的企业法人营业执照，经营范围为：金融电子设备的研究、开发、生产（生产限分支机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构经营）；计算机系统集成技术服务（计算机信息系统集成除外）；在计算机软硬件、金融电子设备、办</w:t>
      </w:r>
      <w:r>
        <w:rPr>
          <w:rFonts w:ascii="宋体" w:hAnsi="宋体" w:cs="宋体" w:eastAsia="宋体" w:hint="default"/>
          <w:sz w:val="21"/>
          <w:szCs w:val="21"/>
        </w:rPr>
        <w:t> 公设备、税控设备领域内的技术开发、技术咨询、技术服务；金融电子设备租赁；从事货物及技术的进出 口业务；对自动柜员机进行日常维护管理及数据处理；接收金融机构委托从事金融业务流程外包服务（清 机、清分、票据录入、数据处理等银行后台业务）。目前，深圳广电银通金融电子科技有限公司实际出资 </w:t>
      </w:r>
      <w:r>
        <w:rPr>
          <w:rFonts w:ascii="Times New Roman" w:hAnsi="Times New Roman" w:cs="Times New Roman" w:eastAsia="Times New Roman" w:hint="default"/>
          <w:sz w:val="21"/>
          <w:szCs w:val="21"/>
        </w:rPr>
        <w:t>1,000</w:t>
      </w:r>
      <w:r>
        <w:rPr>
          <w:rFonts w:ascii="宋体" w:hAnsi="宋体" w:cs="宋体" w:eastAsia="宋体" w:hint="default"/>
          <w:sz w:val="21"/>
          <w:szCs w:val="21"/>
        </w:rPr>
        <w:t>万元，公司已于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月正式营运。</w:t>
      </w:r>
    </w:p>
    <w:p>
      <w:pPr>
        <w:spacing w:before="8"/>
        <w:ind w:left="574" w:right="95" w:firstLine="0"/>
        <w:jc w:val="left"/>
        <w:rPr>
          <w:rFonts w:ascii="宋体" w:hAnsi="宋体" w:cs="宋体" w:eastAsia="宋体" w:hint="default"/>
          <w:sz w:val="21"/>
          <w:szCs w:val="21"/>
        </w:rPr>
      </w:pPr>
      <w:r>
        <w:rPr>
          <w:rFonts w:ascii="宋体" w:hAnsi="宋体" w:cs="宋体" w:eastAsia="宋体" w:hint="default"/>
          <w:b/>
          <w:bCs/>
          <w:sz w:val="21"/>
          <w:szCs w:val="21"/>
        </w:rPr>
        <w:t>（3）GRG Banking Equipment(HK)</w:t>
      </w:r>
      <w:r>
        <w:rPr>
          <w:rFonts w:ascii="宋体" w:hAnsi="宋体" w:cs="宋体" w:eastAsia="宋体" w:hint="default"/>
          <w:b/>
          <w:bCs/>
          <w:spacing w:val="-20"/>
          <w:sz w:val="21"/>
          <w:szCs w:val="21"/>
        </w:rPr>
        <w:t> </w:t>
      </w:r>
      <w:r>
        <w:rPr>
          <w:rFonts w:ascii="宋体" w:hAnsi="宋体" w:cs="宋体" w:eastAsia="宋体" w:hint="default"/>
          <w:b/>
          <w:bCs/>
          <w:sz w:val="21"/>
          <w:szCs w:val="21"/>
        </w:rPr>
        <w:t>Europe</w:t>
      </w:r>
      <w:r>
        <w:rPr>
          <w:rFonts w:ascii="宋体" w:hAnsi="宋体" w:cs="宋体" w:eastAsia="宋体" w:hint="default"/>
          <w:sz w:val="21"/>
          <w:szCs w:val="21"/>
        </w:rPr>
      </w:r>
    </w:p>
    <w:p>
      <w:pPr>
        <w:spacing w:line="321" w:lineRule="auto" w:before="115"/>
        <w:ind w:left="154" w:right="9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GRG Banking Equipment(HK)</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Europe</w:t>
      </w:r>
      <w:r>
        <w:rPr>
          <w:rFonts w:ascii="宋体" w:hAnsi="宋体" w:cs="宋体" w:eastAsia="宋体" w:hint="default"/>
          <w:sz w:val="21"/>
          <w:szCs w:val="21"/>
        </w:rPr>
        <w:t>成立于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日，注册资本及投资总额为立陶宛立特</w:t>
      </w:r>
      <w:r>
        <w:rPr>
          <w:rFonts w:ascii="Times New Roman" w:hAnsi="Times New Roman" w:cs="Times New Roman" w:eastAsia="Times New Roman" w:hint="default"/>
          <w:sz w:val="21"/>
          <w:szCs w:val="21"/>
        </w:rPr>
        <w:t>1</w:t>
      </w:r>
      <w:r>
        <w:rPr>
          <w:rFonts w:ascii="宋体" w:hAnsi="宋体" w:cs="宋体" w:eastAsia="宋体" w:hint="default"/>
          <w:sz w:val="21"/>
          <w:szCs w:val="21"/>
        </w:rPr>
        <w:t>万元， 由本公司的全资子公司</w:t>
      </w:r>
      <w:r>
        <w:rPr>
          <w:rFonts w:ascii="Times New Roman" w:hAnsi="Times New Roman" w:cs="Times New Roman" w:eastAsia="Times New Roman" w:hint="default"/>
          <w:sz w:val="21"/>
          <w:szCs w:val="21"/>
        </w:rPr>
        <w:t>GRG</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Banking</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Equipment</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Co.,Limited</w:t>
      </w:r>
      <w:r>
        <w:rPr>
          <w:rFonts w:ascii="宋体" w:hAnsi="宋体" w:cs="宋体" w:eastAsia="宋体" w:hint="default"/>
          <w:sz w:val="21"/>
          <w:szCs w:val="21"/>
        </w:rPr>
        <w:t>全额出资立陶宛立特</w:t>
      </w:r>
      <w:r>
        <w:rPr>
          <w:rFonts w:ascii="Times New Roman" w:hAnsi="Times New Roman" w:cs="Times New Roman" w:eastAsia="Times New Roman" w:hint="default"/>
          <w:sz w:val="21"/>
          <w:szCs w:val="21"/>
        </w:rPr>
        <w:t>1</w:t>
      </w:r>
      <w:r>
        <w:rPr>
          <w:rFonts w:ascii="宋体" w:hAnsi="宋体" w:cs="宋体" w:eastAsia="宋体" w:hint="default"/>
          <w:sz w:val="21"/>
          <w:szCs w:val="21"/>
        </w:rPr>
        <w:t>万元，占股比</w:t>
      </w:r>
      <w:r>
        <w:rPr>
          <w:rFonts w:ascii="Times New Roman" w:hAnsi="Times New Roman" w:cs="Times New Roman" w:eastAsia="Times New Roman" w:hint="default"/>
          <w:sz w:val="21"/>
          <w:szCs w:val="21"/>
        </w:rPr>
        <w:t>100%</w:t>
      </w:r>
      <w:r>
        <w:rPr>
          <w:rFonts w:ascii="宋体" w:hAnsi="宋体" w:cs="宋体" w:eastAsia="宋体" w:hint="default"/>
          <w:sz w:val="21"/>
          <w:szCs w:val="21"/>
        </w:rPr>
        <w:t>。 </w:t>
      </w:r>
      <w:r>
        <w:rPr>
          <w:rFonts w:ascii="宋体" w:hAnsi="宋体" w:cs="宋体" w:eastAsia="宋体" w:hint="default"/>
          <w:spacing w:val="-1"/>
          <w:sz w:val="21"/>
          <w:szCs w:val="21"/>
        </w:rPr>
        <w:t>注册地址为</w:t>
      </w:r>
      <w:r>
        <w:rPr>
          <w:rFonts w:ascii="Times New Roman" w:hAnsi="Times New Roman" w:cs="Times New Roman" w:eastAsia="Times New Roman" w:hint="default"/>
          <w:spacing w:val="-1"/>
          <w:sz w:val="21"/>
          <w:szCs w:val="21"/>
        </w:rPr>
        <w:t>Vilniaus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m.sav.Vilniaus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8"/>
          <w:sz w:val="21"/>
          <w:szCs w:val="21"/>
        </w:rPr>
        <w:t>m.Savanori</w:t>
      </w:r>
      <w:r>
        <w:rPr>
          <w:rFonts w:ascii="Times New Roman" w:hAnsi="Times New Roman" w:cs="Times New Roman" w:eastAsia="Times New Roman" w:hint="default"/>
          <w:spacing w:val="-8"/>
          <w:sz w:val="21"/>
          <w:szCs w:val="21"/>
        </w:rPr>
        <w:t>ų</w:t>
      </w:r>
      <w:r>
        <w:rPr>
          <w:rFonts w:ascii="Times New Roman" w:hAnsi="Times New Roman" w:cs="Times New Roman" w:eastAsia="Times New Roman" w:hint="default"/>
          <w:spacing w:val="-8"/>
          <w:sz w:val="21"/>
          <w:szCs w:val="21"/>
        </w:rPr>
        <w:t>.pr.123A</w:t>
      </w:r>
      <w:r>
        <w:rPr>
          <w:rFonts w:ascii="宋体" w:hAnsi="宋体" w:cs="宋体" w:eastAsia="宋体" w:hint="default"/>
          <w:spacing w:val="-8"/>
          <w:sz w:val="21"/>
          <w:szCs w:val="21"/>
        </w:rPr>
        <w:t>。主要经营为柜员机销售与服务。目前，</w:t>
      </w:r>
      <w:r>
        <w:rPr>
          <w:rFonts w:ascii="Times New Roman" w:hAnsi="Times New Roman" w:cs="Times New Roman" w:eastAsia="Times New Roman" w:hint="default"/>
          <w:spacing w:val="-8"/>
          <w:sz w:val="21"/>
          <w:szCs w:val="21"/>
        </w:rPr>
        <w:t>GRG</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Banking</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Times New Roman" w:hAnsi="Times New Roman" w:cs="Times New Roman" w:eastAsia="Times New Roman" w:hint="default"/>
          <w:sz w:val="21"/>
          <w:szCs w:val="21"/>
        </w:rPr>
        <w:t>Equipment (HK)</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Co.,Limited</w:t>
      </w:r>
      <w:r>
        <w:rPr>
          <w:rFonts w:ascii="宋体" w:hAnsi="宋体" w:cs="宋体" w:eastAsia="宋体" w:hint="default"/>
          <w:sz w:val="21"/>
          <w:szCs w:val="21"/>
        </w:rPr>
        <w:t>实际出资立陶宛立特</w:t>
      </w:r>
      <w:r>
        <w:rPr>
          <w:rFonts w:ascii="Times New Roman" w:hAnsi="Times New Roman" w:cs="Times New Roman" w:eastAsia="Times New Roman" w:hint="default"/>
          <w:sz w:val="21"/>
          <w:szCs w:val="21"/>
        </w:rPr>
        <w:t>1</w:t>
      </w:r>
      <w:r>
        <w:rPr>
          <w:rFonts w:ascii="宋体" w:hAnsi="宋体" w:cs="宋体" w:eastAsia="宋体" w:hint="default"/>
          <w:sz w:val="21"/>
          <w:szCs w:val="21"/>
        </w:rPr>
        <w:t>万元，公司已于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月正式营运。</w:t>
      </w:r>
    </w:p>
    <w:p>
      <w:pPr>
        <w:spacing w:line="240" w:lineRule="auto" w:before="7"/>
        <w:rPr>
          <w:rFonts w:ascii="宋体" w:hAnsi="宋体" w:cs="宋体" w:eastAsia="宋体" w:hint="default"/>
          <w:sz w:val="21"/>
          <w:szCs w:val="21"/>
        </w:rPr>
      </w:pPr>
    </w:p>
    <w:p>
      <w:pPr>
        <w:spacing w:before="0"/>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4" w:right="275" w:firstLine="420"/>
        <w:jc w:val="left"/>
        <w:rPr>
          <w:rFonts w:ascii="宋体" w:hAnsi="宋体" w:cs="宋体" w:eastAsia="宋体" w:hint="default"/>
          <w:sz w:val="21"/>
          <w:szCs w:val="21"/>
        </w:rPr>
      </w:pPr>
      <w:r>
        <w:rPr>
          <w:rFonts w:ascii="宋体" w:hAnsi="宋体" w:cs="宋体" w:eastAsia="宋体" w:hint="default"/>
          <w:sz w:val="21"/>
          <w:szCs w:val="21"/>
        </w:rPr>
        <w:t>（1）本期新纳入合并范围的子公司、特殊目的主体、通过受托经营或承租等方式形成控制权的经营 实体</w:t>
      </w:r>
    </w:p>
    <w:p>
      <w:pPr>
        <w:pStyle w:val="BodyText"/>
        <w:spacing w:line="240" w:lineRule="auto" w:before="73"/>
        <w:ind w:left="0" w:right="21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7,931,273.69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-2,068,726.31</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 Banking Equipment(HK)</w:t>
            </w:r>
            <w:r>
              <w:rPr>
                <w:rFonts w:ascii="Times New Roman"/>
                <w:spacing w:val="-9"/>
                <w:sz w:val="18"/>
              </w:rPr>
              <w:t> </w:t>
            </w:r>
            <w:r>
              <w:rPr>
                <w:rFonts w:ascii="Times New Roman"/>
                <w:sz w:val="18"/>
              </w:rPr>
              <w:t>Europe</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-587,733.39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-587,604.32</w:t>
            </w:r>
          </w:p>
        </w:tc>
      </w:tr>
    </w:tbl>
    <w:p>
      <w:pPr>
        <w:spacing w:line="240" w:lineRule="auto" w:before="0"/>
        <w:rPr>
          <w:rFonts w:ascii="宋体" w:hAnsi="宋体" w:cs="宋体" w:eastAsia="宋体" w:hint="default"/>
          <w:sz w:val="20"/>
          <w:szCs w:val="20"/>
        </w:rPr>
      </w:pPr>
    </w:p>
    <w:p>
      <w:pPr>
        <w:spacing w:line="273" w:lineRule="auto" w:before="35"/>
        <w:ind w:left="154" w:right="95" w:firstLine="420"/>
        <w:jc w:val="left"/>
        <w:rPr>
          <w:rFonts w:ascii="宋体" w:hAnsi="宋体" w:cs="宋体" w:eastAsia="宋体" w:hint="default"/>
          <w:sz w:val="21"/>
          <w:szCs w:val="21"/>
        </w:rPr>
      </w:pPr>
      <w:r>
        <w:rPr>
          <w:rFonts w:ascii="宋体" w:hAnsi="宋体" w:cs="宋体" w:eastAsia="宋体" w:hint="default"/>
          <w:sz w:val="21"/>
          <w:szCs w:val="21"/>
        </w:rPr>
        <w:t>（2）本期没有不再纳入合并范围的子公司、特殊目的主体、通过受托经营或承租等方式形成控制权</w:t>
      </w:r>
      <w:r>
        <w:rPr>
          <w:rFonts w:ascii="宋体" w:hAnsi="宋体" w:cs="宋体" w:eastAsia="宋体" w:hint="default"/>
          <w:spacing w:val="2"/>
          <w:sz w:val="21"/>
          <w:szCs w:val="21"/>
        </w:rPr>
        <w:t> </w:t>
      </w:r>
      <w:r>
        <w:rPr>
          <w:rFonts w:ascii="宋体" w:hAnsi="宋体" w:cs="宋体" w:eastAsia="宋体" w:hint="default"/>
          <w:sz w:val="21"/>
          <w:szCs w:val="21"/>
        </w:rPr>
        <w:t>的经营实体。</w:t>
      </w:r>
    </w:p>
    <w:p>
      <w:pPr>
        <w:spacing w:after="0" w:line="273" w:lineRule="auto"/>
        <w:jc w:val="left"/>
        <w:rPr>
          <w:rFonts w:ascii="宋体" w:hAnsi="宋体" w:cs="宋体" w:eastAsia="宋体" w:hint="default"/>
          <w:sz w:val="21"/>
          <w:szCs w:val="21"/>
        </w:rPr>
        <w:sectPr>
          <w:footerReference w:type="default" r:id="rId15"/>
          <w:pgSz w:w="11910" w:h="16840"/>
          <w:pgMar w:footer="982" w:header="747" w:top="1060" w:bottom="1180" w:left="980" w:right="920"/>
          <w:pgNumType w:start="101"/>
        </w:sectPr>
      </w:pPr>
    </w:p>
    <w:p>
      <w:pPr>
        <w:spacing w:line="240" w:lineRule="auto" w:before="10"/>
        <w:rPr>
          <w:rFonts w:ascii="宋体" w:hAnsi="宋体" w:cs="宋体" w:eastAsia="宋体" w:hint="default"/>
          <w:sz w:val="24"/>
          <w:szCs w:val="24"/>
        </w:rPr>
      </w:pPr>
    </w:p>
    <w:p>
      <w:pPr>
        <w:spacing w:before="35"/>
        <w:ind w:left="154"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21" w:lineRule="auto" w:before="0"/>
        <w:ind w:left="154" w:right="95" w:firstLine="420"/>
        <w:jc w:val="left"/>
        <w:rPr>
          <w:rFonts w:ascii="宋体" w:hAnsi="宋体" w:cs="宋体" w:eastAsia="宋体" w:hint="default"/>
          <w:sz w:val="21"/>
          <w:szCs w:val="21"/>
        </w:rPr>
      </w:pP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r>
        <w:rPr>
          <w:rFonts w:ascii="宋体" w:hAnsi="宋体" w:cs="宋体" w:eastAsia="宋体" w:hint="default"/>
          <w:spacing w:val="2"/>
          <w:sz w:val="21"/>
          <w:szCs w:val="21"/>
        </w:rPr>
        <w:t> </w:t>
      </w:r>
      <w:r>
        <w:rPr>
          <w:rFonts w:ascii="宋体" w:hAnsi="宋体" w:cs="宋体" w:eastAsia="宋体" w:hint="default"/>
          <w:spacing w:val="-1"/>
          <w:sz w:val="21"/>
          <w:szCs w:val="21"/>
        </w:rPr>
        <w:t>润</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项目外，其他项目采用发生时的即期汇率折算。利润表中的收入和费用项目，采用年度平均汇率折算。</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按照上述折算产生的外币财务报表折算差额，在资产负债表所有者权益项目下单独列示。</w:t>
      </w:r>
    </w:p>
    <w:tbl>
      <w:tblPr>
        <w:tblW w:w="0" w:type="auto"/>
        <w:jc w:val="left"/>
        <w:tblInd w:w="277" w:type="dxa"/>
        <w:tblLayout w:type="fixed"/>
        <w:tblCellMar>
          <w:top w:w="0" w:type="dxa"/>
          <w:left w:w="0" w:type="dxa"/>
          <w:bottom w:w="0" w:type="dxa"/>
          <w:right w:w="0" w:type="dxa"/>
        </w:tblCellMar>
        <w:tblLook w:val="01E0"/>
      </w:tblPr>
      <w:tblGrid>
        <w:gridCol w:w="2167"/>
        <w:gridCol w:w="2166"/>
        <w:gridCol w:w="2600"/>
        <w:gridCol w:w="2448"/>
      </w:tblGrid>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兑换币种</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hAnsi="宋体" w:cs="宋体" w:eastAsia="宋体" w:hint="default"/>
                <w:sz w:val="21"/>
                <w:szCs w:val="21"/>
              </w:rPr>
              <w:t>期初（上期）折算汇率</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hAnsi="宋体" w:cs="宋体" w:eastAsia="宋体" w:hint="default"/>
                <w:sz w:val="21"/>
                <w:szCs w:val="21"/>
              </w:rPr>
              <w:t>期末（本期）折算汇率</w:t>
            </w:r>
          </w:p>
        </w:tc>
      </w:tr>
      <w:tr>
        <w:trPr>
          <w:trHeight w:val="37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0.81070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0.81080</w:t>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0.87002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0.87002</w:t>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0.81070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0.81080</w:t>
            </w:r>
          </w:p>
        </w:tc>
      </w:tr>
      <w:tr>
        <w:trPr>
          <w:trHeight w:val="37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0.83082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0.81075</w:t>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澳元折港币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7.9059</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8.0988</w:t>
            </w:r>
            <w:r>
              <w:rPr>
                <w:rFonts w:ascii="Times New Roman"/>
                <w:sz w:val="21"/>
              </w:rPr>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0.5555</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0.5953</w:t>
            </w:r>
            <w:r>
              <w:rPr>
                <w:rFonts w:ascii="Times New Roman"/>
                <w:sz w:val="21"/>
              </w:rPr>
            </w:r>
          </w:p>
        </w:tc>
      </w:tr>
      <w:tr>
        <w:trPr>
          <w:trHeight w:val="37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0.5906</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0.5906</w:t>
            </w:r>
            <w:r>
              <w:rPr>
                <w:rFonts w:ascii="Times New Roman"/>
                <w:sz w:val="21"/>
              </w:rPr>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0.6122</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0.5905</w:t>
            </w:r>
            <w:r>
              <w:rPr>
                <w:rFonts w:ascii="Times New Roman"/>
                <w:sz w:val="21"/>
              </w:rPr>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4.0817</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4.3260</w:t>
            </w:r>
            <w:r>
              <w:rPr>
                <w:rFonts w:ascii="Times New Roman"/>
                <w:sz w:val="21"/>
              </w:rPr>
            </w:r>
          </w:p>
        </w:tc>
      </w:tr>
      <w:tr>
        <w:trPr>
          <w:trHeight w:val="37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4.5487</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4.5487</w:t>
            </w:r>
            <w:r>
              <w:rPr>
                <w:rFonts w:ascii="Times New Roman"/>
                <w:sz w:val="21"/>
              </w:rPr>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土耳其里拉折港币</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4.2352</w:t>
            </w:r>
            <w:r>
              <w:rPr>
                <w:rFonts w:ascii="Times New Roman"/>
                <w:sz w:val="21"/>
              </w:rPr>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3"/>
                <w:sz w:val="21"/>
              </w:rPr>
              <w:t>4.3111</w:t>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立陶宛立特折港币</w:t>
            </w:r>
          </w:p>
        </w:tc>
        <w:tc>
          <w:tcPr>
            <w:tcW w:w="2600"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2.9674</w:t>
            </w:r>
            <w:r>
              <w:rPr>
                <w:rFonts w:ascii="Times New Roman"/>
                <w:sz w:val="21"/>
              </w:rPr>
            </w:r>
          </w:p>
        </w:tc>
      </w:tr>
      <w:tr>
        <w:trPr>
          <w:trHeight w:val="371"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立陶宛立特折港币</w:t>
            </w:r>
          </w:p>
        </w:tc>
        <w:tc>
          <w:tcPr>
            <w:tcW w:w="2600"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2.9673</w:t>
            </w:r>
            <w:r>
              <w:rPr>
                <w:rFonts w:ascii="Times New Roman"/>
                <w:sz w:val="21"/>
              </w:rPr>
            </w:r>
          </w:p>
        </w:tc>
      </w:tr>
      <w:tr>
        <w:trPr>
          <w:trHeight w:val="370" w:hRule="exact"/>
        </w:trPr>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立陶宛立特折港币</w:t>
            </w:r>
          </w:p>
        </w:tc>
        <w:tc>
          <w:tcPr>
            <w:tcW w:w="2600"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2.8503</w:t>
            </w:r>
            <w:r>
              <w:rPr>
                <w:rFonts w:ascii="Times New Roman"/>
                <w:sz w:val="21"/>
              </w:rPr>
            </w:r>
          </w:p>
        </w:tc>
      </w:tr>
    </w:tbl>
    <w:p>
      <w:pPr>
        <w:spacing w:line="240" w:lineRule="auto" w:before="8"/>
        <w:rPr>
          <w:rFonts w:ascii="宋体" w:hAnsi="宋体" w:cs="宋体" w:eastAsia="宋体" w:hint="default"/>
          <w:sz w:val="19"/>
          <w:szCs w:val="19"/>
        </w:rPr>
      </w:pPr>
    </w:p>
    <w:p>
      <w:pPr>
        <w:spacing w:before="26"/>
        <w:ind w:left="154" w:right="95" w:firstLine="0"/>
        <w:jc w:val="left"/>
        <w:rPr>
          <w:rFonts w:ascii="宋体" w:hAnsi="宋体" w:cs="宋体" w:eastAsia="宋体" w:hint="default"/>
          <w:sz w:val="24"/>
          <w:szCs w:val="24"/>
        </w:rPr>
      </w:pPr>
      <w:r>
        <w:rPr>
          <w:rFonts w:ascii="宋体" w:hAnsi="宋体" w:cs="宋体" w:eastAsia="宋体" w:hint="default"/>
          <w:b/>
          <w:bCs/>
          <w:sz w:val="24"/>
          <w:szCs w:val="24"/>
        </w:rPr>
        <w:t>七、合并财务报表主要项目注释</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574" w:right="95"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line="240" w:lineRule="auto" w:before="10"/>
        <w:rPr>
          <w:rFonts w:ascii="宋体" w:hAnsi="宋体" w:cs="宋体" w:eastAsia="宋体" w:hint="default"/>
          <w:sz w:val="25"/>
          <w:szCs w:val="25"/>
        </w:rPr>
      </w:pPr>
    </w:p>
    <w:p>
      <w:pPr>
        <w:spacing w:before="0"/>
        <w:ind w:left="153"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1" w:hRule="exact"/>
        </w:trPr>
        <w:tc>
          <w:tcPr>
            <w:tcW w:w="1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99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3" w:hRule="exact"/>
        </w:trPr>
        <w:tc>
          <w:tcPr>
            <w:tcW w:w="1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252,262.09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270,398.60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218,390.03</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270,398.60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4,148.26</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9,583.66</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马来西亚令吉</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9,964.00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20,123.51</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2,003,287,772.25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1,215,953,040.17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1,933,179,444.64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4,392,905.37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27,610,517.52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4,943,816.74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31,150,494.85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20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5,034,079.97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41,871,389.54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8,269,256.78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67,497,808.45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656,369.28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532,184.21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222,753.00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180,584.61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1,652.52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5.13%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8,484.13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1,651.71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8,040.52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10,025.73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35,165.21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14,662.26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2,791.02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32,584.00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14,673.86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立陶苑立特</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20,465.53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49,239.91</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103,377,391.94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103,377,391.94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2,003,540,034.34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1,319,600,830.71</w:t>
            </w:r>
          </w:p>
        </w:tc>
      </w:tr>
    </w:tbl>
    <w:p>
      <w:pPr>
        <w:spacing w:before="93"/>
        <w:ind w:left="634" w:right="385" w:firstLine="0"/>
        <w:jc w:val="left"/>
        <w:rPr>
          <w:rFonts w:ascii="宋体" w:hAnsi="宋体" w:cs="宋体" w:eastAsia="宋体" w:hint="default"/>
          <w:sz w:val="21"/>
          <w:szCs w:val="21"/>
        </w:rPr>
      </w:pPr>
      <w:r>
        <w:rPr>
          <w:rFonts w:ascii="宋体" w:hAnsi="宋体" w:cs="宋体" w:eastAsia="宋体" w:hint="default"/>
          <w:sz w:val="21"/>
          <w:szCs w:val="21"/>
        </w:rPr>
        <w:t>其中受限制的货币资金明细如下：</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432"/>
        <w:gridCol w:w="2720"/>
        <w:gridCol w:w="2702"/>
      </w:tblGrid>
      <w:tr>
        <w:trPr>
          <w:trHeight w:val="464" w:hRule="exact"/>
        </w:trPr>
        <w:tc>
          <w:tcPr>
            <w:tcW w:w="4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5" w:hRule="exact"/>
        </w:trPr>
        <w:tc>
          <w:tcPr>
            <w:tcW w:w="4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720" w:type="dxa"/>
            <w:tcBorders>
              <w:top w:val="single" w:sz="4" w:space="0" w:color="000000"/>
              <w:left w:val="single" w:sz="4" w:space="0" w:color="000000"/>
              <w:bottom w:val="single" w:sz="4" w:space="0" w:color="000000"/>
              <w:right w:val="single" w:sz="4" w:space="0" w:color="000000"/>
            </w:tcBorders>
          </w:tcPr>
          <w:p>
            <w:pPr/>
          </w:p>
        </w:tc>
        <w:tc>
          <w:tcPr>
            <w:tcW w:w="2702"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押汇保证金</w:t>
            </w:r>
          </w:p>
        </w:tc>
        <w:tc>
          <w:tcPr>
            <w:tcW w:w="2720" w:type="dxa"/>
            <w:tcBorders>
              <w:top w:val="single" w:sz="4" w:space="0" w:color="000000"/>
              <w:left w:val="single" w:sz="4" w:space="0" w:color="000000"/>
              <w:bottom w:val="single" w:sz="4" w:space="0" w:color="000000"/>
              <w:right w:val="single" w:sz="4" w:space="0" w:color="000000"/>
            </w:tcBorders>
          </w:tcPr>
          <w:p>
            <w:pP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103,377,391.94</w:t>
            </w:r>
          </w:p>
        </w:tc>
      </w:tr>
      <w:tr>
        <w:trPr>
          <w:trHeight w:val="464" w:hRule="exact"/>
        </w:trPr>
        <w:tc>
          <w:tcPr>
            <w:tcW w:w="4432"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0.00</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103,377,391.94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214" w:right="3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14" w:right="3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1,987,100.00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4,697,525.00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1,987,100.00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4,697,525.00</w:t>
            </w:r>
          </w:p>
        </w:tc>
      </w:tr>
    </w:tbl>
    <w:p>
      <w:pPr>
        <w:spacing w:line="240" w:lineRule="auto" w:before="2"/>
        <w:rPr>
          <w:rFonts w:ascii="宋体" w:hAnsi="宋体" w:cs="宋体" w:eastAsia="宋体" w:hint="default"/>
          <w:b/>
          <w:bCs/>
          <w:sz w:val="19"/>
          <w:szCs w:val="19"/>
        </w:rPr>
      </w:pPr>
    </w:p>
    <w:p>
      <w:pPr>
        <w:spacing w:before="35"/>
        <w:ind w:left="214" w:right="3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）期末没有已质押的应收票据。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14" w:right="3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）期末没有因出票人无力履约而将票据转为应收账款的票据。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14" w:right="3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）期末公司已经背书给他方但尚未到期的票据情况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2694"/>
        <w:gridCol w:w="1842"/>
        <w:gridCol w:w="1843"/>
        <w:gridCol w:w="1559"/>
        <w:gridCol w:w="163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20" w:right="90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1842"/>
        <w:gridCol w:w="1843"/>
        <w:gridCol w:w="1559"/>
        <w:gridCol w:w="163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广州新科佳都科技有限公司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514,755.50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22816651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1,433,355.00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20303804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银联商务有限公司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39,330.00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20303800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4,987,440.50</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）期末没有已贴现或质押的商业承兑票据。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06" w:lineRule="auto" w:before="0"/>
        <w:ind w:left="154" w:right="197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）期末应收票据中没有持本公司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6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03"/>
        <w:gridCol w:w="1266"/>
        <w:gridCol w:w="714"/>
        <w:gridCol w:w="1193"/>
        <w:gridCol w:w="793"/>
        <w:gridCol w:w="1260"/>
        <w:gridCol w:w="714"/>
        <w:gridCol w:w="1266"/>
        <w:gridCol w:w="738"/>
      </w:tblGrid>
      <w:tr>
        <w:trPr>
          <w:trHeight w:val="401" w:hRule="exact"/>
        </w:trPr>
        <w:tc>
          <w:tcPr>
            <w:tcW w:w="16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9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6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种类</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6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39"/>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1266" w:type="dxa"/>
            <w:tcBorders>
              <w:top w:val="single" w:sz="4" w:space="0" w:color="000000"/>
              <w:left w:val="single" w:sz="10" w:space="0" w:color="D3D3D3"/>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4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center"/>
              <w:rPr>
                <w:rFonts w:ascii="Times New Roman" w:hAnsi="Times New Roman" w:cs="Times New Roman" w:eastAsia="Times New Roman" w:hint="default"/>
                <w:sz w:val="18"/>
                <w:szCs w:val="18"/>
              </w:rPr>
            </w:pPr>
            <w:r>
              <w:rPr>
                <w:rFonts w:ascii="Times New Roman"/>
                <w:sz w:val="18"/>
              </w:rPr>
              <w:t>663,160,789.89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Times New Roman" w:hAnsi="Times New Roman" w:cs="Times New Roman" w:eastAsia="Times New Roman" w:hint="default"/>
                <w:sz w:val="18"/>
                <w:szCs w:val="18"/>
              </w:rPr>
            </w:pPr>
            <w:r>
              <w:rPr>
                <w:rFonts w:ascii="Times New Roman"/>
                <w:sz w:val="18"/>
              </w:rPr>
              <w:t>18,897,788.68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854,132,049.53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21,174,658.95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663,160,789.89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18,897,788.68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854,132,049.53</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21,174,658.95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2.48%</w:t>
            </w:r>
          </w:p>
        </w:tc>
      </w:tr>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9"/>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备的应收账款</w:t>
            </w:r>
          </w:p>
        </w:tc>
        <w:tc>
          <w:tcPr>
            <w:tcW w:w="126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663,160,789.89</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18,897,788.68</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854,132,049.53</w:t>
            </w:r>
          </w:p>
        </w:tc>
        <w:tc>
          <w:tcPr>
            <w:tcW w:w="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21,174,658.95</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300" w:lineRule="auto" w:before="26"/>
        <w:ind w:left="153" w:right="4521" w:firstLine="0"/>
        <w:jc w:val="left"/>
        <w:rPr>
          <w:rFonts w:ascii="宋体" w:hAnsi="宋体" w:cs="宋体" w:eastAsia="宋体" w:hint="default"/>
          <w:sz w:val="21"/>
          <w:szCs w:val="21"/>
        </w:rPr>
      </w:pPr>
      <w:r>
        <w:rPr>
          <w:rFonts w:ascii="宋体" w:hAnsi="宋体" w:cs="宋体" w:eastAsia="宋体" w:hint="default"/>
          <w:sz w:val="21"/>
          <w:szCs w:val="21"/>
        </w:rPr>
        <w:t>应收账款种类的说明：详见本附注（四）</w:t>
      </w:r>
      <w:r>
        <w:rPr>
          <w:rFonts w:ascii="Times New Roman" w:hAnsi="Times New Roman" w:cs="Times New Roman" w:eastAsia="Times New Roman" w:hint="default"/>
          <w:sz w:val="21"/>
          <w:szCs w:val="21"/>
        </w:rPr>
        <w:t>10</w:t>
      </w:r>
      <w:r>
        <w:rPr>
          <w:rFonts w:ascii="宋体" w:hAnsi="宋体" w:cs="宋体" w:eastAsia="宋体" w:hint="default"/>
          <w:sz w:val="21"/>
          <w:szCs w:val="21"/>
        </w:rPr>
        <w:t>。 期末没有单项金额重大并单项计提坏账准备的应收账款。 组合中，采用账龄分析法计提坏账准备的应收账款：</w:t>
      </w:r>
    </w:p>
    <w:p>
      <w:pPr>
        <w:spacing w:line="240" w:lineRule="auto" w:before="1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443,425,286.51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2,217,126.46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696,426,583.59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3,482,132.92</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443,425,286.51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2,217,126.46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696,426,583.59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3,482,132.92</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172,847,801.98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8,642,390.10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89,939,588.76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4,496,979.44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1622"/>
        <w:gridCol w:w="929"/>
        <w:gridCol w:w="1727"/>
        <w:gridCol w:w="1462"/>
        <w:gridCol w:w="929"/>
        <w:gridCol w:w="146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34,340,947.04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5.18%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3,434,094.70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36,063,862.50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4.22%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3,606,386.25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12,546,754.36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4,604,177.42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31,702,014.68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3.70%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9,589,160.34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8,371,186.30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2,511,355.89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31,580,959.77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3.70%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9,474,287.93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4,165,493.06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2,082,746.53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6,182.50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108,689.91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108,689.91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663,160,789.89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18,897,788.68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854,132,049.53</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21,174,658.95</w:t>
            </w:r>
          </w:p>
        </w:tc>
      </w:tr>
    </w:tbl>
    <w:p>
      <w:pPr>
        <w:spacing w:line="240" w:lineRule="auto" w:before="3"/>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期末没有单项金额虽不重大但单项计提坏账准备的应收账款。</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）本报告期没有转回或收回的应收账款。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40"/>
        <w:gridCol w:w="1440"/>
        <w:gridCol w:w="1800"/>
        <w:gridCol w:w="1033"/>
        <w:gridCol w:w="992"/>
        <w:gridCol w:w="1061"/>
      </w:tblGrid>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3"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中国农业银行股份有限公司福建省分行 营业部鼓楼支行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8,298.91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中国农业银行上林县支行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湖南常德市农业银行科技部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陕西省榆林市榆阳区农行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湖北罗田农行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四川恒迪装饰工程有限公司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3,983.00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中国银行宁夏分行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中国银行宁夏分行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农行广元分行苍溪支行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36,571.00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中国光大银行股份有限公司青岛分行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交通银行股份有限公司杭州分行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中国建设银行股份有限公司江西分行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6,798.76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洛阳市西工区农村信用合作联社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备件款及维护费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平安银行股份有限公司深圳分行江苏大 厦支行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32,863.20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中国农业银行股份有限公司江西省分行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44,399.00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交通银行股份有限公司辽宁省分行抚顺 市支行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台州市邮政局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中国农业银行股份有限公司吉林省分行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中国银行股份有限公司吉林省分行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289" w:type="dxa"/>
        <w:tblLayout w:type="fixed"/>
        <w:tblCellMar>
          <w:top w:w="0" w:type="dxa"/>
          <w:left w:w="0" w:type="dxa"/>
          <w:bottom w:w="0" w:type="dxa"/>
          <w:right w:w="0" w:type="dxa"/>
        </w:tblCellMar>
        <w:tblLook w:val="01E0"/>
      </w:tblPr>
      <w:tblGrid>
        <w:gridCol w:w="3240"/>
        <w:gridCol w:w="1440"/>
        <w:gridCol w:w="1800"/>
        <w:gridCol w:w="1033"/>
        <w:gridCol w:w="992"/>
        <w:gridCol w:w="1061"/>
      </w:tblGrid>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徐州市邮政局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贵州省黔南州邮政局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维护</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832,186.87</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2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）本报告期应收账款中没有持有公司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3402"/>
        <w:gridCol w:w="1276"/>
        <w:gridCol w:w="1702"/>
        <w:gridCol w:w="1700"/>
        <w:gridCol w:w="1490"/>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6" w:right="108"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易程</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新技术股份有限公司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48,008,738.80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中国建设银行股份有限公司总行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29,347,932.95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广州市新科佳都科技有限公司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20,067,276.38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中国农业银行股份有限公司上海市分行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18,581,259.00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农业银行河南省分行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16,848,549.82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132,853,756.95</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w:t>
            </w:r>
          </w:p>
        </w:tc>
      </w:tr>
    </w:tbl>
    <w:p>
      <w:pPr>
        <w:spacing w:line="240" w:lineRule="auto" w:before="2"/>
        <w:rPr>
          <w:rFonts w:ascii="宋体" w:hAnsi="宋体" w:cs="宋体" w:eastAsia="宋体" w:hint="default"/>
          <w:b/>
          <w:bCs/>
          <w:sz w:val="19"/>
          <w:szCs w:val="19"/>
        </w:rPr>
      </w:pPr>
    </w:p>
    <w:p>
      <w:pPr>
        <w:spacing w:before="35"/>
        <w:ind w:left="2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）本期没有应收关联方账款。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）本期没有未全部终止确认的被转移的应收账款。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）期末没有以应收款项为标的进行证券化的，列示继续涉入形成的资产、负债的金额。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28"/>
        <w:gridCol w:w="1140"/>
        <w:gridCol w:w="786"/>
        <w:gridCol w:w="1063"/>
        <w:gridCol w:w="786"/>
        <w:gridCol w:w="1359"/>
        <w:gridCol w:w="724"/>
        <w:gridCol w:w="1196"/>
        <w:gridCol w:w="791"/>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2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140" w:type="dxa"/>
            <w:tcBorders>
              <w:top w:val="single" w:sz="4" w:space="0" w:color="000000"/>
              <w:left w:val="single" w:sz="13" w:space="0" w:color="D3D3D3"/>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0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32,452,446.42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499,373.12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1.54%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23,919,790.23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319,883.02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应收补贴款组合</w:t>
            </w:r>
          </w:p>
        </w:tc>
        <w:tc>
          <w:tcPr>
            <w:tcW w:w="114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2,495,551.19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32,452,446.42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499,373.12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1.54%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26,415,341.42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319,883.02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14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32,452,446.42</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499,373.12</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13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26,415,341.42</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319,883.02</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840" w:right="760"/>
        </w:sectPr>
      </w:pPr>
    </w:p>
    <w:p>
      <w:pPr>
        <w:spacing w:line="240" w:lineRule="auto" w:before="10"/>
        <w:rPr>
          <w:rFonts w:ascii="宋体" w:hAnsi="宋体" w:cs="宋体" w:eastAsia="宋体" w:hint="default"/>
          <w:b/>
          <w:bCs/>
          <w:sz w:val="24"/>
          <w:szCs w:val="24"/>
        </w:rPr>
      </w:pPr>
    </w:p>
    <w:p>
      <w:pPr>
        <w:spacing w:line="307" w:lineRule="auto" w:before="35"/>
        <w:ind w:left="154" w:right="431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其他应收款种类的说明：详见本附注（四）10。 期末没有单项金额重大并单项计提坏账准备的其他应收款。 组合中，采用账龄分析法计提坏账准备的其他应收款</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41"/>
        <w:gridCol w:w="1847"/>
        <w:gridCol w:w="659"/>
        <w:gridCol w:w="1447"/>
        <w:gridCol w:w="1450"/>
        <w:gridCol w:w="656"/>
        <w:gridCol w:w="1668"/>
      </w:tblGrid>
      <w:tr>
        <w:trPr>
          <w:trHeight w:val="402" w:hRule="exact"/>
        </w:trPr>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1" w:type="dxa"/>
            <w:vMerge/>
            <w:tcBorders>
              <w:left w:val="single" w:sz="4" w:space="0" w:color="000000"/>
              <w:right w:val="single" w:sz="4" w:space="0" w:color="000000"/>
            </w:tcBorders>
            <w:shd w:val="clear" w:color="auto" w:fill="D3D3D3"/>
          </w:tcPr>
          <w:p>
            <w:pPr/>
          </w:p>
        </w:tc>
        <w:tc>
          <w:tcPr>
            <w:tcW w:w="25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1" w:type="dxa"/>
            <w:vMerge/>
            <w:tcBorders>
              <w:left w:val="single" w:sz="4" w:space="0" w:color="000000"/>
              <w:bottom w:val="single" w:sz="4" w:space="0" w:color="000000"/>
              <w:right w:val="single" w:sz="4" w:space="0" w:color="000000"/>
            </w:tcBorders>
            <w:shd w:val="clear" w:color="auto" w:fill="D3D3D3"/>
          </w:tcPr>
          <w:p>
            <w:pPr/>
          </w:p>
        </w:tc>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29,653,178.45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148,265.90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21,807,930.23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109,039.65</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29,653,178.45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148,265.90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21,807,930.23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109,039.65</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1,727,288.51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86,364.43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1,200,906.35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60,045.31</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477,474.77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47,747.48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672,440.18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67,244.02</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594,504.69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216,995.31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238,513.47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83,554.04</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451,285.18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135,385.55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218,513.47</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65,554.04</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123,219.51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61,609.76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32,452,446.42</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499,373.12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23,919,790.23</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319,883.02</w:t>
            </w:r>
          </w:p>
        </w:tc>
      </w:tr>
    </w:tbl>
    <w:p>
      <w:pPr>
        <w:spacing w:line="240" w:lineRule="auto" w:before="3"/>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期末没有单项金额虽不重大但单项计提坏账准备的其他应收款。</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）本期没有转回或收回的其他应收款。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12,853.93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员工已辞职</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12,853.93</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）本报告期其他应收款中没有持有公司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7"/>
        <w:gridCol w:w="1985"/>
        <w:gridCol w:w="1559"/>
        <w:gridCol w:w="1417"/>
        <w:gridCol w:w="1632"/>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5" w:right="9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彭文丹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1,868,010.16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汇丰银行广州分行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1,706,442.80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广发银行上海分行营业部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1,457,100.00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977"/>
        <w:gridCol w:w="1985"/>
        <w:gridCol w:w="1559"/>
        <w:gridCol w:w="1417"/>
        <w:gridCol w:w="1632"/>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员工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江苏钟山宾馆集团有限公司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6,981,552.96</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）期末其他应收款中没有应收关联方账款情况。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）期末没有未全部终止确认的被转移的其他应收款情况。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）期末没有以其他应收款为标的进行证券化的，列示继续涉入形成的资产、负债的金额。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0"/>
        <w:gridCol w:w="3188"/>
        <w:gridCol w:w="1062"/>
        <w:gridCol w:w="3054"/>
        <w:gridCol w:w="1051"/>
      </w:tblGrid>
      <w:tr>
        <w:trPr>
          <w:trHeight w:val="200" w:hRule="exact"/>
        </w:trPr>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2" w:hRule="exact"/>
        </w:trPr>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3D3D3"/>
          </w:tcPr>
          <w:p>
            <w:pPr/>
          </w:p>
        </w:tc>
        <w:tc>
          <w:tcPr>
            <w:tcW w:w="4105"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190" w:type="dxa"/>
            <w:vMerge/>
            <w:tcBorders>
              <w:left w:val="single" w:sz="4" w:space="0" w:color="000000"/>
              <w:bottom w:val="nil" w:sz="6" w:space="0" w:color="auto"/>
              <w:right w:val="single" w:sz="4" w:space="0" w:color="000000"/>
            </w:tcBorders>
            <w:shd w:val="clear" w:color="auto" w:fill="D3D3D3"/>
          </w:tcPr>
          <w:p>
            <w:pPr/>
          </w:p>
        </w:tc>
        <w:tc>
          <w:tcPr>
            <w:tcW w:w="3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2" w:hRule="exact"/>
        </w:trPr>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8"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49,453,209.32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100.00%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19,503,172.79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89.00%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13" w:space="0" w:color="D3D3D3"/>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2,409,874.17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11.00%</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49,453,209.32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21,913,046.96</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2268"/>
        <w:gridCol w:w="1559"/>
        <w:gridCol w:w="1417"/>
        <w:gridCol w:w="163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上海嘉频房地产开发有限公司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项目未结算验收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进口增值税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12,618,551.74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货物未到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成都市中航地产发展有限公司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6,595,637.00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项目未结算验收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进口关税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2,299,105.23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货物未到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南京赛控信息技术有限公司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项目未结算验收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47,763,293.97</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line="506" w:lineRule="auto" w:before="35"/>
        <w:ind w:left="154" w:right="1346"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）本报告期预付款项中没有持有本公司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before="64"/>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88,937,098.19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88,937,098.19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102,189,212.92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102,189,212.92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24,038,897.56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24,038,897.56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26,001,424.11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26,001,424.11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656,618,724.66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656,618,724.66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520,407,698.01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520,407,698.01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769,594,720.41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769,594,720.41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648,598,335.04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648,598,335.04</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9,060,311.32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9,060,311.32</w:t>
            </w:r>
          </w:p>
        </w:tc>
      </w:tr>
    </w:tbl>
    <w:p>
      <w:pPr>
        <w:spacing w:line="340" w:lineRule="auto" w:before="65"/>
        <w:ind w:left="154" w:right="0" w:firstLine="420"/>
        <w:jc w:val="left"/>
        <w:rPr>
          <w:rFonts w:ascii="宋体" w:hAnsi="宋体" w:cs="宋体" w:eastAsia="宋体" w:hint="default"/>
          <w:sz w:val="21"/>
          <w:szCs w:val="21"/>
        </w:rPr>
      </w:pPr>
      <w:r>
        <w:rPr>
          <w:rFonts w:ascii="宋体" w:hAnsi="宋体" w:cs="宋体" w:eastAsia="宋体" w:hint="default"/>
          <w:sz w:val="21"/>
          <w:szCs w:val="21"/>
        </w:rPr>
        <w:t>本期将持有至到期投资重分类为可供出售金融资产的，本期重分类的金额</w:t>
      </w:r>
      <w:r>
        <w:rPr>
          <w:rFonts w:ascii="宋体" w:hAnsi="宋体" w:cs="宋体" w:eastAsia="宋体" w:hint="default"/>
          <w:spacing w:val="-68"/>
          <w:sz w:val="21"/>
          <w:szCs w:val="21"/>
        </w:rPr>
        <w:t> </w:t>
      </w:r>
      <w:r>
        <w:rPr>
          <w:rFonts w:ascii="宋体" w:hAnsi="宋体" w:cs="宋体" w:eastAsia="宋体" w:hint="default"/>
          <w:sz w:val="21"/>
          <w:szCs w:val="21"/>
        </w:rPr>
        <w:t>0.00</w:t>
      </w:r>
      <w:r>
        <w:rPr>
          <w:rFonts w:ascii="宋体" w:hAnsi="宋体" w:cs="宋体" w:eastAsia="宋体" w:hint="default"/>
          <w:spacing w:val="-67"/>
          <w:sz w:val="21"/>
          <w:szCs w:val="21"/>
        </w:rPr>
        <w:t> </w:t>
      </w:r>
      <w:r>
        <w:rPr>
          <w:rFonts w:ascii="宋体" w:hAnsi="宋体" w:cs="宋体" w:eastAsia="宋体" w:hint="default"/>
          <w:sz w:val="21"/>
          <w:szCs w:val="21"/>
        </w:rPr>
        <w:t>元，该金额占重分类</w:t>
      </w:r>
      <w:r>
        <w:rPr>
          <w:rFonts w:ascii="宋体" w:hAnsi="宋体" w:cs="宋体" w:eastAsia="宋体" w:hint="default"/>
          <w:spacing w:val="-1"/>
          <w:sz w:val="21"/>
          <w:szCs w:val="21"/>
        </w:rPr>
        <w:t> </w:t>
      </w:r>
      <w:r>
        <w:rPr>
          <w:rFonts w:ascii="宋体" w:hAnsi="宋体" w:cs="宋体" w:eastAsia="宋体" w:hint="default"/>
          <w:sz w:val="21"/>
          <w:szCs w:val="21"/>
        </w:rPr>
        <w:t>前持有至到期投资总额的比例</w:t>
      </w:r>
      <w:r>
        <w:rPr>
          <w:rFonts w:ascii="宋体" w:hAnsi="宋体" w:cs="宋体" w:eastAsia="宋体" w:hint="default"/>
          <w:spacing w:val="-53"/>
          <w:sz w:val="21"/>
          <w:szCs w:val="21"/>
        </w:rPr>
        <w:t> </w:t>
      </w:r>
      <w:r>
        <w:rPr>
          <w:rFonts w:ascii="宋体" w:hAnsi="宋体" w:cs="宋体" w:eastAsia="宋体" w:hint="default"/>
          <w:sz w:val="21"/>
          <w:szCs w:val="21"/>
        </w:rPr>
        <w:t>0%。</w:t>
      </w:r>
    </w:p>
    <w:p>
      <w:pPr>
        <w:spacing w:before="66"/>
        <w:ind w:left="154" w:right="0" w:firstLine="0"/>
        <w:jc w:val="left"/>
        <w:rPr>
          <w:rFonts w:ascii="宋体" w:hAnsi="宋体" w:cs="宋体" w:eastAsia="宋体" w:hint="default"/>
          <w:sz w:val="21"/>
          <w:szCs w:val="21"/>
        </w:rPr>
      </w:pPr>
      <w:r>
        <w:rPr>
          <w:rFonts w:ascii="宋体" w:hAnsi="宋体" w:cs="宋体" w:eastAsia="宋体" w:hint="default"/>
          <w:sz w:val="21"/>
          <w:szCs w:val="21"/>
        </w:rPr>
        <w:t>可供出售金融资产的说明：</w:t>
      </w:r>
    </w:p>
    <w:p>
      <w:pPr>
        <w:spacing w:line="340" w:lineRule="auto" w:before="154"/>
        <w:ind w:left="153" w:right="0" w:firstLine="42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5"/>
          <w:sz w:val="21"/>
          <w:szCs w:val="21"/>
        </w:rPr>
        <w:t> </w:t>
      </w:r>
      <w:r>
        <w:rPr>
          <w:rFonts w:ascii="宋体" w:hAnsi="宋体" w:cs="宋体" w:eastAsia="宋体" w:hint="default"/>
          <w:sz w:val="21"/>
          <w:szCs w:val="21"/>
        </w:rPr>
        <w:t>子</w:t>
      </w:r>
      <w:r>
        <w:rPr>
          <w:rFonts w:ascii="宋体" w:hAnsi="宋体" w:cs="宋体" w:eastAsia="宋体" w:hint="default"/>
          <w:spacing w:val="-75"/>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GRG</w:t>
      </w:r>
      <w:r>
        <w:rPr>
          <w:rFonts w:ascii="宋体" w:hAnsi="宋体" w:cs="宋体" w:eastAsia="宋体" w:hint="default"/>
          <w:spacing w:val="28"/>
          <w:sz w:val="21"/>
          <w:szCs w:val="21"/>
        </w:rPr>
        <w:t> </w:t>
      </w:r>
      <w:r>
        <w:rPr>
          <w:rFonts w:ascii="宋体" w:hAnsi="宋体" w:cs="宋体" w:eastAsia="宋体" w:hint="default"/>
          <w:sz w:val="21"/>
          <w:szCs w:val="21"/>
        </w:rPr>
        <w:t>Banking</w:t>
      </w:r>
      <w:r>
        <w:rPr>
          <w:rFonts w:ascii="宋体" w:hAnsi="宋体" w:cs="宋体" w:eastAsia="宋体" w:hint="default"/>
          <w:spacing w:val="29"/>
          <w:sz w:val="21"/>
          <w:szCs w:val="21"/>
        </w:rPr>
        <w:t> </w:t>
      </w:r>
      <w:r>
        <w:rPr>
          <w:rFonts w:ascii="宋体" w:hAnsi="宋体" w:cs="宋体" w:eastAsia="宋体" w:hint="default"/>
          <w:sz w:val="21"/>
          <w:szCs w:val="21"/>
        </w:rPr>
        <w:t>Equipment</w:t>
      </w:r>
      <w:r>
        <w:rPr>
          <w:rFonts w:ascii="宋体" w:hAnsi="宋体" w:cs="宋体" w:eastAsia="宋体" w:hint="default"/>
          <w:spacing w:val="29"/>
          <w:sz w:val="21"/>
          <w:szCs w:val="21"/>
        </w:rPr>
        <w:t> </w:t>
      </w:r>
      <w:r>
        <w:rPr>
          <w:rFonts w:ascii="宋体" w:hAnsi="宋体" w:cs="宋体" w:eastAsia="宋体" w:hint="default"/>
          <w:sz w:val="21"/>
          <w:szCs w:val="21"/>
        </w:rPr>
        <w:t>(HK)</w:t>
      </w:r>
      <w:r>
        <w:rPr>
          <w:rFonts w:ascii="宋体" w:hAnsi="宋体" w:cs="宋体" w:eastAsia="宋体" w:hint="default"/>
          <w:spacing w:val="29"/>
          <w:sz w:val="21"/>
          <w:szCs w:val="21"/>
        </w:rPr>
        <w:t> </w:t>
      </w:r>
      <w:r>
        <w:rPr>
          <w:rFonts w:ascii="宋体" w:hAnsi="宋体" w:cs="宋体" w:eastAsia="宋体" w:hint="default"/>
          <w:sz w:val="21"/>
          <w:szCs w:val="21"/>
        </w:rPr>
        <w:t>Co.,Limited</w:t>
      </w:r>
      <w:r>
        <w:rPr>
          <w:rFonts w:ascii="宋体" w:hAnsi="宋体" w:cs="宋体" w:eastAsia="宋体" w:hint="default"/>
          <w:spacing w:val="28"/>
          <w:sz w:val="21"/>
          <w:szCs w:val="21"/>
        </w:rPr>
        <w:t> </w:t>
      </w:r>
      <w:r>
        <w:rPr>
          <w:rFonts w:ascii="宋体" w:hAnsi="宋体" w:cs="宋体" w:eastAsia="宋体" w:hint="default"/>
          <w:sz w:val="21"/>
          <w:szCs w:val="21"/>
        </w:rPr>
        <w:t>在</w:t>
      </w:r>
      <w:r>
        <w:rPr>
          <w:rFonts w:ascii="宋体" w:hAnsi="宋体" w:cs="宋体" w:eastAsia="宋体" w:hint="default"/>
          <w:spacing w:val="-74"/>
          <w:sz w:val="21"/>
          <w:szCs w:val="21"/>
        </w:rPr>
        <w:t> </w:t>
      </w: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末</w:t>
      </w:r>
      <w:r>
        <w:rPr>
          <w:rFonts w:ascii="宋体" w:hAnsi="宋体" w:cs="宋体" w:eastAsia="宋体" w:hint="default"/>
          <w:spacing w:val="-75"/>
          <w:sz w:val="21"/>
          <w:szCs w:val="21"/>
        </w:rPr>
        <w:t> </w:t>
      </w:r>
      <w:r>
        <w:rPr>
          <w:rFonts w:ascii="宋体" w:hAnsi="宋体" w:cs="宋体" w:eastAsia="宋体" w:hint="default"/>
          <w:sz w:val="21"/>
          <w:szCs w:val="21"/>
        </w:rPr>
        <w:t>持</w:t>
      </w:r>
      <w:r>
        <w:rPr>
          <w:rFonts w:ascii="宋体" w:hAnsi="宋体" w:cs="宋体" w:eastAsia="宋体" w:hint="default"/>
          <w:spacing w:val="-75"/>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GRG</w:t>
      </w:r>
      <w:r>
        <w:rPr>
          <w:rFonts w:ascii="宋体" w:hAnsi="宋体" w:cs="宋体" w:eastAsia="宋体" w:hint="default"/>
          <w:spacing w:val="29"/>
          <w:sz w:val="21"/>
          <w:szCs w:val="21"/>
        </w:rPr>
        <w:t> </w:t>
      </w:r>
      <w:r>
        <w:rPr>
          <w:rFonts w:ascii="宋体" w:hAnsi="宋体" w:cs="宋体" w:eastAsia="宋体" w:hint="default"/>
          <w:sz w:val="21"/>
          <w:szCs w:val="21"/>
        </w:rPr>
        <w:t>INTERNATIONAL</w:t>
      </w:r>
      <w:r>
        <w:rPr>
          <w:rFonts w:ascii="宋体" w:hAnsi="宋体" w:cs="宋体" w:eastAsia="宋体" w:hint="default"/>
          <w:sz w:val="21"/>
          <w:szCs w:val="21"/>
        </w:rPr>
        <w:t> LTD(GRGI) 股份10,097,282.00股，购买成本为1,340,500.40</w:t>
      </w:r>
      <w:r>
        <w:rPr>
          <w:rFonts w:ascii="宋体" w:hAnsi="宋体" w:cs="宋体" w:eastAsia="宋体" w:hint="default"/>
          <w:spacing w:val="44"/>
          <w:sz w:val="21"/>
          <w:szCs w:val="21"/>
        </w:rPr>
        <w:t> </w:t>
      </w:r>
      <w:r>
        <w:rPr>
          <w:rFonts w:ascii="宋体" w:hAnsi="宋体" w:cs="宋体" w:eastAsia="宋体" w:hint="default"/>
          <w:sz w:val="21"/>
          <w:szCs w:val="21"/>
        </w:rPr>
        <w:t>AUD，折合为人民币8,615,098.78元。2012</w:t>
      </w:r>
    </w:p>
    <w:p>
      <w:pPr>
        <w:spacing w:line="340" w:lineRule="auto" w:before="27"/>
        <w:ind w:left="153" w:right="1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pacing w:val="9"/>
          <w:sz w:val="21"/>
          <w:szCs w:val="21"/>
        </w:rPr>
        <w:t>12月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pacing w:val="21"/>
          <w:sz w:val="21"/>
          <w:szCs w:val="21"/>
        </w:rPr>
        <w:t>日该公司</w:t>
      </w:r>
      <w:r>
        <w:rPr>
          <w:rFonts w:ascii="宋体" w:hAnsi="宋体" w:cs="宋体" w:eastAsia="宋体" w:hint="default"/>
          <w:spacing w:val="-76"/>
          <w:sz w:val="21"/>
          <w:szCs w:val="21"/>
        </w:rPr>
        <w:t> </w:t>
      </w:r>
      <w:r>
        <w:rPr>
          <w:rFonts w:ascii="宋体" w:hAnsi="宋体" w:cs="宋体" w:eastAsia="宋体" w:hint="default"/>
          <w:spacing w:val="14"/>
          <w:sz w:val="21"/>
          <w:szCs w:val="21"/>
        </w:rPr>
        <w:t>股票</w:t>
      </w:r>
      <w:r>
        <w:rPr>
          <w:rFonts w:ascii="宋体" w:hAnsi="宋体" w:cs="宋体" w:eastAsia="宋体" w:hint="default"/>
          <w:spacing w:val="-76"/>
          <w:sz w:val="21"/>
          <w:szCs w:val="21"/>
        </w:rPr>
        <w:t> </w:t>
      </w:r>
      <w:r>
        <w:rPr>
          <w:rFonts w:ascii="宋体" w:hAnsi="宋体" w:cs="宋体" w:eastAsia="宋体" w:hint="default"/>
          <w:spacing w:val="18"/>
          <w:sz w:val="21"/>
          <w:szCs w:val="21"/>
        </w:rPr>
        <w:t>收市价</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7"/>
          <w:sz w:val="21"/>
          <w:szCs w:val="21"/>
        </w:rPr>
        <w:t> </w:t>
      </w:r>
      <w:r>
        <w:rPr>
          <w:rFonts w:ascii="宋体" w:hAnsi="宋体" w:cs="宋体" w:eastAsia="宋体" w:hint="default"/>
          <w:sz w:val="21"/>
          <w:szCs w:val="21"/>
        </w:rPr>
        <w:t>0.099AUD,</w:t>
      </w:r>
      <w:r>
        <w:rPr>
          <w:rFonts w:ascii="宋体" w:hAnsi="宋体" w:cs="宋体" w:eastAsia="宋体" w:hint="default"/>
          <w:spacing w:val="29"/>
          <w:sz w:val="21"/>
          <w:szCs w:val="21"/>
        </w:rPr>
        <w:t> </w:t>
      </w: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2012</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汇</w:t>
      </w:r>
      <w:r>
        <w:rPr>
          <w:rFonts w:ascii="宋体" w:hAnsi="宋体" w:cs="宋体" w:eastAsia="宋体" w:hint="default"/>
          <w:spacing w:val="-78"/>
          <w:sz w:val="21"/>
          <w:szCs w:val="21"/>
        </w:rPr>
        <w:t> </w:t>
      </w:r>
      <w:r>
        <w:rPr>
          <w:rFonts w:ascii="宋体" w:hAnsi="宋体" w:cs="宋体" w:eastAsia="宋体" w:hint="default"/>
          <w:sz w:val="21"/>
          <w:szCs w:val="21"/>
        </w:rPr>
        <w:t>率</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8"/>
          <w:sz w:val="21"/>
          <w:szCs w:val="21"/>
        </w:rPr>
        <w:t> </w:t>
      </w:r>
      <w:r>
        <w:rPr>
          <w:rFonts w:ascii="宋体" w:hAnsi="宋体" w:cs="宋体" w:eastAsia="宋体" w:hint="default"/>
          <w:sz w:val="21"/>
          <w:szCs w:val="21"/>
        </w:rPr>
        <w:t>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末</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5"/>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pacing w:val="8"/>
          <w:sz w:val="21"/>
          <w:szCs w:val="21"/>
        </w:rPr>
        <w:t>6,564,083.46元，累计公允价值增加-2,051,015.32元转入资本公积，其中：前期累计公允价值增加</w:t>
      </w:r>
    </w:p>
    <w:p>
      <w:pPr>
        <w:spacing w:before="27"/>
        <w:ind w:left="153" w:right="0" w:firstLine="0"/>
        <w:jc w:val="left"/>
        <w:rPr>
          <w:rFonts w:ascii="宋体" w:hAnsi="宋体" w:cs="宋体" w:eastAsia="宋体" w:hint="default"/>
          <w:sz w:val="21"/>
          <w:szCs w:val="21"/>
        </w:rPr>
      </w:pPr>
      <w:r>
        <w:rPr>
          <w:rFonts w:ascii="宋体" w:hAnsi="宋体" w:cs="宋体" w:eastAsia="宋体" w:hint="default"/>
          <w:sz w:val="21"/>
          <w:szCs w:val="21"/>
        </w:rPr>
        <w:t>445,212.54元，本期公允价值增加-2,496,227.86元计入其他综合收益。</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）期末没有存在限售期限的可供出售金融资产情况。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18"/>
        <w:gridCol w:w="973"/>
        <w:gridCol w:w="1198"/>
        <w:gridCol w:w="1194"/>
        <w:gridCol w:w="1196"/>
        <w:gridCol w:w="1194"/>
        <w:gridCol w:w="1198"/>
        <w:gridCol w:w="1196"/>
      </w:tblGrid>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66" w:right="30"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广州市龙源环保 科技有限公司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263,350,050.67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3,377,534.54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259,972,516.13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9,202,659.79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-13,036,805.64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云南云通金融外 包服务有限公司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9,720,877.44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9,720,877.44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-279,122.56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254" w:right="2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080"/>
        <w:gridCol w:w="360"/>
        <w:gridCol w:w="1310"/>
        <w:gridCol w:w="1210"/>
        <w:gridCol w:w="1260"/>
        <w:gridCol w:w="1260"/>
        <w:gridCol w:w="540"/>
        <w:gridCol w:w="540"/>
        <w:gridCol w:w="900"/>
        <w:gridCol w:w="360"/>
        <w:gridCol w:w="540"/>
        <w:gridCol w:w="540"/>
      </w:tblGrid>
      <w:tr>
        <w:trPr>
          <w:trHeight w:val="196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8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8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6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both"/>
              <w:rPr>
                <w:rFonts w:ascii="宋体" w:hAnsi="宋体" w:cs="宋体" w:eastAsia="宋体" w:hint="default"/>
                <w:sz w:val="18"/>
                <w:szCs w:val="18"/>
              </w:rPr>
            </w:pPr>
            <w:r>
              <w:rPr>
                <w:rFonts w:ascii="宋体" w:hAnsi="宋体" w:cs="宋体" w:eastAsia="宋体" w:hint="default"/>
                <w:sz w:val="18"/>
                <w:szCs w:val="18"/>
              </w:rPr>
              <w:t>在被 投资 单位 持股 比例</w:t>
            </w:r>
          </w:p>
          <w:p>
            <w:pPr>
              <w:pStyle w:val="TableParagraph"/>
              <w:spacing w:line="240" w:lineRule="auto" w:before="60"/>
              <w:ind w:left="129" w:right="0"/>
              <w:jc w:val="both"/>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 w:right="38"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表决 权比 例</w:t>
            </w:r>
            <w:r>
              <w:rPr>
                <w:rFonts w:ascii="Times New Roman" w:hAnsi="Times New Roman" w:cs="Times New Roman" w:eastAsia="Times New Roman"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广州市龙源 环保科技有 限公司</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权 益 法</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167,462,119.40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-8,145,472.93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159,316,646.47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云南云通金 融外包服务 有限公司</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权 益 法</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4,763,229.95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4,763,229.95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167,462,119.40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-3,382,242.98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164,079,876.42</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254" w:right="2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）期末没有向投资企业转移资金的能力受到限制的有关情况。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54" w:right="2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54" w:right="2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396,502,846.50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2" w:right="0"/>
              <w:jc w:val="left"/>
              <w:rPr>
                <w:rFonts w:ascii="Times New Roman" w:hAnsi="Times New Roman" w:cs="Times New Roman" w:eastAsia="Times New Roman" w:hint="default"/>
                <w:sz w:val="18"/>
                <w:szCs w:val="18"/>
              </w:rPr>
            </w:pPr>
            <w:r>
              <w:rPr>
                <w:rFonts w:ascii="Times New Roman"/>
                <w:sz w:val="18"/>
              </w:rPr>
              <w:t>24,547,456.05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18,636,026.58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402,414,275.97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229,131,410.66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229,186,410.66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19,494,119.23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3,285,964.97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825,887.00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21,954,197.20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28,603,581.77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10,429,464.31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62,150.00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38,970,896.08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18,382,664.90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2,905,365.20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2,141,851.64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19,146,178.46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6,079,040.75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2,386,449.78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754,858.48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7,710,632.05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10,690,656.62</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2,655,220.32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13,345,876.94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8,255,272.91</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10,772,272.91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38,565.29</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307,220.53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185,810.22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159,975.60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75,827,534.37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5,770.94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14,665,469.24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61,167,836.07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98,274,985.73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30,942,014.75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17,238,707.48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111,978,293.00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13,219,867.87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6,223,568.60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19,443,436.47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5,636,923.24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2,713,516.58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644,465.91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7,705,973.91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8,062,218.69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6,323,976.93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40,257.36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14,345,938.26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8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9"/>
        <w:gridCol w:w="1478"/>
        <w:gridCol w:w="1311"/>
        <w:gridCol w:w="1595"/>
        <w:gridCol w:w="1582"/>
        <w:gridCol w:w="147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8,191,297.48</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3,046,941.59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1,618,595.53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9,619,643.54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2,481,007.24</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1,249,939.37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473,192.09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3,257,754.52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4,966,597.87</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1,660,658.37</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6,627,256.24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6,726,281.29</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2,026,958.18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8,753,239.47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7,410.34</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23,925.68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9,382.69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21,953.33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48,983,381.71</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7,672,529.45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14,452,813.90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42,203,097.26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298,227,860.77</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290,435,982.97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215,911,542.79</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209,742,974.19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13,857,195.99</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14,248,223.29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20,541,363.08</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24,624,957.82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10,191,367.42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9,526,534.92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3,598,033.51</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4,452,877.53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5,724,058.75</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6,718,620.70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1,528,991.62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2,019,033.44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31,154.95</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138,022.27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26,844,152.66</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18,964,738.81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8" w:type="dxa"/>
            <w:tcBorders>
              <w:top w:val="single" w:sz="4" w:space="0" w:color="000000"/>
              <w:left w:val="single" w:sz="13" w:space="0" w:color="D3D3D3"/>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tc>
        <w:tc>
          <w:tcPr>
            <w:tcW w:w="1478" w:type="dxa"/>
            <w:tcBorders>
              <w:top w:val="single" w:sz="4" w:space="0" w:color="000000"/>
              <w:left w:val="single" w:sz="4" w:space="0" w:color="000000"/>
              <w:bottom w:val="single" w:sz="4" w:space="0" w:color="000000"/>
              <w:right w:val="single" w:sz="9" w:space="0" w:color="D3D3D3"/>
            </w:tcBorders>
          </w:tcPr>
          <w:p>
            <w:pP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298,227,860.77</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290,435,982.97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215,911,542.79</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209,742,974.19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13,857,195.99</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14,248,223.29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20,541,363.08</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24,624,957.82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10,191,367.42</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9,526,534.92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3,598,033.51</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4,452,877.53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478"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5,724,058.75</w:t>
            </w:r>
          </w:p>
        </w:tc>
        <w:tc>
          <w:tcPr>
            <w:tcW w:w="44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6,718,620.70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1,528,991.62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2,019,033.44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31,154.95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138,022.27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营运业务用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26,844,152.66</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18,964,738.81</w:t>
            </w:r>
          </w:p>
        </w:tc>
      </w:tr>
    </w:tbl>
    <w:p>
      <w:pPr>
        <w:spacing w:before="26"/>
        <w:ind w:left="154" w:right="9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30,942,014.75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元；本期由在建工程转入固定资产原价为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935,667.08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）期末没有暂时闲置的固定资产。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）本期没有通过融资租赁租入的固定资产。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）本期没有通过经营租赁租出的固定资产。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）期末没有持有待售的固定资产。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）期末没有未办妥产权证书的固定资产。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1,328,036.51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1,328,036.51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1,834,436.31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1,834,436.31</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科学城三期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1,288,619.77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1,288,619.77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2,616,656.28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2,616,656.28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1,834,436.31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1,834,436.31</w:t>
            </w:r>
          </w:p>
        </w:tc>
      </w:tr>
    </w:tbl>
    <w:p>
      <w:pPr>
        <w:spacing w:line="240" w:lineRule="auto" w:before="2"/>
        <w:rPr>
          <w:rFonts w:ascii="宋体" w:hAnsi="宋体" w:cs="宋体" w:eastAsia="宋体" w:hint="default"/>
          <w:b/>
          <w:bCs/>
          <w:sz w:val="19"/>
          <w:szCs w:val="19"/>
        </w:rPr>
      </w:pPr>
    </w:p>
    <w:p>
      <w:pPr>
        <w:spacing w:before="35"/>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1244"/>
        <w:gridCol w:w="1080"/>
        <w:gridCol w:w="1080"/>
        <w:gridCol w:w="900"/>
        <w:gridCol w:w="360"/>
        <w:gridCol w:w="540"/>
        <w:gridCol w:w="360"/>
        <w:gridCol w:w="540"/>
        <w:gridCol w:w="720"/>
        <w:gridCol w:w="532"/>
        <w:gridCol w:w="548"/>
        <w:gridCol w:w="1080"/>
      </w:tblGrid>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57" w:lineRule="auto"/>
              <w:ind w:left="182" w:right="181"/>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1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4" w:right="84"/>
              <w:jc w:val="both"/>
              <w:rPr>
                <w:rFonts w:ascii="宋体" w:hAnsi="宋体" w:cs="宋体" w:eastAsia="宋体" w:hint="default"/>
                <w:sz w:val="18"/>
                <w:szCs w:val="18"/>
              </w:rPr>
            </w:pPr>
            <w:r>
              <w:rPr>
                <w:rFonts w:ascii="宋体" w:hAnsi="宋体" w:cs="宋体" w:eastAsia="宋体" w:hint="default"/>
                <w:sz w:val="18"/>
                <w:szCs w:val="18"/>
              </w:rPr>
              <w:t>其 他 减 少</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 w:right="38"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工程 投入 占预 算比 例</w:t>
            </w:r>
            <w:r>
              <w:rPr>
                <w:rFonts w:ascii="Times New Roman" w:hAnsi="Times New Roman" w:cs="Times New Roman" w:eastAsia="Times New Roman" w:hint="default"/>
                <w:sz w:val="18"/>
                <w:szCs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4" w:right="84"/>
              <w:jc w:val="both"/>
              <w:rPr>
                <w:rFonts w:ascii="宋体" w:hAnsi="宋体" w:cs="宋体" w:eastAsia="宋体" w:hint="default"/>
                <w:sz w:val="18"/>
                <w:szCs w:val="18"/>
              </w:rPr>
            </w:pPr>
            <w:r>
              <w:rPr>
                <w:rFonts w:ascii="宋体" w:hAnsi="宋体" w:cs="宋体" w:eastAsia="宋体" w:hint="default"/>
                <w:sz w:val="18"/>
                <w:szCs w:val="18"/>
              </w:rPr>
              <w:t>工 程 进 度</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pacing w:val="-15"/>
                <w:sz w:val="18"/>
                <w:szCs w:val="18"/>
              </w:rPr>
              <w:t>其中：本</w:t>
            </w:r>
            <w:r>
              <w:rPr>
                <w:rFonts w:ascii="宋体" w:hAnsi="宋体" w:cs="宋体" w:eastAsia="宋体" w:hint="default"/>
                <w:sz w:val="18"/>
                <w:szCs w:val="18"/>
              </w:rPr>
              <w:t> 期利息 资本化 金额</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本期 利息 资本 化率</w:t>
            </w:r>
          </w:p>
          <w:p>
            <w:pPr>
              <w:pStyle w:val="TableParagraph"/>
              <w:spacing w:line="240" w:lineRule="auto" w:before="60"/>
              <w:ind w:left="124" w:right="0"/>
              <w:jc w:val="both"/>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科学城 生产基 地三期</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250,000,000.00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1,288,619.77</w:t>
            </w: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1,288,619.77</w:t>
            </w:r>
          </w:p>
        </w:tc>
      </w:tr>
      <w:tr>
        <w:trPr>
          <w:trHeight w:val="75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2" w:right="341"/>
              <w:jc w:val="left"/>
              <w:rPr>
                <w:rFonts w:ascii="宋体" w:hAnsi="宋体" w:cs="宋体" w:eastAsia="宋体" w:hint="default"/>
                <w:sz w:val="18"/>
                <w:szCs w:val="18"/>
              </w:rPr>
            </w:pPr>
            <w:r>
              <w:rPr>
                <w:rFonts w:ascii="宋体" w:hAnsi="宋体" w:cs="宋体" w:eastAsia="宋体" w:hint="default"/>
                <w:sz w:val="18"/>
                <w:szCs w:val="18"/>
              </w:rPr>
              <w:t>零星 工程</w:t>
            </w:r>
          </w:p>
        </w:tc>
        <w:tc>
          <w:tcPr>
            <w:tcW w:w="12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1,834,436.31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429,267.28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935,667.08</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155"/>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1,328,036.51</w:t>
            </w: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1,834,436.31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1,717,887.05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935,667.08</w:t>
            </w: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2,616,656.28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）本期没有发生在建工程减值准备的计提。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20,932,619.85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714,228.22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25,666.71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21,621,181.36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1,343,196.02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1,343,196.02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2,232,023.83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613,128.22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25,666.71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2,819,485.34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5,489,900.00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5,489,900.00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3,471,100.00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3,410,998.30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833,979.21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25,666.71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4,219,310.80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1,343,196.02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1,343,196.02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809,843.05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484,977.71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25,666.71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1,269,154.05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849,750.00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169,950.00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402,592.56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109,798.00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512,390.56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5,616.67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69,253.50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74,870.17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17,521,621.55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-119,750.99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17,401,870.56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1,422,180.78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128,150.51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1,550,331.29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7,647,750.00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-169,950.00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7,477,800.00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5,087,307.44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-109,798.00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4,977,509.44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3,364,383.33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31,846.50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3,396,229.83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17,521,621.55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-119,750.99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17,401,870.56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电子商务平台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管理用软件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1,422,180.78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128,150.51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1,550,331.29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7,647,750.00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-169,950.00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7,477,800.00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5,087,307.44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-109,798.00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4,977,509.44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3,364,383.33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8" w:right="0"/>
              <w:jc w:val="left"/>
              <w:rPr>
                <w:rFonts w:ascii="Times New Roman" w:hAnsi="Times New Roman" w:cs="Times New Roman" w:eastAsia="Times New Roman" w:hint="default"/>
                <w:sz w:val="18"/>
                <w:szCs w:val="18"/>
              </w:rPr>
            </w:pPr>
            <w:r>
              <w:rPr>
                <w:rFonts w:ascii="Times New Roman"/>
                <w:sz w:val="18"/>
              </w:rPr>
              <w:t>31,846.50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3,396,229.83</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833,979.21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开发项目支出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155,218,810.73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155,218,810.73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155,218,810.73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155,218,810.73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355" w:lineRule="auto" w:before="65"/>
        <w:ind w:left="153" w:right="3140"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 通过公司内部研发形成的无形资产占无形资产期末账面价值的比例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p>
      <w:pPr>
        <w:spacing w:line="240" w:lineRule="auto" w:before="11"/>
        <w:rPr>
          <w:rFonts w:ascii="宋体" w:hAnsi="宋体" w:cs="宋体" w:eastAsia="宋体" w:hint="default"/>
          <w:sz w:val="18"/>
          <w:szCs w:val="18"/>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2"/>
        <w:gridCol w:w="1274"/>
        <w:gridCol w:w="1276"/>
        <w:gridCol w:w="1097"/>
        <w:gridCol w:w="1460"/>
        <w:gridCol w:w="1199"/>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946,852.52</w:t>
            </w: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before="65"/>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）商誉的来源：</w:t>
      </w:r>
    </w:p>
    <w:p>
      <w:pPr>
        <w:spacing w:line="326" w:lineRule="auto" w:before="139"/>
        <w:ind w:left="154" w:right="15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月，本公司收购深圳广电银通金融电子科技有限公司国外投资方科杰控股有限公司（</w:t>
      </w:r>
      <w:r>
        <w:rPr>
          <w:rFonts w:ascii="Times New Roman" w:hAnsi="Times New Roman" w:cs="Times New Roman" w:eastAsia="Times New Roman" w:hint="default"/>
          <w:sz w:val="21"/>
          <w:szCs w:val="21"/>
        </w:rPr>
        <w:t>Tech Elite</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Holdings</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）拥有的全部股权，股权变更后持有深圳广电银通金融电子科技有限公司</w:t>
      </w:r>
      <w:r>
        <w:rPr>
          <w:rFonts w:ascii="宋体" w:hAnsi="宋体" w:cs="宋体" w:eastAsia="宋体" w:hint="default"/>
          <w:spacing w:val="-73"/>
          <w:sz w:val="21"/>
          <w:szCs w:val="21"/>
        </w:rPr>
        <w:t> </w:t>
      </w:r>
      <w:r>
        <w:rPr>
          <w:rFonts w:ascii="Times New Roman" w:hAnsi="Times New Roman" w:cs="Times New Roman" w:eastAsia="Times New Roman" w:hint="default"/>
          <w:spacing w:val="-5"/>
          <w:sz w:val="21"/>
          <w:szCs w:val="21"/>
        </w:rPr>
        <w:t>75%</w:t>
      </w:r>
      <w:r>
        <w:rPr>
          <w:rFonts w:ascii="宋体" w:hAnsi="宋体" w:cs="宋体" w:eastAsia="宋体" w:hint="default"/>
          <w:spacing w:val="-5"/>
          <w:sz w:val="21"/>
          <w:szCs w:val="21"/>
        </w:rPr>
        <w:t>（实际</w:t>
      </w:r>
      <w:r>
        <w:rPr>
          <w:rFonts w:ascii="宋体" w:hAnsi="宋体" w:cs="宋体" w:eastAsia="宋体" w:hint="default"/>
          <w:sz w:val="21"/>
          <w:szCs w:val="21"/>
        </w:rPr>
        <w:t> 投资比例为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66.44%</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月，本公司收购深圳广电银通金融电子科技有限公司投资方广州无 线电集团有限公司拥有的全部股权，股权变更后持有深圳广电银通金融电子科技有限公司</w:t>
      </w:r>
      <w:r>
        <w:rPr>
          <w:rFonts w:ascii="宋体" w:hAnsi="宋体" w:cs="宋体" w:eastAsia="宋体" w:hint="default"/>
          <w:spacing w:val="8"/>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股权。上</w:t>
      </w:r>
      <w:r>
        <w:rPr>
          <w:rFonts w:ascii="宋体" w:hAnsi="宋体" w:cs="宋体" w:eastAsia="宋体" w:hint="default"/>
          <w:spacing w:val="1"/>
          <w:sz w:val="21"/>
          <w:szCs w:val="21"/>
        </w:rPr>
        <w:t> </w:t>
      </w:r>
      <w:r>
        <w:rPr>
          <w:rFonts w:ascii="宋体" w:hAnsi="宋体" w:cs="宋体" w:eastAsia="宋体" w:hint="default"/>
          <w:spacing w:val="-1"/>
          <w:sz w:val="21"/>
          <w:szCs w:val="21"/>
        </w:rPr>
        <w:t>述股权收购构成了非同一控制下的企业合并，本公司合并成本大于合并中取得的深圳广电银通金融电子科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技有限公司可辨认净资产公允价值份额的差额，确认为商誉。</w:t>
      </w:r>
    </w:p>
    <w:p>
      <w:pPr>
        <w:spacing w:before="79"/>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）商誉的计算过程：</w:t>
      </w:r>
    </w:p>
    <w:p>
      <w:pPr>
        <w:spacing w:line="240" w:lineRule="auto" w:before="8"/>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5530"/>
        <w:gridCol w:w="1703"/>
        <w:gridCol w:w="1858"/>
      </w:tblGrid>
      <w:tr>
        <w:trPr>
          <w:trHeight w:val="45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5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）合并成本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10,971,555.80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11,070,019.38</w:t>
            </w:r>
          </w:p>
        </w:tc>
      </w:tr>
      <w:tr>
        <w:trPr>
          <w:trHeight w:val="45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）股权购买日被投资单位公允价值</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31,033,498.79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31,207,467.66</w:t>
            </w:r>
          </w:p>
        </w:tc>
      </w:tr>
      <w:tr>
        <w:trPr>
          <w:trHeight w:val="45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）投资比例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33.56%</w:t>
            </w:r>
          </w:p>
        </w:tc>
      </w:tr>
      <w:tr>
        <w:trPr>
          <w:trHeight w:val="45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）按投资比例计算的应享有的份额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10,621,496.52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10,473,226.14</w:t>
            </w:r>
          </w:p>
        </w:tc>
      </w:tr>
      <w:tr>
        <w:trPr>
          <w:trHeight w:val="451"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）商誉初始金额＝（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350,059.28</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596,793.24</w:t>
            </w:r>
          </w:p>
        </w:tc>
      </w:tr>
    </w:tbl>
    <w:p>
      <w:pPr>
        <w:spacing w:before="93"/>
        <w:ind w:left="769" w:right="0" w:firstLine="0"/>
        <w:jc w:val="left"/>
        <w:rPr>
          <w:rFonts w:ascii="宋体" w:hAnsi="宋体" w:cs="宋体" w:eastAsia="宋体" w:hint="default"/>
          <w:sz w:val="21"/>
          <w:szCs w:val="21"/>
        </w:rPr>
      </w:pPr>
      <w:r>
        <w:rPr>
          <w:rFonts w:ascii="宋体" w:hAnsi="宋体" w:cs="宋体" w:eastAsia="宋体" w:hint="default"/>
          <w:sz w:val="21"/>
          <w:szCs w:val="21"/>
        </w:rPr>
        <w:t>（3）经测试，本期商誉不存在计提减值准备的情况。</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监控中心装修费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5,758.00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3,286.00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一期清分中心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269,050.14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71,135.76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197,914.38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156,840.67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201,128.49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69,082.25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办公场地改造费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3,041,777.16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780,023.98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2,631,777.18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3,429,955.37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526,864.67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1,054,760.23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2,902,059.81</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①已确认的递延所得税资产</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2,838,078.35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2,969,542.73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76,558.97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39,631.90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18,385,307.56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12,737,218.40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8,281,975.87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6,228,664.45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68,712.28</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3,646,249.84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2,861,559.51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可弥补的税前亏损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1,391,887.77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427,913.03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34,688,770.64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25,264,530.02</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②应纳税差异和可抵扣差异项目明细</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18,897,788.68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19,770,028.83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499,373.12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263,233.23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121,698,191.77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84,500,033.83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55,213,172.48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41,524,429.65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未实现内部损益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24,308,332.27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19,077,063.42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458,081.88</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可弥补的税前亏损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5,567,551.10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1,711,652.13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226,642,491.30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166,846,441.09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06" w:lineRule="auto" w:before="35"/>
        <w:ind w:left="153" w:right="4185" w:firstLine="0"/>
        <w:jc w:val="left"/>
        <w:rPr>
          <w:rFonts w:ascii="宋体" w:hAnsi="宋体" w:cs="宋体" w:eastAsia="宋体" w:hint="default"/>
          <w:sz w:val="21"/>
          <w:szCs w:val="21"/>
        </w:rPr>
      </w:pPr>
      <w:r>
        <w:rPr/>
        <w:pict>
          <v:shape style="position:absolute;margin-left:57.029995pt;margin-top:50.67392pt;width:478.65pt;height:92.0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1627"/>
                    <w:gridCol w:w="1627"/>
                    <w:gridCol w:w="1627"/>
                    <w:gridCol w:w="1628"/>
                  </w:tblGrid>
                  <w:tr>
                    <w:trPr>
                      <w:trHeight w:val="317"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34,688,770.64</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8" w:right="0"/>
                          <w:jc w:val="left"/>
                          <w:rPr>
                            <w:rFonts w:ascii="Times New Roman" w:hAnsi="Times New Roman" w:cs="Times New Roman" w:eastAsia="Times New Roman" w:hint="default"/>
                            <w:sz w:val="18"/>
                            <w:szCs w:val="18"/>
                          </w:rPr>
                        </w:pPr>
                        <w:r>
                          <w:rPr>
                            <w:rFonts w:ascii="Times New Roman"/>
                            <w:sz w:val="18"/>
                          </w:rPr>
                          <w:t>25,264,530.02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10" w:space="0" w:color="D3D3D3"/>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b/>
          <w:bCs/>
          <w:w w:val="99"/>
          <w:sz w:val="21"/>
          <w:szCs w:val="21"/>
        </w:rPr>
        <w:t> </w:t>
      </w:r>
      <w:r>
        <w:rPr>
          <w:rFonts w:ascii="宋体" w:hAnsi="宋体" w:cs="宋体" w:eastAsia="宋体" w:hint="default"/>
          <w:sz w:val="21"/>
          <w:szCs w:val="21"/>
        </w:rPr>
        <w:t>互抵后的递延所得税资产及负债的组成项目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0"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6"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40"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21,494,541.97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-1,252,339.37</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845,040.80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19,397,161.80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三、可供出售金融资产减值 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四、持有至到期投资减值准 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十、生产性生物资产减值准 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9" w:firstLine="360"/>
              <w:jc w:val="left"/>
              <w:rPr>
                <w:rFonts w:ascii="宋体" w:hAnsi="宋体" w:cs="宋体" w:eastAsia="宋体" w:hint="default"/>
                <w:sz w:val="18"/>
                <w:szCs w:val="18"/>
              </w:rPr>
            </w:pPr>
            <w:r>
              <w:rPr>
                <w:rFonts w:ascii="宋体" w:hAnsi="宋体" w:cs="宋体" w:eastAsia="宋体" w:hint="default"/>
                <w:sz w:val="18"/>
                <w:szCs w:val="18"/>
              </w:rPr>
              <w:t>其中：成熟生产性生物 资产减值准备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21,494,541.97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-1,252,339.37</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845,040.80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19,397,161.80</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资产减值明细情况的说明：本期增加中包含了汇率折算原因产生的金额</w:t>
      </w:r>
      <w:r>
        <w:rPr>
          <w:rFonts w:ascii="宋体" w:hAnsi="宋体" w:cs="宋体" w:eastAsia="宋体" w:hint="default"/>
          <w:spacing w:val="-54"/>
          <w:sz w:val="21"/>
          <w:szCs w:val="21"/>
        </w:rPr>
        <w:t> </w:t>
      </w:r>
      <w:r>
        <w:rPr>
          <w:rFonts w:ascii="宋体" w:hAnsi="宋体" w:cs="宋体" w:eastAsia="宋体" w:hint="default"/>
          <w:sz w:val="21"/>
          <w:szCs w:val="21"/>
        </w:rPr>
        <w:t>29.62</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4,283,244.90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银行押汇</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103,377,391.94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107,660,636.84</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）期末没有已到期未偿还的短期借款。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81,861,323.25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143,409,767.45</w:t>
            </w:r>
          </w:p>
        </w:tc>
      </w:tr>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81,861,323.25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143,409,767.45</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81,861,323.25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268,786,968.80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230,629,994.47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1,087,719.81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1,870,056.91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512,948.98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999,332.89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1,562,212.63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919,409.64</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271,949,850.22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234,418,793.91</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）期末数中没有欠持本公司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09" w:type="dxa"/>
        <w:tblLayout w:type="fixed"/>
        <w:tblCellMar>
          <w:top w:w="0" w:type="dxa"/>
          <w:left w:w="0" w:type="dxa"/>
          <w:bottom w:w="0" w:type="dxa"/>
          <w:right w:w="0" w:type="dxa"/>
        </w:tblCellMar>
        <w:tblLook w:val="01E0"/>
      </w:tblPr>
      <w:tblGrid>
        <w:gridCol w:w="3835"/>
        <w:gridCol w:w="1842"/>
        <w:gridCol w:w="1417"/>
        <w:gridCol w:w="1270"/>
      </w:tblGrid>
      <w:tr>
        <w:trPr>
          <w:trHeight w:val="464"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8"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1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4"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3" w:right="0"/>
              <w:jc w:val="left"/>
              <w:rPr>
                <w:rFonts w:ascii="Times New Roman" w:hAnsi="Times New Roman" w:cs="Times New Roman" w:eastAsia="Times New Roman" w:hint="default"/>
                <w:sz w:val="21"/>
                <w:szCs w:val="21"/>
              </w:rPr>
            </w:pPr>
            <w:r>
              <w:rPr>
                <w:rFonts w:ascii="Times New Roman"/>
                <w:sz w:val="21"/>
              </w:rPr>
              <w:t>576,000.00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未实施</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3" w:right="0"/>
              <w:jc w:val="left"/>
              <w:rPr>
                <w:rFonts w:ascii="Times New Roman" w:hAnsi="Times New Roman" w:cs="Times New Roman" w:eastAsia="Times New Roman" w:hint="default"/>
                <w:sz w:val="21"/>
                <w:szCs w:val="21"/>
              </w:rPr>
            </w:pPr>
            <w:r>
              <w:rPr>
                <w:rFonts w:ascii="Times New Roman"/>
                <w:sz w:val="21"/>
              </w:rPr>
              <w:t>DELA RUE CASH SYSTEMS</w:t>
            </w:r>
            <w:r>
              <w:rPr>
                <w:rFonts w:ascii="Times New Roman"/>
                <w:spacing w:val="-33"/>
                <w:sz w:val="21"/>
              </w:rPr>
              <w:t> </w:t>
            </w:r>
            <w:r>
              <w:rPr>
                <w:rFonts w:ascii="Times New Roman"/>
                <w:sz w:val="21"/>
              </w:rPr>
              <w:t>AB</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3" w:right="0"/>
              <w:jc w:val="left"/>
              <w:rPr>
                <w:rFonts w:ascii="Times New Roman" w:hAnsi="Times New Roman" w:cs="Times New Roman" w:eastAsia="Times New Roman" w:hint="default"/>
                <w:sz w:val="21"/>
                <w:szCs w:val="21"/>
              </w:rPr>
            </w:pPr>
            <w:r>
              <w:rPr>
                <w:rFonts w:ascii="Times New Roman"/>
                <w:sz w:val="21"/>
              </w:rPr>
              <w:t>569,220.28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未结算</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浙江大华技术股份有限公司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3" w:right="0"/>
              <w:jc w:val="left"/>
              <w:rPr>
                <w:rFonts w:ascii="Times New Roman" w:hAnsi="Times New Roman" w:cs="Times New Roman" w:eastAsia="Times New Roman" w:hint="default"/>
                <w:sz w:val="21"/>
                <w:szCs w:val="21"/>
              </w:rPr>
            </w:pPr>
            <w:r>
              <w:rPr>
                <w:rFonts w:ascii="Times New Roman"/>
                <w:sz w:val="21"/>
              </w:rPr>
              <w:t>537,463.62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未结算</w:t>
            </w: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268,148,016.19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65,194,892.08</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8,910.00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9,297,543.68</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69,928.30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473,695.77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1,021,555.29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548,300.03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269,248,409.78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75,514,431.56</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）期末数中没有预收持本公司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709" w:type="dxa"/>
        <w:tblLayout w:type="fixed"/>
        <w:tblCellMar>
          <w:top w:w="0" w:type="dxa"/>
          <w:left w:w="0" w:type="dxa"/>
          <w:bottom w:w="0" w:type="dxa"/>
          <w:right w:w="0" w:type="dxa"/>
        </w:tblCellMar>
        <w:tblLook w:val="01E0"/>
      </w:tblPr>
      <w:tblGrid>
        <w:gridCol w:w="2417"/>
        <w:gridCol w:w="2268"/>
        <w:gridCol w:w="1843"/>
        <w:gridCol w:w="1225"/>
      </w:tblGrid>
      <w:tr>
        <w:trPr>
          <w:trHeight w:val="464"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7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91"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1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9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7"/>
              <w:jc w:val="center"/>
              <w:rPr>
                <w:rFonts w:ascii="Times New Roman" w:hAnsi="Times New Roman" w:cs="Times New Roman" w:eastAsia="Times New Roman" w:hint="default"/>
                <w:sz w:val="21"/>
                <w:szCs w:val="21"/>
              </w:rPr>
            </w:pPr>
            <w:r>
              <w:rPr>
                <w:rFonts w:ascii="Times New Roman"/>
                <w:sz w:val="21"/>
              </w:rPr>
              <w:t>Ecobank Ghana</w:t>
            </w:r>
            <w:r>
              <w:rPr>
                <w:rFonts w:ascii="Times New Roman"/>
                <w:spacing w:val="-3"/>
                <w:sz w:val="21"/>
              </w:rPr>
              <w:t> </w:t>
            </w:r>
            <w:r>
              <w:rPr>
                <w:rFonts w:ascii="Times New Roman"/>
                <w:sz w:val="21"/>
              </w:rPr>
              <w:t>Ltd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3" w:right="0"/>
              <w:jc w:val="left"/>
              <w:rPr>
                <w:rFonts w:ascii="Times New Roman" w:hAnsi="Times New Roman" w:cs="Times New Roman" w:eastAsia="Times New Roman" w:hint="default"/>
                <w:sz w:val="21"/>
                <w:szCs w:val="21"/>
              </w:rPr>
            </w:pPr>
            <w:r>
              <w:rPr>
                <w:rFonts w:ascii="Times New Roman"/>
                <w:sz w:val="21"/>
              </w:rPr>
              <w:t>623,125.25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未签收</w:t>
            </w:r>
          </w:p>
        </w:tc>
        <w:tc>
          <w:tcPr>
            <w:tcW w:w="12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95"/>
        <w:gridCol w:w="1714"/>
        <w:gridCol w:w="1559"/>
        <w:gridCol w:w="1700"/>
        <w:gridCol w:w="1489"/>
      </w:tblGrid>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85,039,057.36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337,566,155.98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300,548,904.55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122,056,308.79</w:t>
            </w: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14"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12,754,042.09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12,754,042.09</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15,918.68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27,002,933.50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27,007,842.06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11,010.12</w:t>
            </w: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12,396,556.00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12,401,056.00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5,775.00</w:t>
            </w: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714"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w:t>
            </w:r>
            <w:r>
              <w:rPr>
                <w:rFonts w:ascii="宋体" w:hAnsi="宋体" w:cs="宋体" w:eastAsia="宋体" w:hint="default"/>
                <w:sz w:val="18"/>
                <w:szCs w:val="18"/>
              </w:rPr>
              <w:t>工会经费及职工教育经费</w:t>
            </w:r>
            <w:r>
              <w:rPr>
                <w:rFonts w:ascii="Times New Roman" w:hAnsi="Times New Roman" w:cs="Times New Roman" w:eastAsia="Times New Roman" w:hint="default"/>
                <w:sz w:val="18"/>
                <w:szCs w:val="18"/>
              </w:rPr>
              <w:t>)</w:t>
            </w:r>
          </w:p>
        </w:tc>
        <w:tc>
          <w:tcPr>
            <w:tcW w:w="1714" w:type="dxa"/>
            <w:tcBorders>
              <w:top w:val="single" w:sz="4" w:space="0" w:color="000000"/>
              <w:left w:val="single" w:sz="10" w:space="0" w:color="D3D3D3"/>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3,374,696.30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3,374,696.30</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85,065,251.04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393,094,383.87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356,086,541.00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122,073,093.91</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before="61"/>
        <w:ind w:left="15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3,374,696.30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元，非货币性福利金额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元，因解除劳动关系给予补偿</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0.00</w:t>
      </w:r>
    </w:p>
    <w:p>
      <w:pPr>
        <w:spacing w:before="22"/>
        <w:ind w:left="153" w:right="0"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113,085,656.91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110,553,231.23</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1"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464,275.79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2,482,217.14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33,476,544.03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66,398,934.22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695,581.55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318,364.10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8,042,773.88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7,973,003.52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3,447,331.35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3,417,001.52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2,298,070.89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2,278,001.00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1,940,273.84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1,763,849.72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163,450,508.24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195,184,602.45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65,006,542.89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39,903,185.96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9,672,848.43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5,475,504.82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1,630,406.00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555,167.07</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490,352.05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76,800,149.37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46,056,357.85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）期末数中没有欠持本公司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33" w:type="dxa"/>
        <w:tblLayout w:type="fixed"/>
        <w:tblCellMar>
          <w:top w:w="0" w:type="dxa"/>
          <w:left w:w="0" w:type="dxa"/>
          <w:bottom w:w="0" w:type="dxa"/>
          <w:right w:w="0" w:type="dxa"/>
        </w:tblCellMar>
        <w:tblLook w:val="01E0"/>
      </w:tblPr>
      <w:tblGrid>
        <w:gridCol w:w="4111"/>
        <w:gridCol w:w="1700"/>
        <w:gridCol w:w="1702"/>
        <w:gridCol w:w="1274"/>
      </w:tblGrid>
      <w:tr>
        <w:trPr>
          <w:trHeight w:val="464"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2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20" w:right="0"/>
              <w:jc w:val="left"/>
              <w:rPr>
                <w:rFonts w:ascii="宋体" w:hAnsi="宋体" w:cs="宋体" w:eastAsia="宋体" w:hint="default"/>
                <w:sz w:val="21"/>
                <w:szCs w:val="21"/>
              </w:rPr>
            </w:pPr>
            <w:r>
              <w:rPr>
                <w:rFonts w:ascii="宋体" w:hAnsi="宋体" w:cs="宋体" w:eastAsia="宋体" w:hint="default"/>
                <w:sz w:val="21"/>
                <w:szCs w:val="21"/>
              </w:rPr>
              <w:t>未偿还原因</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6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6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10,560,207.80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未结算</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10,560,207.80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33" w:type="dxa"/>
        <w:tblLayout w:type="fixed"/>
        <w:tblCellMar>
          <w:top w:w="0" w:type="dxa"/>
          <w:left w:w="0" w:type="dxa"/>
          <w:bottom w:w="0" w:type="dxa"/>
          <w:right w:w="0" w:type="dxa"/>
        </w:tblCellMar>
        <w:tblLook w:val="01E0"/>
      </w:tblPr>
      <w:tblGrid>
        <w:gridCol w:w="4252"/>
        <w:gridCol w:w="1560"/>
        <w:gridCol w:w="1702"/>
        <w:gridCol w:w="1274"/>
      </w:tblGrid>
      <w:tr>
        <w:trPr>
          <w:trHeight w:val="464" w:hRule="exact"/>
        </w:trPr>
        <w:tc>
          <w:tcPr>
            <w:tcW w:w="4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20"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41,573,262.10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13,639,910.38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宋体" w:hAnsi="宋体" w:cs="宋体" w:eastAsia="宋体" w:hint="default"/>
                <w:sz w:val="21"/>
                <w:szCs w:val="21"/>
              </w:rPr>
            </w:pPr>
            <w:r>
              <w:rPr>
                <w:rFonts w:ascii="宋体" w:hAnsi="宋体" w:cs="宋体" w:eastAsia="宋体" w:hint="default"/>
                <w:sz w:val="21"/>
                <w:szCs w:val="21"/>
              </w:rPr>
              <w:t>花旗银行（中国）有限公司上海分行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pacing w:val="-1"/>
                <w:sz w:val="21"/>
              </w:rPr>
              <w:t>9,597,200.00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暂收银行清分款</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64,810,372.48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4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4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8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1,711,282.43</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4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2128"/>
        <w:gridCol w:w="1559"/>
        <w:gridCol w:w="1559"/>
        <w:gridCol w:w="568"/>
        <w:gridCol w:w="708"/>
        <w:gridCol w:w="992"/>
        <w:gridCol w:w="1134"/>
        <w:gridCol w:w="851"/>
        <w:gridCol w:w="851"/>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left="169"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中国银行（香港）有限公司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美元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272,270.00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1,711,282.43</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1,711,282.43</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5"/>
        <w:ind w:left="4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4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）其他非流动负债分类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39,553,301.46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29,278,708.33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39,553,301.46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29,278,708.33</w:t>
            </w:r>
          </w:p>
        </w:tc>
      </w:tr>
    </w:tbl>
    <w:p>
      <w:pPr>
        <w:spacing w:line="240" w:lineRule="auto" w:before="2"/>
        <w:rPr>
          <w:rFonts w:ascii="宋体" w:hAnsi="宋体" w:cs="宋体" w:eastAsia="宋体" w:hint="default"/>
          <w:b/>
          <w:bCs/>
          <w:sz w:val="19"/>
          <w:szCs w:val="19"/>
        </w:rPr>
      </w:pPr>
    </w:p>
    <w:p>
      <w:pPr>
        <w:spacing w:before="35"/>
        <w:ind w:left="4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）递延收益明细</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361" w:type="dxa"/>
        <w:tblLayout w:type="fixed"/>
        <w:tblCellMar>
          <w:top w:w="0" w:type="dxa"/>
          <w:left w:w="0" w:type="dxa"/>
          <w:bottom w:w="0" w:type="dxa"/>
          <w:right w:w="0" w:type="dxa"/>
        </w:tblCellMar>
        <w:tblLook w:val="01E0"/>
      </w:tblPr>
      <w:tblGrid>
        <w:gridCol w:w="6062"/>
        <w:gridCol w:w="1843"/>
        <w:gridCol w:w="1700"/>
      </w:tblGrid>
      <w:tr>
        <w:trPr>
          <w:trHeight w:val="450" w:hRule="exact"/>
        </w:trPr>
        <w:tc>
          <w:tcPr>
            <w:tcW w:w="6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42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银行自助终端设备及其重点部件生产技术改造</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13,768.45</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SOA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架构体系的信用卡应用系统开发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2,912.52</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轨道交通地铁闸机通行逻辑的研究及应用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3,825.54</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金融自助终端设备及关键部件生产技术改造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785,090.75</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1,307,915.52</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城市轨道交通售检票系统（</w:t>
            </w:r>
            <w:r>
              <w:rPr>
                <w:rFonts w:ascii="Times New Roman" w:hAnsi="Times New Roman" w:cs="Times New Roman" w:eastAsia="Times New Roman" w:hint="default"/>
                <w:sz w:val="21"/>
                <w:szCs w:val="21"/>
              </w:rPr>
              <w:t>AFC</w:t>
            </w:r>
            <w:r>
              <w:rPr>
                <w:rFonts w:ascii="宋体" w:hAnsi="宋体" w:cs="宋体" w:eastAsia="宋体" w:hint="default"/>
                <w:sz w:val="21"/>
                <w:szCs w:val="21"/>
              </w:rPr>
              <w:t>）及设备产业化技术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55,246.67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280,226.35</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基于电子指纹的钞票跟踪技术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356.67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21,333.57</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识别技术在金融机具上的产业化应用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13,374.85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88,285.25</w:t>
            </w:r>
          </w:p>
        </w:tc>
      </w:tr>
      <w:tr>
        <w:trPr>
          <w:trHeight w:val="451"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智能发卡技术研究在轨道交通中的产业化应用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11,800.00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39,525.14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2" w:top="1060" w:bottom="1180" w:left="660" w:right="6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062"/>
        <w:gridCol w:w="1843"/>
        <w:gridCol w:w="1700"/>
      </w:tblGrid>
      <w:tr>
        <w:trPr>
          <w:trHeight w:val="450" w:hRule="exact"/>
        </w:trPr>
        <w:tc>
          <w:tcPr>
            <w:tcW w:w="6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42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终端的安全中间件应用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143,287.52</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303,888.82</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自助服务设备平台生产技术改造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1,414,513.13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2,059,631.60</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高速铁路智能票务系统及设备产业化改造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266,865.81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365,832.32</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终端的安全中间件应用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55,690.01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83,852.32</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钞票循环处理核心技术研发及产业化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31,351.00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51,286.04</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金融自助终端及关键部件产业化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366,312.69</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676,040.33</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钞票高速鉴伪设备及关键传感器研发与产业化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526,532.01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800,167.36</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高速钞票识别与处理技术研发及产业化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229,673.67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93,980.26</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金融自助终端及关键部件产业化技术改造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749,768.23</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1,185,483.33</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广电运通</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软件共性平台研发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512,827.08</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580,252.40</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广电运通</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机系列软件工程师技能培训项目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103,418.81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141,025.65</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钞票循环处理核心技术研发及产业化应用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45,643.88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68,087.17</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钞票高速鉴伪设备及关键传感器研发与产业化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219,968.61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273,951.49</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出钞器产业化技术开发及应用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162,643.90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609,618.24</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钞票图像特征识别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63,353.28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83,353.28</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SECOne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端点安全防护系统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319,541.88</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285,913.24</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数字化协同设计在金融电子装备领域的开发与应用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80,738.84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109,715.60</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广州市金融电子工程技术研究开发中心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410,047.36</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556,664.49</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基于物联网技术的</w:t>
            </w:r>
            <w:r>
              <w:rPr>
                <w:rFonts w:ascii="宋体" w:hAnsi="宋体" w:cs="宋体" w:eastAsia="宋体" w:hint="default"/>
                <w:spacing w:val="-53"/>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现金清分、清机及运保系统建设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644,214.10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868,273.31</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钞票高速清分及扎把处理系统研发及产业化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1"/>
                <w:szCs w:val="21"/>
              </w:rPr>
            </w:pPr>
            <w:r>
              <w:rPr>
                <w:rFonts w:ascii="Times New Roman"/>
                <w:spacing w:val="-1"/>
                <w:sz w:val="21"/>
              </w:rPr>
              <w:t>285,650.62</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545,514.39</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广电运通</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软件共性平台研发（区）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403,089.39</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548,992.96</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金融增值服务领域云计算平台的研发与应用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222,184.80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844,524.33</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广州市创新型企业建设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1,448,495.23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1,966,907.83</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货币流通领域核心技术成果产业化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5,674,427.98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9,433,262.60</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高速轨道交通售检票系统关键技术研发与产业化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373,222.96</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钞票清分关键技术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70,836.75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420,000.00</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货币循环与清分处理核心技术产业化改造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2,620,531.31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2,764,696.63</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现金清分、清机及运保建设系统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458,081.88</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800,000.00</w:t>
            </w:r>
            <w:r>
              <w:rPr>
                <w:rFonts w:ascii="Times New Roman"/>
                <w:sz w:val="21"/>
              </w:rPr>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符合国家标准的移动支付产品研发与应用示范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1,975,030.63</w:t>
            </w: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2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6062"/>
        <w:gridCol w:w="1843"/>
        <w:gridCol w:w="1700"/>
      </w:tblGrid>
      <w:tr>
        <w:trPr>
          <w:trHeight w:val="450" w:hRule="exact"/>
        </w:trPr>
        <w:tc>
          <w:tcPr>
            <w:tcW w:w="6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42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新一代智能化与数字化金融自助服务设备研发及产业化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921,278.78</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多模态钞票识别系统研发及产业化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1,345,417.37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货币循环与清分处理核心技术产业化改造（省）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面向金融电子装备业的货币智能分拣关键技术研发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8,317,565.99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基于物联网的货币流通安全平台研究与开发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560,000.00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货币流通跟踪技术研发及产业化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广州广电运通金融电子股份有限公司组建研究开发院试点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400,000.00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广电运通</w:t>
            </w:r>
            <w:r>
              <w:rPr>
                <w:rFonts w:ascii="宋体" w:hAnsi="宋体" w:cs="宋体" w:eastAsia="宋体" w:hint="default"/>
                <w:spacing w:val="-59"/>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机系列软件工程师技能培训项目（</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93,673.89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高速铁路自动售检票系统核心技术产业化应用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1,560,000.00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多维度智能货币安全识别系统技术研究与产品研制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738,490.61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面向金融电子装备业的货币智能分拣关键技术研发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1,477,238.35</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符合国家标准的移动支付产品研发与应用示范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1,400,000.00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高速轨道交通售检票系统关键技术研发及产业化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490,000.00</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税控设备及服务费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5,824.17</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606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21"/>
                <w:szCs w:val="21"/>
              </w:rPr>
            </w:pPr>
            <w:r>
              <w:rPr>
                <w:rFonts w:ascii="Times New Roman"/>
                <w:spacing w:val="-1"/>
                <w:sz w:val="21"/>
              </w:rPr>
              <w:t>39,553,301.46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81" w:right="0"/>
              <w:jc w:val="left"/>
              <w:rPr>
                <w:rFonts w:ascii="Times New Roman" w:hAnsi="Times New Roman" w:cs="Times New Roman" w:eastAsia="Times New Roman" w:hint="default"/>
                <w:sz w:val="21"/>
                <w:szCs w:val="21"/>
              </w:rPr>
            </w:pPr>
            <w:r>
              <w:rPr>
                <w:rFonts w:ascii="Times New Roman"/>
                <w:sz w:val="21"/>
              </w:rPr>
              <w:t>29,278,708.33</w:t>
            </w:r>
          </w:p>
        </w:tc>
      </w:tr>
    </w:tbl>
    <w:p>
      <w:pPr>
        <w:spacing w:before="93"/>
        <w:ind w:left="214" w:right="95" w:firstLine="0"/>
        <w:jc w:val="left"/>
        <w:rPr>
          <w:rFonts w:ascii="宋体" w:hAnsi="宋体" w:cs="宋体" w:eastAsia="宋体" w:hint="default"/>
          <w:sz w:val="21"/>
          <w:szCs w:val="21"/>
        </w:rPr>
      </w:pPr>
      <w:r>
        <w:rPr>
          <w:rFonts w:ascii="宋体" w:hAnsi="宋体" w:cs="宋体" w:eastAsia="宋体" w:hint="default"/>
          <w:sz w:val="21"/>
          <w:szCs w:val="21"/>
        </w:rPr>
        <w:t>本期收取的政府补助金额为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25,985,550.00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元，本期核销计入营业外收入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15,710,956.87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3"/>
          <w:szCs w:val="23"/>
        </w:rPr>
      </w:pPr>
    </w:p>
    <w:p>
      <w:pPr>
        <w:spacing w:before="0"/>
        <w:ind w:left="213"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1185"/>
        <w:gridCol w:w="1196"/>
        <w:gridCol w:w="1196"/>
        <w:gridCol w:w="1196"/>
        <w:gridCol w:w="1196"/>
        <w:gridCol w:w="1196"/>
        <w:gridCol w:w="1184"/>
        <w:gridCol w:w="1207"/>
      </w:tblGrid>
      <w:tr>
        <w:trPr>
          <w:trHeight w:val="200"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0"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444,784,111.00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177,913,644.00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177,913,644.00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622,697,755.00</w:t>
            </w:r>
          </w:p>
        </w:tc>
      </w:tr>
    </w:tbl>
    <w:p>
      <w:pPr>
        <w:spacing w:before="24"/>
        <w:ind w:left="214" w:right="0" w:firstLine="0"/>
        <w:jc w:val="both"/>
        <w:rPr>
          <w:rFonts w:ascii="宋体" w:hAnsi="宋体" w:cs="宋体" w:eastAsia="宋体" w:hint="default"/>
          <w:sz w:val="21"/>
          <w:szCs w:val="21"/>
        </w:rPr>
      </w:pPr>
      <w:r>
        <w:rPr>
          <w:rFonts w:ascii="宋体" w:hAnsi="宋体" w:cs="宋体" w:eastAsia="宋体" w:hint="default"/>
          <w:sz w:val="21"/>
          <w:szCs w:val="21"/>
        </w:rPr>
        <w:t>股本变动情况说明：</w:t>
      </w:r>
    </w:p>
    <w:p>
      <w:pPr>
        <w:spacing w:line="340" w:lineRule="auto" w:before="115"/>
        <w:ind w:left="214" w:right="146" w:firstLine="420"/>
        <w:jc w:val="both"/>
        <w:rPr>
          <w:rFonts w:ascii="宋体" w:hAnsi="宋体" w:cs="宋体" w:eastAsia="宋体" w:hint="default"/>
          <w:sz w:val="21"/>
          <w:szCs w:val="21"/>
        </w:rPr>
      </w:pPr>
      <w:r>
        <w:rPr>
          <w:rFonts w:ascii="宋体" w:hAnsi="宋体" w:cs="宋体" w:eastAsia="宋体" w:hint="default"/>
          <w:spacing w:val="-1"/>
          <w:sz w:val="21"/>
          <w:szCs w:val="21"/>
        </w:rPr>
        <w:t>（1）经广州市经济贸易委员会穗经贸函[2005]492号文批复，本公司以整体变更方式发起设立为广州</w:t>
      </w:r>
      <w:r>
        <w:rPr>
          <w:rFonts w:ascii="宋体" w:hAnsi="宋体" w:cs="宋体" w:eastAsia="宋体" w:hint="default"/>
          <w:sz w:val="21"/>
          <w:szCs w:val="21"/>
        </w:rPr>
        <w:t> 广电运通金融电子股份有限公司，以截至2005年3月31日的经广东羊城会计师事务所有限公司审计的广州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广电运通金融电子有限公司净资产按一元一股计算股份总数106,559,010股，本公司股份构成为：广州无</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线电集团有限公司66,244,500股，计66,244,500.00元，占股份总额62.167%；深圳市德通投资有限公司</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18,927,000股，计18,927,000.00元，占股份总额17.762%；盈富泰克创业投资有限公司11,356,200股，计</w:t>
      </w:r>
    </w:p>
    <w:p>
      <w:pPr>
        <w:spacing w:line="340" w:lineRule="auto" w:before="27"/>
        <w:ind w:left="213" w:right="146" w:firstLine="0"/>
        <w:jc w:val="both"/>
        <w:rPr>
          <w:rFonts w:ascii="宋体" w:hAnsi="宋体" w:cs="宋体" w:eastAsia="宋体" w:hint="default"/>
          <w:sz w:val="21"/>
          <w:szCs w:val="21"/>
        </w:rPr>
      </w:pPr>
      <w:r>
        <w:rPr>
          <w:rFonts w:ascii="宋体" w:hAnsi="宋体" w:cs="宋体" w:eastAsia="宋体" w:hint="default"/>
          <w:sz w:val="21"/>
          <w:szCs w:val="21"/>
        </w:rPr>
        <w:t>11,356,200.00元，占股份总额10.657%；梅州敬基金属制品有限公司9,463,500股，计9,463,500.00元，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占股份总额8.881%；广州藤川科技有限公司567,810股，计567,810.00元，占股份总额0.533%。以上实收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
          <w:sz w:val="21"/>
          <w:szCs w:val="21"/>
        </w:rPr>
        <w:t>资本已经广东羊城会计师事务所有限公司(2005)羊验字第5839号验资报告验证。本公司2005年10月18日变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更了企业法人营业执照。</w:t>
      </w:r>
    </w:p>
    <w:p>
      <w:pPr>
        <w:spacing w:after="0" w:line="340" w:lineRule="auto"/>
        <w:jc w:val="both"/>
        <w:rPr>
          <w:rFonts w:ascii="宋体" w:hAnsi="宋体" w:cs="宋体" w:eastAsia="宋体" w:hint="default"/>
          <w:sz w:val="21"/>
          <w:szCs w:val="21"/>
        </w:rPr>
        <w:sectPr>
          <w:pgSz w:w="11910" w:h="16840"/>
          <w:pgMar w:header="747" w:footer="982" w:top="1060" w:bottom="1180" w:left="920" w:right="980"/>
        </w:sectPr>
      </w:pPr>
    </w:p>
    <w:p>
      <w:pPr>
        <w:spacing w:line="240" w:lineRule="auto" w:before="9"/>
        <w:rPr>
          <w:rFonts w:ascii="宋体" w:hAnsi="宋体" w:cs="宋体" w:eastAsia="宋体" w:hint="default"/>
          <w:sz w:val="27"/>
          <w:szCs w:val="27"/>
        </w:rPr>
      </w:pPr>
    </w:p>
    <w:p>
      <w:pPr>
        <w:spacing w:line="340" w:lineRule="auto" w:before="35"/>
        <w:ind w:left="153" w:right="137" w:firstLine="420"/>
        <w:jc w:val="both"/>
        <w:rPr>
          <w:rFonts w:ascii="宋体" w:hAnsi="宋体" w:cs="宋体" w:eastAsia="宋体" w:hint="default"/>
          <w:sz w:val="21"/>
          <w:szCs w:val="21"/>
        </w:rPr>
      </w:pPr>
      <w:r>
        <w:rPr>
          <w:rFonts w:ascii="宋体" w:hAnsi="宋体" w:cs="宋体" w:eastAsia="宋体" w:hint="default"/>
          <w:spacing w:val="-1"/>
          <w:sz w:val="21"/>
          <w:szCs w:val="21"/>
        </w:rPr>
        <w:t>（2）2006年12月，经公司股东大会审议通过，股东盈富泰克创业投资有限公司将持有本公司10.657%</w:t>
      </w:r>
      <w:r>
        <w:rPr>
          <w:rFonts w:ascii="宋体" w:hAnsi="宋体" w:cs="宋体" w:eastAsia="宋体" w:hint="default"/>
          <w:sz w:val="21"/>
          <w:szCs w:val="21"/>
        </w:rPr>
        <w:t> </w:t>
      </w:r>
      <w:r>
        <w:rPr>
          <w:rFonts w:ascii="宋体" w:hAnsi="宋体" w:cs="宋体" w:eastAsia="宋体" w:hint="default"/>
          <w:spacing w:val="12"/>
          <w:sz w:val="21"/>
          <w:szCs w:val="21"/>
        </w:rPr>
        <w:t>股权中的5.026%转让给股东广州无线电集团有限公司，股东深圳市德通投资有限公司将持有本公司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17.762%的股权全部转让给自然人股东叶子瑜等48人；本次股权转让完成后，各股东出资金额及股权比例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
          <w:sz w:val="21"/>
          <w:szCs w:val="21"/>
        </w:rPr>
        <w:t>分别为：广州无线电集团有限公司出资7,160.07万元，占注册资本的67.1934%；盈富泰克创业投资有限公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司出资600万元，占注册资本的5.6306%；梅州敬基金属制品有限公司出资946.35万元，占注册资本的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8.8809%；广州藤川科技有限公司出资56.781万元，占注册资本的0.5328%；自然人股东叶子瑜等48人出资</w:t>
      </w:r>
    </w:p>
    <w:p>
      <w:pPr>
        <w:spacing w:before="27"/>
        <w:ind w:left="153" w:right="0" w:firstLine="0"/>
        <w:jc w:val="both"/>
        <w:rPr>
          <w:rFonts w:ascii="宋体" w:hAnsi="宋体" w:cs="宋体" w:eastAsia="宋体" w:hint="default"/>
          <w:sz w:val="21"/>
          <w:szCs w:val="21"/>
        </w:rPr>
      </w:pPr>
      <w:r>
        <w:rPr>
          <w:rFonts w:ascii="宋体" w:hAnsi="宋体" w:cs="宋体" w:eastAsia="宋体" w:hint="default"/>
          <w:sz w:val="21"/>
          <w:szCs w:val="21"/>
        </w:rPr>
        <w:t>1,892.70万元，占注册资本的17.7623%。</w:t>
      </w:r>
    </w:p>
    <w:p>
      <w:pPr>
        <w:spacing w:before="115"/>
        <w:ind w:left="573" w:right="0" w:firstLine="0"/>
        <w:jc w:val="left"/>
        <w:rPr>
          <w:rFonts w:ascii="宋体" w:hAnsi="宋体" w:cs="宋体" w:eastAsia="宋体" w:hint="default"/>
          <w:sz w:val="21"/>
          <w:szCs w:val="21"/>
        </w:rPr>
      </w:pPr>
      <w:r>
        <w:rPr>
          <w:rFonts w:ascii="宋体" w:hAnsi="宋体" w:cs="宋体" w:eastAsia="宋体" w:hint="default"/>
          <w:spacing w:val="2"/>
          <w:sz w:val="21"/>
          <w:szCs w:val="21"/>
        </w:rPr>
        <w:t>（3）根据本公司2007年2月1日之股东大会决议和中国证券监督管理委员会证监发行字[2007]188号</w:t>
      </w:r>
    </w:p>
    <w:p>
      <w:pPr>
        <w:spacing w:line="340" w:lineRule="auto" w:before="115"/>
        <w:ind w:left="153" w:right="147" w:firstLine="0"/>
        <w:jc w:val="both"/>
        <w:rPr>
          <w:rFonts w:ascii="宋体" w:hAnsi="宋体" w:cs="宋体" w:eastAsia="宋体" w:hint="default"/>
          <w:sz w:val="21"/>
          <w:szCs w:val="21"/>
        </w:rPr>
      </w:pPr>
      <w:r>
        <w:rPr>
          <w:rFonts w:ascii="宋体" w:hAnsi="宋体" w:cs="宋体" w:eastAsia="宋体" w:hint="default"/>
          <w:spacing w:val="-1"/>
          <w:sz w:val="21"/>
          <w:szCs w:val="21"/>
        </w:rPr>
        <w:t>《关于核准广州广电运通金融电子股份有限公司首次公开发行股票的通知》的核准，本公司向社会公开发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行人民币普通股（A股）3600万股，每股面值1元，增加股本人民币36,000,000.00元，变更后的股本为人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sz w:val="21"/>
          <w:szCs w:val="21"/>
        </w:rPr>
        <w:t>民币142,559,010.00元。上述资金于2007年8月3日到位，业经广东羊城会计师事务所2007年8月3日出具的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(2007)羊验字第11535号验资报告予以验证。</w:t>
      </w:r>
    </w:p>
    <w:p>
      <w:pPr>
        <w:spacing w:line="340" w:lineRule="auto" w:before="27"/>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（4）经本公司2008年第一届董事会第十五次会议、2008年4月18日股东大会决议通过，本公司以2007</w:t>
      </w:r>
      <w:r>
        <w:rPr>
          <w:rFonts w:ascii="宋体" w:hAnsi="宋体" w:cs="宋体" w:eastAsia="宋体" w:hint="default"/>
          <w:sz w:val="21"/>
          <w:szCs w:val="21"/>
        </w:rPr>
        <w:t> </w:t>
      </w:r>
      <w:r>
        <w:rPr>
          <w:rFonts w:ascii="宋体" w:hAnsi="宋体" w:cs="宋体" w:eastAsia="宋体" w:hint="default"/>
          <w:spacing w:val="-1"/>
          <w:sz w:val="21"/>
          <w:szCs w:val="21"/>
        </w:rPr>
        <w:t>年末总股本为基数，以资本公积向全体股东每10股转增10股股本。变更后的股本为人民币285,118,020.00</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
          <w:sz w:val="21"/>
          <w:szCs w:val="21"/>
        </w:rPr>
        <w:t>元。上述增资业经立信羊城会计师事务所有限公司2008年6月11日出具的(2008)羊验字第14626号验资报告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予以验证。</w:t>
      </w:r>
    </w:p>
    <w:p>
      <w:pPr>
        <w:spacing w:line="340" w:lineRule="auto" w:before="27"/>
        <w:ind w:left="153" w:right="146" w:firstLine="420"/>
        <w:jc w:val="both"/>
        <w:rPr>
          <w:rFonts w:ascii="宋体" w:hAnsi="宋体" w:cs="宋体" w:eastAsia="宋体" w:hint="default"/>
          <w:sz w:val="21"/>
          <w:szCs w:val="21"/>
        </w:rPr>
      </w:pPr>
      <w:r>
        <w:rPr>
          <w:rFonts w:ascii="宋体" w:hAnsi="宋体" w:cs="宋体" w:eastAsia="宋体" w:hint="default"/>
          <w:spacing w:val="-1"/>
          <w:sz w:val="21"/>
          <w:szCs w:val="21"/>
        </w:rPr>
        <w:t>（5）经本公司第二届董事会第二次会议、2009年4月28日股东大会决议通过，本公司以2008年末总股</w:t>
      </w:r>
      <w:r>
        <w:rPr>
          <w:rFonts w:ascii="宋体" w:hAnsi="宋体" w:cs="宋体" w:eastAsia="宋体" w:hint="default"/>
          <w:sz w:val="21"/>
          <w:szCs w:val="21"/>
        </w:rPr>
        <w:t> 本为基数，以资本公积向全体股东每10股转增2股股本。变更后的股本为人民币342,141,624.00元。上述</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增资业经立信羊城会计师事务所有限公司2009年5月22日出具的(2009)羊验字第17039号验资报告予以验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证。</w:t>
      </w:r>
    </w:p>
    <w:p>
      <w:pPr>
        <w:spacing w:line="340" w:lineRule="auto" w:before="27"/>
        <w:ind w:left="153" w:right="145" w:firstLine="420"/>
        <w:jc w:val="both"/>
        <w:rPr>
          <w:rFonts w:ascii="宋体" w:hAnsi="宋体" w:cs="宋体" w:eastAsia="宋体" w:hint="default"/>
          <w:sz w:val="21"/>
          <w:szCs w:val="21"/>
        </w:rPr>
      </w:pPr>
      <w:r>
        <w:rPr>
          <w:rFonts w:ascii="宋体" w:hAnsi="宋体" w:cs="宋体" w:eastAsia="宋体" w:hint="default"/>
          <w:spacing w:val="-1"/>
          <w:sz w:val="21"/>
          <w:szCs w:val="21"/>
        </w:rPr>
        <w:t>（6）经本公司第二届董事会第十二次会议、2011年4月15日股东大会决议通过，本公司以2010年末总</w:t>
      </w:r>
      <w:r>
        <w:rPr>
          <w:rFonts w:ascii="宋体" w:hAnsi="宋体" w:cs="宋体" w:eastAsia="宋体" w:hint="default"/>
          <w:sz w:val="21"/>
          <w:szCs w:val="21"/>
        </w:rPr>
        <w:t> 股本为基数，以未分配利润向全体股东每10股送3股红股。变更后的股本为人民币444,784,111.00元。上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述增资业经立信羊城会计师事务所有限公司2011年5月11日出具的(2011)羊验字第22495号验资报告予以</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验证。</w:t>
      </w:r>
    </w:p>
    <w:p>
      <w:pPr>
        <w:spacing w:line="340" w:lineRule="auto" w:before="27"/>
        <w:ind w:left="153" w:right="146" w:firstLine="420"/>
        <w:jc w:val="both"/>
        <w:rPr>
          <w:rFonts w:ascii="宋体" w:hAnsi="宋体" w:cs="宋体" w:eastAsia="宋体" w:hint="default"/>
          <w:sz w:val="21"/>
          <w:szCs w:val="21"/>
        </w:rPr>
      </w:pPr>
      <w:r>
        <w:rPr>
          <w:rFonts w:ascii="宋体" w:hAnsi="宋体" w:cs="宋体" w:eastAsia="宋体" w:hint="default"/>
          <w:spacing w:val="-1"/>
          <w:sz w:val="21"/>
          <w:szCs w:val="21"/>
        </w:rPr>
        <w:t>（7）经本公司第三届董事会第二次会议、2012年4月19日股东大会决议通过，本公司以2011年末总股</w:t>
      </w:r>
      <w:r>
        <w:rPr>
          <w:rFonts w:ascii="宋体" w:hAnsi="宋体" w:cs="宋体" w:eastAsia="宋体" w:hint="default"/>
          <w:sz w:val="21"/>
          <w:szCs w:val="21"/>
        </w:rPr>
        <w:t> 本为基数，以资本公积向全体股东每10股转增4股股本。变更后的股本为人民币622,697,755.00元。上述</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增资业经立信会计师事务所（特殊普通合伙）广东分所2012年5月5日出具的信会师粤报字【2012】第40162</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号验资报告予以验证。</w:t>
      </w:r>
    </w:p>
    <w:p>
      <w:pPr>
        <w:spacing w:line="240" w:lineRule="auto" w:before="1"/>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349,831,739.27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177,913,644.00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171,918,095.27</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10"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8,780,104.29</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8,780,104.29</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445,212.54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2,496,227.86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-2,051,015.32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362"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价值变动产生的利得或损失</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359,057,056.10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180,409,871.86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178,647,184.24</w:t>
            </w:r>
          </w:p>
        </w:tc>
      </w:tr>
    </w:tbl>
    <w:p>
      <w:pPr>
        <w:spacing w:before="65"/>
        <w:ind w:left="154" w:right="0" w:firstLine="0"/>
        <w:jc w:val="left"/>
        <w:rPr>
          <w:rFonts w:ascii="宋体" w:hAnsi="宋体" w:cs="宋体" w:eastAsia="宋体" w:hint="default"/>
          <w:sz w:val="21"/>
          <w:szCs w:val="21"/>
        </w:rPr>
      </w:pPr>
      <w:r>
        <w:rPr>
          <w:rFonts w:ascii="宋体" w:hAnsi="宋体" w:cs="宋体" w:eastAsia="宋体" w:hint="default"/>
          <w:sz w:val="21"/>
          <w:szCs w:val="21"/>
        </w:rPr>
        <w:t>资本公积说明：</w:t>
      </w:r>
    </w:p>
    <w:p>
      <w:pPr>
        <w:spacing w:line="340" w:lineRule="auto" w:before="154"/>
        <w:ind w:left="154" w:right="150" w:firstLine="420"/>
        <w:jc w:val="both"/>
        <w:rPr>
          <w:rFonts w:ascii="宋体" w:hAnsi="宋体" w:cs="宋体" w:eastAsia="宋体" w:hint="default"/>
          <w:sz w:val="21"/>
          <w:szCs w:val="21"/>
        </w:rPr>
      </w:pPr>
      <w:r>
        <w:rPr>
          <w:rFonts w:ascii="宋体" w:hAnsi="宋体" w:cs="宋体" w:eastAsia="宋体" w:hint="default"/>
          <w:spacing w:val="-1"/>
          <w:sz w:val="21"/>
          <w:szCs w:val="21"/>
        </w:rPr>
        <w:t>（1）经本公司第三届董事会第二次会议、2012年4月19日股东大会决议通过，本公司以2011年末总股</w:t>
      </w:r>
      <w:r>
        <w:rPr>
          <w:rFonts w:ascii="宋体" w:hAnsi="宋体" w:cs="宋体" w:eastAsia="宋体" w:hint="default"/>
          <w:sz w:val="21"/>
          <w:szCs w:val="21"/>
        </w:rPr>
        <w:t> </w:t>
      </w:r>
      <w:r>
        <w:rPr>
          <w:rFonts w:ascii="宋体" w:hAnsi="宋体" w:cs="宋体" w:eastAsia="宋体" w:hint="default"/>
          <w:spacing w:val="-1"/>
          <w:sz w:val="21"/>
          <w:szCs w:val="21"/>
        </w:rPr>
        <w:t>本为基数，以资本公积向全体股东每10股转增4股股本，上述转增股份已于2012年4月27日实施，减少了资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本公积177,913,644.00元。</w:t>
      </w:r>
    </w:p>
    <w:p>
      <w:pPr>
        <w:spacing w:line="340" w:lineRule="auto" w:before="27"/>
        <w:ind w:left="153" w:right="149" w:firstLine="420"/>
        <w:jc w:val="both"/>
        <w:rPr>
          <w:rFonts w:ascii="宋体" w:hAnsi="宋体" w:cs="宋体" w:eastAsia="宋体" w:hint="default"/>
          <w:sz w:val="21"/>
          <w:szCs w:val="21"/>
        </w:rPr>
      </w:pPr>
      <w:r>
        <w:rPr>
          <w:rFonts w:ascii="宋体" w:hAnsi="宋体" w:cs="宋体" w:eastAsia="宋体" w:hint="default"/>
          <w:spacing w:val="2"/>
          <w:sz w:val="21"/>
          <w:szCs w:val="21"/>
        </w:rPr>
        <w:t>（2）本公司的子公司GRG </w:t>
      </w:r>
      <w:r>
        <w:rPr>
          <w:rFonts w:ascii="宋体" w:hAnsi="宋体" w:cs="宋体" w:eastAsia="宋体" w:hint="default"/>
          <w:sz w:val="21"/>
          <w:szCs w:val="21"/>
        </w:rPr>
        <w:t>Banking Equipment (HK) Co.,Limited 在本期末持有GRG</w:t>
      </w:r>
      <w:r>
        <w:rPr>
          <w:rFonts w:ascii="宋体" w:hAnsi="宋体" w:cs="宋体" w:eastAsia="宋体" w:hint="default"/>
          <w:spacing w:val="20"/>
          <w:sz w:val="21"/>
          <w:szCs w:val="21"/>
        </w:rPr>
        <w:t> </w:t>
      </w:r>
      <w:r>
        <w:rPr>
          <w:rFonts w:ascii="宋体" w:hAnsi="宋体" w:cs="宋体" w:eastAsia="宋体" w:hint="default"/>
          <w:sz w:val="21"/>
          <w:szCs w:val="21"/>
        </w:rPr>
        <w:t>INTERNATIONAL</w:t>
      </w:r>
      <w:r>
        <w:rPr>
          <w:rFonts w:ascii="宋体" w:hAnsi="宋体" w:cs="宋体" w:eastAsia="宋体" w:hint="default"/>
          <w:sz w:val="21"/>
          <w:szCs w:val="21"/>
        </w:rPr>
        <w:t> LTD(GRGI) 股份10,097,282.00股，购买成本为1,340,500.40</w:t>
      </w:r>
      <w:r>
        <w:rPr>
          <w:rFonts w:ascii="宋体" w:hAnsi="宋体" w:cs="宋体" w:eastAsia="宋体" w:hint="default"/>
          <w:spacing w:val="44"/>
          <w:sz w:val="21"/>
          <w:szCs w:val="21"/>
        </w:rPr>
        <w:t> </w:t>
      </w:r>
      <w:r>
        <w:rPr>
          <w:rFonts w:ascii="宋体" w:hAnsi="宋体" w:cs="宋体" w:eastAsia="宋体" w:hint="default"/>
          <w:sz w:val="21"/>
          <w:szCs w:val="21"/>
        </w:rPr>
        <w:t>AUD，折合为人民币8,615,098.78元。2012</w:t>
      </w:r>
    </w:p>
    <w:p>
      <w:pPr>
        <w:spacing w:line="340" w:lineRule="auto" w:before="27"/>
        <w:ind w:left="153" w:right="1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pacing w:val="9"/>
          <w:sz w:val="21"/>
          <w:szCs w:val="21"/>
        </w:rPr>
        <w:t>12月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pacing w:val="21"/>
          <w:sz w:val="21"/>
          <w:szCs w:val="21"/>
        </w:rPr>
        <w:t>日该公司</w:t>
      </w:r>
      <w:r>
        <w:rPr>
          <w:rFonts w:ascii="宋体" w:hAnsi="宋体" w:cs="宋体" w:eastAsia="宋体" w:hint="default"/>
          <w:spacing w:val="-76"/>
          <w:sz w:val="21"/>
          <w:szCs w:val="21"/>
        </w:rPr>
        <w:t> </w:t>
      </w:r>
      <w:r>
        <w:rPr>
          <w:rFonts w:ascii="宋体" w:hAnsi="宋体" w:cs="宋体" w:eastAsia="宋体" w:hint="default"/>
          <w:spacing w:val="14"/>
          <w:sz w:val="21"/>
          <w:szCs w:val="21"/>
        </w:rPr>
        <w:t>股票</w:t>
      </w:r>
      <w:r>
        <w:rPr>
          <w:rFonts w:ascii="宋体" w:hAnsi="宋体" w:cs="宋体" w:eastAsia="宋体" w:hint="default"/>
          <w:spacing w:val="-76"/>
          <w:sz w:val="21"/>
          <w:szCs w:val="21"/>
        </w:rPr>
        <w:t> </w:t>
      </w:r>
      <w:r>
        <w:rPr>
          <w:rFonts w:ascii="宋体" w:hAnsi="宋体" w:cs="宋体" w:eastAsia="宋体" w:hint="default"/>
          <w:spacing w:val="18"/>
          <w:sz w:val="21"/>
          <w:szCs w:val="21"/>
        </w:rPr>
        <w:t>收市价</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7"/>
          <w:sz w:val="21"/>
          <w:szCs w:val="21"/>
        </w:rPr>
        <w:t> </w:t>
      </w:r>
      <w:r>
        <w:rPr>
          <w:rFonts w:ascii="宋体" w:hAnsi="宋体" w:cs="宋体" w:eastAsia="宋体" w:hint="default"/>
          <w:sz w:val="21"/>
          <w:szCs w:val="21"/>
        </w:rPr>
        <w:t>0.099AUD,</w:t>
      </w:r>
      <w:r>
        <w:rPr>
          <w:rFonts w:ascii="宋体" w:hAnsi="宋体" w:cs="宋体" w:eastAsia="宋体" w:hint="default"/>
          <w:spacing w:val="29"/>
          <w:sz w:val="21"/>
          <w:szCs w:val="21"/>
        </w:rPr>
        <w:t> </w:t>
      </w: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2012</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汇</w:t>
      </w:r>
      <w:r>
        <w:rPr>
          <w:rFonts w:ascii="宋体" w:hAnsi="宋体" w:cs="宋体" w:eastAsia="宋体" w:hint="default"/>
          <w:spacing w:val="-78"/>
          <w:sz w:val="21"/>
          <w:szCs w:val="21"/>
        </w:rPr>
        <w:t> </w:t>
      </w:r>
      <w:r>
        <w:rPr>
          <w:rFonts w:ascii="宋体" w:hAnsi="宋体" w:cs="宋体" w:eastAsia="宋体" w:hint="default"/>
          <w:sz w:val="21"/>
          <w:szCs w:val="21"/>
        </w:rPr>
        <w:t>率</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8"/>
          <w:sz w:val="21"/>
          <w:szCs w:val="21"/>
        </w:rPr>
        <w:t> </w:t>
      </w:r>
      <w:r>
        <w:rPr>
          <w:rFonts w:ascii="宋体" w:hAnsi="宋体" w:cs="宋体" w:eastAsia="宋体" w:hint="default"/>
          <w:sz w:val="21"/>
          <w:szCs w:val="21"/>
        </w:rPr>
        <w:t>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末</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5"/>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pacing w:val="8"/>
          <w:sz w:val="21"/>
          <w:szCs w:val="21"/>
        </w:rPr>
        <w:t>6,564,083.46元，累计公允价值增加-2,051,015.32元转入资本公积，其中：前期累计公允价值增加</w:t>
      </w:r>
    </w:p>
    <w:p>
      <w:pPr>
        <w:spacing w:before="27"/>
        <w:ind w:left="153" w:right="0" w:firstLine="0"/>
        <w:jc w:val="left"/>
        <w:rPr>
          <w:rFonts w:ascii="宋体" w:hAnsi="宋体" w:cs="宋体" w:eastAsia="宋体" w:hint="default"/>
          <w:sz w:val="21"/>
          <w:szCs w:val="21"/>
        </w:rPr>
      </w:pPr>
      <w:r>
        <w:rPr>
          <w:rFonts w:ascii="宋体" w:hAnsi="宋体" w:cs="宋体" w:eastAsia="宋体" w:hint="default"/>
          <w:sz w:val="21"/>
          <w:szCs w:val="21"/>
        </w:rPr>
        <w:t>445,212.54元，本期公允价值增加-2,496,227.86元计入其他综合收益。</w:t>
      </w:r>
    </w:p>
    <w:p>
      <w:pPr>
        <w:spacing w:line="240" w:lineRule="auto" w:before="10"/>
        <w:rPr>
          <w:rFonts w:ascii="宋体" w:hAnsi="宋体" w:cs="宋体" w:eastAsia="宋体" w:hint="default"/>
          <w:sz w:val="28"/>
          <w:szCs w:val="28"/>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706" w:right="0"/>
              <w:jc w:val="left"/>
              <w:rPr>
                <w:rFonts w:ascii="Times New Roman" w:hAnsi="Times New Roman" w:cs="Times New Roman" w:eastAsia="Times New Roman" w:hint="default"/>
                <w:sz w:val="18"/>
                <w:szCs w:val="18"/>
              </w:rPr>
            </w:pPr>
            <w:r>
              <w:rPr>
                <w:rFonts w:ascii="Times New Roman"/>
                <w:sz w:val="18"/>
              </w:rPr>
              <w:t>203,098,728.13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53,578,925.12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256,677,653.25</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203,098,728.13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53,578,925.12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256,677,653.25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0" w:space="0" w:color="D3D3D3"/>
              <w:bottom w:val="single" w:sz="4" w:space="0" w:color="000000"/>
              <w:right w:val="single" w:sz="9" w:space="0" w:color="D3D3D3"/>
            </w:tcBorders>
          </w:tcPr>
          <w:p>
            <w:pP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0" w:type="dxa"/>
            <w:tcBorders>
              <w:top w:val="single" w:sz="4" w:space="0" w:color="000000"/>
              <w:left w:val="single" w:sz="10" w:space="0" w:color="D3D3D3"/>
              <w:bottom w:val="single" w:sz="4" w:space="0" w:color="000000"/>
              <w:right w:val="single" w:sz="9" w:space="0" w:color="D3D3D3"/>
            </w:tcBorders>
          </w:tcPr>
          <w:p>
            <w:pP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1,430,881,774.72</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578,631,983.99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53,578,925.12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0" w:type="dxa"/>
            <w:tcBorders>
              <w:top w:val="single" w:sz="4" w:space="0" w:color="000000"/>
              <w:left w:val="single" w:sz="10" w:space="0" w:color="D3D3D3"/>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3740" w:type="dxa"/>
            <w:tcBorders>
              <w:top w:val="single" w:sz="4" w:space="0" w:color="000000"/>
              <w:left w:val="single" w:sz="10" w:space="0" w:color="D3D3D3"/>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44,478,411.10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
              <w:jc w:val="righ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0" w:type="dxa"/>
            <w:tcBorders>
              <w:top w:val="single" w:sz="4" w:space="0" w:color="000000"/>
              <w:left w:val="single" w:sz="10" w:space="0" w:color="D3D3D3"/>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1,911,456,422.49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before="65"/>
        <w:ind w:left="154" w:right="0" w:firstLine="0"/>
        <w:jc w:val="left"/>
        <w:rPr>
          <w:rFonts w:ascii="宋体" w:hAnsi="宋体" w:cs="宋体" w:eastAsia="宋体" w:hint="default"/>
          <w:sz w:val="21"/>
          <w:szCs w:val="21"/>
        </w:rPr>
      </w:pPr>
      <w:r>
        <w:rPr>
          <w:rFonts w:ascii="宋体" w:hAnsi="宋体" w:cs="宋体" w:eastAsia="宋体" w:hint="default"/>
          <w:sz w:val="21"/>
          <w:szCs w:val="21"/>
        </w:rPr>
        <w:t>（1）调整年初未分配利润明细：</w:t>
      </w:r>
    </w:p>
    <w:p>
      <w:pPr>
        <w:spacing w:before="156"/>
        <w:ind w:left="574" w:right="0" w:firstLine="0"/>
        <w:jc w:val="left"/>
        <w:rPr>
          <w:rFonts w:ascii="宋体" w:hAnsi="宋体" w:cs="宋体" w:eastAsia="宋体" w:hint="default"/>
          <w:sz w:val="21"/>
          <w:szCs w:val="21"/>
        </w:rPr>
      </w:pPr>
      <w:r>
        <w:rPr>
          <w:rFonts w:ascii="宋体" w:hAnsi="宋体" w:cs="宋体" w:eastAsia="宋体" w:hint="default"/>
          <w:sz w:val="21"/>
          <w:szCs w:val="21"/>
        </w:rPr>
        <w:t>①由于《企业会计准则》及其相关新规定进行追溯调整，影响年初未分配利润</w:t>
      </w:r>
      <w:r>
        <w:rPr>
          <w:rFonts w:ascii="宋体" w:hAnsi="宋体" w:cs="宋体" w:eastAsia="宋体" w:hint="default"/>
          <w:spacing w:val="-72"/>
          <w:sz w:val="21"/>
          <w:szCs w:val="21"/>
        </w:rPr>
        <w:t> </w:t>
      </w:r>
      <w:r>
        <w:rPr>
          <w:rFonts w:ascii="宋体" w:hAnsi="宋体" w:cs="宋体" w:eastAsia="宋体" w:hint="default"/>
          <w:sz w:val="21"/>
          <w:szCs w:val="21"/>
        </w:rPr>
        <w:t>0.00</w:t>
      </w:r>
      <w:r>
        <w:rPr>
          <w:rFonts w:ascii="宋体" w:hAnsi="宋体" w:cs="宋体" w:eastAsia="宋体" w:hint="default"/>
          <w:spacing w:val="-72"/>
          <w:sz w:val="21"/>
          <w:szCs w:val="21"/>
        </w:rPr>
        <w:t> </w:t>
      </w:r>
      <w:r>
        <w:rPr>
          <w:rFonts w:ascii="宋体" w:hAnsi="宋体" w:cs="宋体" w:eastAsia="宋体" w:hint="default"/>
          <w:sz w:val="21"/>
          <w:szCs w:val="21"/>
        </w:rPr>
        <w:t>元。</w:t>
      </w:r>
    </w:p>
    <w:p>
      <w:pPr>
        <w:spacing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②由于会计政策变更，影响年初未分配利润</w:t>
      </w:r>
      <w:r>
        <w:rPr>
          <w:rFonts w:ascii="宋体" w:hAnsi="宋体" w:cs="宋体" w:eastAsia="宋体" w:hint="default"/>
          <w:spacing w:val="-65"/>
          <w:sz w:val="21"/>
          <w:szCs w:val="21"/>
        </w:rPr>
        <w:t> </w:t>
      </w:r>
      <w:r>
        <w:rPr>
          <w:rFonts w:ascii="宋体" w:hAnsi="宋体" w:cs="宋体" w:eastAsia="宋体" w:hint="default"/>
          <w:sz w:val="21"/>
          <w:szCs w:val="21"/>
        </w:rPr>
        <w:t>0.00</w:t>
      </w:r>
      <w:r>
        <w:rPr>
          <w:rFonts w:ascii="宋体" w:hAnsi="宋体" w:cs="宋体" w:eastAsia="宋体" w:hint="default"/>
          <w:spacing w:val="-64"/>
          <w:sz w:val="21"/>
          <w:szCs w:val="21"/>
        </w:rPr>
        <w:t> </w:t>
      </w:r>
      <w:r>
        <w:rPr>
          <w:rFonts w:ascii="宋体" w:hAnsi="宋体" w:cs="宋体" w:eastAsia="宋体" w:hint="default"/>
          <w:sz w:val="21"/>
          <w:szCs w:val="21"/>
        </w:rPr>
        <w:t>元。</w:t>
      </w:r>
    </w:p>
    <w:p>
      <w:pPr>
        <w:spacing w:before="156"/>
        <w:ind w:left="574" w:right="0" w:firstLine="0"/>
        <w:jc w:val="left"/>
        <w:rPr>
          <w:rFonts w:ascii="宋体" w:hAnsi="宋体" w:cs="宋体" w:eastAsia="宋体" w:hint="default"/>
          <w:sz w:val="21"/>
          <w:szCs w:val="21"/>
        </w:rPr>
      </w:pPr>
      <w:r>
        <w:rPr>
          <w:rFonts w:ascii="宋体" w:hAnsi="宋体" w:cs="宋体" w:eastAsia="宋体" w:hint="default"/>
          <w:sz w:val="21"/>
          <w:szCs w:val="21"/>
        </w:rPr>
        <w:t>③由于重大会计差错更正，影响年初未分配利润</w:t>
      </w:r>
      <w:r>
        <w:rPr>
          <w:rFonts w:ascii="宋体" w:hAnsi="宋体" w:cs="宋体" w:eastAsia="宋体" w:hint="default"/>
          <w:spacing w:val="-66"/>
          <w:sz w:val="21"/>
          <w:szCs w:val="21"/>
        </w:rPr>
        <w:t> </w:t>
      </w:r>
      <w:r>
        <w:rPr>
          <w:rFonts w:ascii="宋体" w:hAnsi="宋体" w:cs="宋体" w:eastAsia="宋体" w:hint="default"/>
          <w:sz w:val="21"/>
          <w:szCs w:val="21"/>
        </w:rPr>
        <w:t>0.00</w:t>
      </w:r>
      <w:r>
        <w:rPr>
          <w:rFonts w:ascii="宋体" w:hAnsi="宋体" w:cs="宋体" w:eastAsia="宋体" w:hint="default"/>
          <w:spacing w:val="-65"/>
          <w:sz w:val="21"/>
          <w:szCs w:val="21"/>
        </w:rPr>
        <w:t> </w:t>
      </w:r>
      <w:r>
        <w:rPr>
          <w:rFonts w:ascii="宋体" w:hAnsi="宋体" w:cs="宋体" w:eastAsia="宋体" w:hint="default"/>
          <w:sz w:val="21"/>
          <w:szCs w:val="21"/>
        </w:rPr>
        <w:t>元。</w:t>
      </w:r>
    </w:p>
    <w:p>
      <w:pPr>
        <w:spacing w:before="154"/>
        <w:ind w:left="574" w:right="0" w:firstLine="0"/>
        <w:jc w:val="left"/>
        <w:rPr>
          <w:rFonts w:ascii="宋体" w:hAnsi="宋体" w:cs="宋体" w:eastAsia="宋体" w:hint="default"/>
          <w:sz w:val="21"/>
          <w:szCs w:val="21"/>
        </w:rPr>
      </w:pPr>
      <w:r>
        <w:rPr>
          <w:rFonts w:ascii="宋体" w:hAnsi="宋体" w:cs="宋体" w:eastAsia="宋体" w:hint="default"/>
          <w:sz w:val="21"/>
          <w:szCs w:val="21"/>
        </w:rPr>
        <w:t>④由于同一控制导致的合并范围变更，影响年初未分配利润</w:t>
      </w:r>
      <w:r>
        <w:rPr>
          <w:rFonts w:ascii="宋体" w:hAnsi="宋体" w:cs="宋体" w:eastAsia="宋体" w:hint="default"/>
          <w:spacing w:val="-68"/>
          <w:sz w:val="21"/>
          <w:szCs w:val="21"/>
        </w:rPr>
        <w:t> </w:t>
      </w:r>
      <w:r>
        <w:rPr>
          <w:rFonts w:ascii="宋体" w:hAnsi="宋体" w:cs="宋体" w:eastAsia="宋体" w:hint="default"/>
          <w:sz w:val="21"/>
          <w:szCs w:val="21"/>
        </w:rPr>
        <w:t>0.00</w:t>
      </w:r>
      <w:r>
        <w:rPr>
          <w:rFonts w:ascii="宋体" w:hAnsi="宋体" w:cs="宋体" w:eastAsia="宋体" w:hint="default"/>
          <w:spacing w:val="-68"/>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7"/>
          <w:szCs w:val="27"/>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⑤其他调整合计影响年初未分配利润</w:t>
      </w:r>
      <w:r>
        <w:rPr>
          <w:rFonts w:ascii="宋体" w:hAnsi="宋体" w:cs="宋体" w:eastAsia="宋体" w:hint="default"/>
          <w:spacing w:val="-63"/>
          <w:sz w:val="21"/>
          <w:szCs w:val="21"/>
        </w:rPr>
        <w:t> </w:t>
      </w:r>
      <w:r>
        <w:rPr>
          <w:rFonts w:ascii="宋体" w:hAnsi="宋体" w:cs="宋体" w:eastAsia="宋体" w:hint="default"/>
          <w:sz w:val="21"/>
          <w:szCs w:val="21"/>
        </w:rPr>
        <w:t>0.00</w:t>
      </w:r>
      <w:r>
        <w:rPr>
          <w:rFonts w:ascii="宋体" w:hAnsi="宋体" w:cs="宋体" w:eastAsia="宋体" w:hint="default"/>
          <w:spacing w:val="-63"/>
          <w:sz w:val="21"/>
          <w:szCs w:val="21"/>
        </w:rPr>
        <w:t> </w:t>
      </w:r>
      <w:r>
        <w:rPr>
          <w:rFonts w:ascii="宋体" w:hAnsi="宋体" w:cs="宋体" w:eastAsia="宋体" w:hint="default"/>
          <w:sz w:val="21"/>
          <w:szCs w:val="21"/>
        </w:rPr>
        <w:t>元。</w:t>
      </w:r>
    </w:p>
    <w:p>
      <w:pPr>
        <w:spacing w:line="374" w:lineRule="auto" w:before="154"/>
        <w:ind w:left="574" w:right="0" w:hanging="420"/>
        <w:jc w:val="left"/>
        <w:rPr>
          <w:rFonts w:ascii="宋体" w:hAnsi="宋体" w:cs="宋体" w:eastAsia="宋体" w:hint="default"/>
          <w:sz w:val="21"/>
          <w:szCs w:val="21"/>
        </w:rPr>
      </w:pPr>
      <w:r>
        <w:rPr>
          <w:rFonts w:ascii="宋体" w:hAnsi="宋体" w:cs="宋体" w:eastAsia="宋体" w:hint="default"/>
          <w:sz w:val="21"/>
          <w:szCs w:val="21"/>
        </w:rPr>
        <w:t>（2）未分配利润的其他说明： </w:t>
      </w:r>
      <w:r>
        <w:rPr>
          <w:rFonts w:ascii="宋体" w:hAnsi="宋体" w:cs="宋体" w:eastAsia="宋体" w:hint="default"/>
          <w:spacing w:val="-1"/>
          <w:sz w:val="21"/>
          <w:szCs w:val="21"/>
        </w:rPr>
        <w:t>经本公司2012年4月19日股东大会决议通过，本公司以2011年末总股本444,784,111股本为基数，向全</w:t>
      </w:r>
      <w:r>
        <w:rPr>
          <w:rFonts w:ascii="宋体" w:hAnsi="宋体" w:cs="宋体" w:eastAsia="宋体" w:hint="default"/>
          <w:sz w:val="21"/>
          <w:szCs w:val="21"/>
        </w:rPr>
      </w:r>
    </w:p>
    <w:p>
      <w:pPr>
        <w:spacing w:line="272" w:lineRule="exact"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体股东每10股派发现金股利1元（含税），上述利润分配已于2012年4月27日实施。</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1,808,300,948.96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864,661,017.90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1,782,325,240.29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913,276,842.32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②材料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106,846,605.63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60,261,205.05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123,848,466.41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67,093,490.04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③营运收入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21,550,579.96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19,549,443.72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23,759,839.66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22,238,604.73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④服务费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231,711,418.45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90,354,351.88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159,533,885.31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48,209,260.99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2,089,467,431.67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①</w:t>
            </w:r>
            <w:r>
              <w:rPr>
                <w:rFonts w:ascii="Times New Roman" w:hAnsi="Times New Roman" w:cs="Times New Roman" w:eastAsia="Times New Roman" w:hint="default"/>
                <w:spacing w:val="-6"/>
                <w:sz w:val="18"/>
                <w:szCs w:val="18"/>
              </w:rPr>
              <w:t>ATM</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1,776,862,734.63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841,692,583.39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1,649,262,748.94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826,032,201.53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AFC</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31,438,214.33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22,968,434.51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133,062,491.35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87,244,640.79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③材料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106,846,605.63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60,261,205.05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123,848,466.41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67,093,490.04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④营运收入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21,550,579.96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19,549,443.72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23,759,839.66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22,238,604.73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⑤</w:t>
            </w:r>
            <w:r>
              <w:rPr>
                <w:rFonts w:ascii="Times New Roman" w:hAnsi="Times New Roman" w:cs="Times New Roman" w:eastAsia="Times New Roman" w:hint="default"/>
                <w:spacing w:val="-6"/>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231,711,418.45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90,354,351.88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159,533,885.31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48,209,260.99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2,089,467,431.67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2,065,190,354.60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975,343,001.92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1,685,079,614.68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806,140,865.40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103,219,198.40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59,483,016.63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404,387,816.99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244,677,332.68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2,168,409,553.00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1,034,826,018.55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2,089,467,431.67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1,050,818,198.08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80"/>
        <w:gridCol w:w="2880"/>
        <w:gridCol w:w="2909"/>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613,586,189.25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28.30%</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226,177,210.57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129,176,629.10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115,491,386.50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86,550,030.13</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1,170,981,445.55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14,281,212.89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13,604,940.71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15,075,464.73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12,428,670.15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6,477,960.51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5,326,572.91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4,287,605.81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3,551,048.61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40,122,243.94</w:t>
            </w:r>
          </w:p>
        </w:tc>
        <w:tc>
          <w:tcPr>
            <w:tcW w:w="186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34,911,232.38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128,188,761.02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93,991,463.19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43,413,162.59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51,908,137.62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40,390,797.05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54,694,841.05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33,072,845.28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28,209,000.35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17,916,817.46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15,385,528.78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69,918,876.18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48,460,941.91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332,901,259.58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292,649,912.90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115,604,767.38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87,540,869.26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39,181,604.22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36,002,828.44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26,996,177.27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19,454,319.03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12,394,956.00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9,766,109.08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10,154,553.47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6,952,511.97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53,528,407.70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43,412,796.77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257,860,466.04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203,129,434.55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129,644.82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284,002.03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-10,918,727.02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-8,931,126.16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-1,906,947.22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5,240,202.89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1,119,482.97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1,857,799.60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-11,576,546.45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-1,549,121.64</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-8,282,242.98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-8,282,242.98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-8,145,472.93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投资期自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月起计</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云南云通金融外包服务有限公司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-136,770.05</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-8,282,242.98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243"/>
        <w:gridCol w:w="2525"/>
        <w:gridCol w:w="2789"/>
      </w:tblGrid>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225"/>
        <w:gridCol w:w="2554"/>
        <w:gridCol w:w="2789"/>
      </w:tblGrid>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5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-1,252,368.99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5,970,518.47</w:t>
            </w: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54" w:type="dxa"/>
            <w:tcBorders>
              <w:top w:val="single" w:sz="4" w:space="0" w:color="000000"/>
              <w:left w:val="single" w:sz="10" w:space="0" w:color="D3D3D3"/>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-1,252,368.99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5,970,518.47</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81"/>
        <w:gridCol w:w="1967"/>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131,672.33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113,079.94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131,672.33</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131,672.33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113,079.94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131,672.33</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6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196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533,115.60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4,515,475.70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533,115.60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140,134,114.33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88,068,961.13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22,702,826.74</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347,854.34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200,921.42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347,854.34</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588,434.15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297,252.93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588,434.15</w:t>
            </w: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141,735,190.75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93,195,691.12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24,303,903.16</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104"/>
        <w:gridCol w:w="1560"/>
        <w:gridCol w:w="1416"/>
        <w:gridCol w:w="1488"/>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4"/>
        <w:gridCol w:w="1560"/>
        <w:gridCol w:w="1416"/>
        <w:gridCol w:w="1488"/>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第三批软件（动漫）产业发展资金项目经费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2,856,800.00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年度中小企业国际市场开拓资金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两新</w:t>
            </w:r>
            <w:r>
              <w:rPr>
                <w:rFonts w:ascii="Times New Roman" w:hAnsi="Times New Roman" w:cs="Times New Roman" w:eastAsia="Times New Roman" w:hint="default"/>
                <w:sz w:val="18"/>
                <w:szCs w:val="18"/>
              </w:rPr>
              <w:t>"</w:t>
            </w:r>
            <w:r>
              <w:rPr>
                <w:rFonts w:ascii="宋体" w:hAnsi="宋体" w:cs="宋体" w:eastAsia="宋体" w:hint="default"/>
                <w:sz w:val="18"/>
                <w:szCs w:val="18"/>
              </w:rPr>
              <w:t>产品专项资金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专项价格补贴资金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541,843.70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446,100.00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燃气燃油补助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知识产权资助费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技能人才实训点运营补助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促进投保出口信用险专项资金补助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260,110.21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69,710.00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社区管理局补贴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31,027.00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补贴款</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年资助向国外申请专项资金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年知识产权保护专项经费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年第三、四季度机电高新技术产品出口退税征退差扶持资金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138,957.00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年第二、三批一般贸易和进料加工退税征退差资助资金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87,237.00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年出口信用保险扶持资金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9,391.00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总部企业政府资助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21,297.66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递延收益摊销转入科技三项费用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15,710,956.87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12,135,733.89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117,431,287.59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70,794,655.54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软件退税款</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引智项目资助经费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85,512.00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专项经费</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广州市知识产权示范企业奖励金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重点软件企业所得税奖励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1,762,250.00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年度科学技术奖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年度就业先进单位奖励金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年广东省服务贸易发展专项资金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年战略性主导产业发展资金（自助服务设备平台生产技术改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造补贴）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扶持资金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广东省国际市场开拓专项资金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专项资金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重点新产品奖励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奖励金</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140,134,114.33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88,068,961.13</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08"/>
        <w:gridCol w:w="2033"/>
        <w:gridCol w:w="1914"/>
        <w:gridCol w:w="1914"/>
      </w:tblGrid>
      <w:tr>
        <w:trPr>
          <w:trHeight w:val="160" w:hRule="exact"/>
        </w:trPr>
        <w:tc>
          <w:tcPr>
            <w:tcW w:w="3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662"/>
              <w:jc w:val="right"/>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0" w:hRule="exact"/>
        </w:trPr>
        <w:tc>
          <w:tcPr>
            <w:tcW w:w="3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597,147.59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1,168,843.43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597,147.59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597,147.59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1,168,843.43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597,147.59</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93"/>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3" w:type="dxa"/>
            <w:tcBorders>
              <w:top w:val="single" w:sz="4" w:space="0" w:color="000000"/>
              <w:left w:val="single" w:sz="10"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3" w:type="dxa"/>
            <w:tcBorders>
              <w:top w:val="single" w:sz="4" w:space="0" w:color="000000"/>
              <w:left w:val="single" w:sz="10"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033" w:type="dxa"/>
            <w:tcBorders>
              <w:top w:val="single" w:sz="4" w:space="0" w:color="000000"/>
              <w:left w:val="single" w:sz="10"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299,240.54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45,706.22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299,240.54</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439,919.27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266,432.33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439,919.27</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1,399,307.40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1,580,981.98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1,399,307.40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74,921,974.21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93,611,435.85</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-9,424,240.62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-6,259,570.85</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736,090.53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-180,712.93</w:t>
            </w:r>
          </w:p>
        </w:tc>
      </w:tr>
      <w:tr>
        <w:trPr>
          <w:trHeight w:val="403"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66,233,824.12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87,171,152.07</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3" w:right="746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b/>
          <w:bCs/>
          <w:sz w:val="21"/>
          <w:szCs w:val="21"/>
        </w:rPr>
        <w:t>基本每股收益</w:t>
      </w:r>
      <w:r>
        <w:rPr>
          <w:rFonts w:ascii="宋体" w:hAnsi="宋体" w:cs="宋体" w:eastAsia="宋体" w:hint="default"/>
          <w:b/>
          <w:bCs/>
          <w:spacing w:val="1"/>
          <w:w w:val="99"/>
          <w:sz w:val="21"/>
          <w:szCs w:val="21"/>
        </w:rPr>
        <w:t> </w:t>
      </w:r>
      <w:r>
        <w:rPr>
          <w:rFonts w:ascii="宋体" w:hAnsi="宋体" w:cs="宋体" w:eastAsia="宋体" w:hint="default"/>
          <w:sz w:val="21"/>
          <w:szCs w:val="21"/>
        </w:rPr>
        <w:t>基本每股收益=P0÷S</w:t>
      </w:r>
    </w:p>
    <w:p>
      <w:pPr>
        <w:spacing w:before="27"/>
        <w:ind w:left="573" w:right="0" w:firstLine="0"/>
        <w:jc w:val="left"/>
        <w:rPr>
          <w:rFonts w:ascii="宋体" w:hAnsi="宋体" w:cs="宋体" w:eastAsia="宋体" w:hint="default"/>
          <w:sz w:val="21"/>
          <w:szCs w:val="21"/>
        </w:rPr>
      </w:pPr>
      <w:r>
        <w:rPr>
          <w:rFonts w:ascii="宋体" w:hAnsi="宋体" w:cs="宋体" w:eastAsia="宋体" w:hint="default"/>
          <w:sz w:val="21"/>
          <w:szCs w:val="21"/>
        </w:rPr>
        <w:t>S=</w:t>
      </w:r>
      <w:r>
        <w:rPr>
          <w:rFonts w:ascii="宋体" w:hAnsi="宋体" w:cs="宋体" w:eastAsia="宋体" w:hint="default"/>
          <w:spacing w:val="-16"/>
          <w:sz w:val="21"/>
          <w:szCs w:val="21"/>
        </w:rPr>
        <w:t> </w:t>
      </w:r>
      <w:r>
        <w:rPr>
          <w:rFonts w:ascii="宋体" w:hAnsi="宋体" w:cs="宋体" w:eastAsia="宋体" w:hint="default"/>
          <w:sz w:val="21"/>
          <w:szCs w:val="21"/>
        </w:rPr>
        <w:t>S0＋S1＋Si×Mi÷M0–Sj×Mj÷M0–Sk</w:t>
      </w:r>
    </w:p>
    <w:p>
      <w:pPr>
        <w:spacing w:line="340" w:lineRule="auto" w:before="115"/>
        <w:ind w:left="153" w:right="147" w:firstLine="420"/>
        <w:jc w:val="both"/>
        <w:rPr>
          <w:rFonts w:ascii="宋体" w:hAnsi="宋体" w:cs="宋体" w:eastAsia="宋体" w:hint="default"/>
          <w:sz w:val="21"/>
          <w:szCs w:val="21"/>
        </w:rPr>
      </w:pPr>
      <w:r>
        <w:rPr>
          <w:rFonts w:ascii="宋体" w:hAnsi="宋体" w:cs="宋体" w:eastAsia="宋体" w:hint="default"/>
          <w:sz w:val="21"/>
          <w:szCs w:val="21"/>
        </w:rPr>
        <w:t>其中：P0为归属于公司普通股股东的净利润或扣除非经常性损益后归属于普通股股东的净利润；S为</w:t>
      </w:r>
      <w:r>
        <w:rPr>
          <w:rFonts w:ascii="宋体" w:hAnsi="宋体" w:cs="宋体" w:eastAsia="宋体" w:hint="default"/>
          <w:spacing w:val="2"/>
          <w:sz w:val="21"/>
          <w:szCs w:val="21"/>
        </w:rPr>
        <w:t> </w:t>
      </w:r>
      <w:r>
        <w:rPr>
          <w:rFonts w:ascii="宋体" w:hAnsi="宋体" w:cs="宋体" w:eastAsia="宋体" w:hint="default"/>
          <w:spacing w:val="-1"/>
          <w:sz w:val="21"/>
          <w:szCs w:val="21"/>
        </w:rPr>
        <w:t>发行在外的普通股加权平均数；S0为期初股份总数；S1为报告期因公积金转增股本或股票股利分配等增加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股份数；Si为报告期因发行新股或债转股等增加股份数；Sj为报告期因回购等减少股份数；Sk为报告期缩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股数；M0报告期月份数；Mi为增加股份次月起至报告期期末的累计月数；Mj为减少股份次月起至报告期期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末的累计月数。</w:t>
      </w:r>
    </w:p>
    <w:p>
      <w:pPr>
        <w:spacing w:line="340" w:lineRule="auto" w:before="27"/>
        <w:ind w:left="57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b/>
          <w:bCs/>
          <w:sz w:val="21"/>
          <w:szCs w:val="21"/>
        </w:rPr>
        <w:t>稀释每股收益</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稀释每股收益=P1/(S0＋S1＋Si×Mi÷M0–Sj×Mj÷M0–Sk+认股权证、股份期权、可转换债券等增加</w:t>
      </w:r>
    </w:p>
    <w:p>
      <w:pPr>
        <w:spacing w:line="340" w:lineRule="auto" w:before="27"/>
        <w:ind w:left="573" w:right="111" w:hanging="420"/>
        <w:jc w:val="left"/>
        <w:rPr>
          <w:rFonts w:ascii="宋体" w:hAnsi="宋体" w:cs="宋体" w:eastAsia="宋体" w:hint="default"/>
          <w:sz w:val="21"/>
          <w:szCs w:val="21"/>
        </w:rPr>
      </w:pPr>
      <w:r>
        <w:rPr>
          <w:rFonts w:ascii="宋体" w:hAnsi="宋体" w:cs="宋体" w:eastAsia="宋体" w:hint="default"/>
          <w:sz w:val="21"/>
          <w:szCs w:val="21"/>
        </w:rPr>
        <w:t>的普通股加权平均数) 其中，P1为归属于公司普通股股东的净利润或扣除非经常性损益后归属于公司普通股股东的净利润，</w:t>
      </w:r>
    </w:p>
    <w:p>
      <w:pPr>
        <w:spacing w:before="27"/>
        <w:ind w:left="153" w:right="0" w:firstLine="0"/>
        <w:jc w:val="left"/>
        <w:rPr>
          <w:rFonts w:ascii="宋体" w:hAnsi="宋体" w:cs="宋体" w:eastAsia="宋体" w:hint="default"/>
          <w:sz w:val="21"/>
          <w:szCs w:val="21"/>
        </w:rPr>
      </w:pPr>
      <w:r>
        <w:rPr>
          <w:rFonts w:ascii="宋体" w:hAnsi="宋体" w:cs="宋体" w:eastAsia="宋体" w:hint="default"/>
          <w:sz w:val="21"/>
          <w:szCs w:val="21"/>
        </w:rPr>
        <w:t>并考虑稀释性潜在普通股对其影响，按《企业会计准则》及有关规定进行调整。公司在计算稀释每股收益</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7"/>
          <w:szCs w:val="27"/>
        </w:rPr>
      </w:pPr>
    </w:p>
    <w:p>
      <w:pPr>
        <w:spacing w:line="340" w:lineRule="auto" w:before="35"/>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时，应考虑所有稀释性潜在普通股对归属于公司普通股股东的净利润或扣除非经常性损益后归属于公司普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通股股东的净利润和加权平均股数的影响，按照其稀释程度从大到小的顺序计入稀释每股收益，直至稀释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每股收益达到最小值。</w:t>
      </w:r>
    </w:p>
    <w:p>
      <w:pPr>
        <w:spacing w:line="340" w:lineRule="auto" w:before="27"/>
        <w:ind w:left="574" w:right="0" w:firstLine="0"/>
        <w:jc w:val="left"/>
        <w:rPr>
          <w:rFonts w:ascii="宋体" w:hAnsi="宋体" w:cs="宋体" w:eastAsia="宋体" w:hint="default"/>
          <w:sz w:val="21"/>
          <w:szCs w:val="21"/>
        </w:rPr>
      </w:pPr>
      <w:r>
        <w:rPr>
          <w:rFonts w:ascii="宋体" w:hAnsi="宋体" w:cs="宋体" w:eastAsia="宋体" w:hint="default"/>
          <w:sz w:val="21"/>
          <w:szCs w:val="21"/>
        </w:rPr>
        <w:t>①基本每股收益 </w:t>
      </w:r>
      <w:r>
        <w:rPr>
          <w:rFonts w:ascii="宋体" w:hAnsi="宋体" w:cs="宋体" w:eastAsia="宋体" w:hint="default"/>
          <w:spacing w:val="3"/>
          <w:sz w:val="21"/>
          <w:szCs w:val="21"/>
        </w:rPr>
        <w:t>基本每股收益以归属于本公司普通股股东的合并净利润除以本公司发行在外普通股的加权平均数计</w:t>
      </w:r>
    </w:p>
    <w:p>
      <w:pPr>
        <w:spacing w:before="27"/>
        <w:ind w:left="154" w:right="0" w:firstLine="0"/>
        <w:jc w:val="both"/>
        <w:rPr>
          <w:rFonts w:ascii="宋体" w:hAnsi="宋体" w:cs="宋体" w:eastAsia="宋体" w:hint="default"/>
          <w:sz w:val="21"/>
          <w:szCs w:val="21"/>
        </w:rPr>
      </w:pPr>
      <w:r>
        <w:rPr>
          <w:rFonts w:ascii="宋体" w:hAnsi="宋体" w:cs="宋体" w:eastAsia="宋体" w:hint="default"/>
          <w:sz w:val="21"/>
          <w:szCs w:val="21"/>
        </w:rPr>
        <w:t>算：</w:t>
      </w:r>
    </w:p>
    <w:p>
      <w:pPr>
        <w:spacing w:line="240" w:lineRule="auto" w:before="12"/>
        <w:rPr>
          <w:rFonts w:ascii="宋体" w:hAnsi="宋体" w:cs="宋体" w:eastAsia="宋体" w:hint="default"/>
          <w:sz w:val="6"/>
          <w:szCs w:val="6"/>
        </w:rPr>
      </w:pPr>
    </w:p>
    <w:tbl>
      <w:tblPr>
        <w:tblW w:w="0" w:type="auto"/>
        <w:jc w:val="left"/>
        <w:tblInd w:w="758" w:type="dxa"/>
        <w:tblLayout w:type="fixed"/>
        <w:tblCellMar>
          <w:top w:w="0" w:type="dxa"/>
          <w:left w:w="0" w:type="dxa"/>
          <w:bottom w:w="0" w:type="dxa"/>
          <w:right w:w="0" w:type="dxa"/>
        </w:tblCellMar>
        <w:tblLook w:val="01E0"/>
      </w:tblPr>
      <w:tblGrid>
        <w:gridCol w:w="3926"/>
        <w:gridCol w:w="1702"/>
        <w:gridCol w:w="2126"/>
      </w:tblGrid>
      <w:tr>
        <w:trPr>
          <w:trHeight w:val="464"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2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63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578,631,983.99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506,533,839.64</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622,697,755.00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622,697,755.00</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0.93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0.81</w:t>
            </w:r>
          </w:p>
        </w:tc>
      </w:tr>
    </w:tbl>
    <w:p>
      <w:pPr>
        <w:spacing w:line="240" w:lineRule="auto" w:before="0"/>
        <w:rPr>
          <w:rFonts w:ascii="宋体" w:hAnsi="宋体" w:cs="宋体" w:eastAsia="宋体" w:hint="default"/>
          <w:sz w:val="29"/>
          <w:szCs w:val="29"/>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p>
      <w:pPr>
        <w:spacing w:line="240" w:lineRule="auto" w:before="12"/>
        <w:rPr>
          <w:rFonts w:ascii="宋体" w:hAnsi="宋体" w:cs="宋体" w:eastAsia="宋体" w:hint="default"/>
          <w:sz w:val="6"/>
          <w:szCs w:val="6"/>
        </w:rPr>
      </w:pPr>
    </w:p>
    <w:tbl>
      <w:tblPr>
        <w:tblW w:w="0" w:type="auto"/>
        <w:jc w:val="left"/>
        <w:tblInd w:w="758" w:type="dxa"/>
        <w:tblLayout w:type="fixed"/>
        <w:tblCellMar>
          <w:top w:w="0" w:type="dxa"/>
          <w:left w:w="0" w:type="dxa"/>
          <w:bottom w:w="0" w:type="dxa"/>
          <w:right w:w="0" w:type="dxa"/>
        </w:tblCellMar>
        <w:tblLook w:val="01E0"/>
      </w:tblPr>
      <w:tblGrid>
        <w:gridCol w:w="3926"/>
        <w:gridCol w:w="1985"/>
        <w:gridCol w:w="1843"/>
      </w:tblGrid>
      <w:tr>
        <w:trPr>
          <w:trHeight w:val="464"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56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59" w:right="0"/>
              <w:jc w:val="left"/>
              <w:rPr>
                <w:rFonts w:ascii="Times New Roman" w:hAnsi="Times New Roman" w:cs="Times New Roman" w:eastAsia="Times New Roman" w:hint="default"/>
                <w:sz w:val="21"/>
                <w:szCs w:val="21"/>
              </w:rPr>
            </w:pPr>
            <w:r>
              <w:rPr>
                <w:rFonts w:ascii="Times New Roman"/>
                <w:sz w:val="21"/>
              </w:rPr>
              <w:t>622,697,755.00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33" w:right="0"/>
              <w:jc w:val="left"/>
              <w:rPr>
                <w:rFonts w:ascii="Times New Roman" w:hAnsi="Times New Roman" w:cs="Times New Roman" w:eastAsia="Times New Roman" w:hint="default"/>
                <w:sz w:val="21"/>
                <w:szCs w:val="21"/>
              </w:rPr>
            </w:pPr>
            <w:r>
              <w:rPr>
                <w:rFonts w:ascii="Times New Roman"/>
                <w:sz w:val="21"/>
              </w:rPr>
              <w:t>444,784,111.00</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7" w:right="0"/>
              <w:jc w:val="left"/>
              <w:rPr>
                <w:rFonts w:ascii="Times New Roman" w:hAnsi="Times New Roman" w:cs="Times New Roman" w:eastAsia="Times New Roman" w:hint="default"/>
                <w:sz w:val="21"/>
                <w:szCs w:val="21"/>
              </w:rPr>
            </w:pPr>
            <w:r>
              <w:rPr>
                <w:rFonts w:ascii="Times New Roman"/>
                <w:sz w:val="21"/>
              </w:rPr>
              <w:t>177,913,644.00</w:t>
            </w:r>
          </w:p>
        </w:tc>
      </w:tr>
      <w:tr>
        <w:trPr>
          <w:trHeight w:val="464"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59" w:right="0"/>
              <w:jc w:val="left"/>
              <w:rPr>
                <w:rFonts w:ascii="Times New Roman" w:hAnsi="Times New Roman" w:cs="Times New Roman" w:eastAsia="Times New Roman" w:hint="default"/>
                <w:sz w:val="21"/>
                <w:szCs w:val="21"/>
              </w:rPr>
            </w:pPr>
            <w:r>
              <w:rPr>
                <w:rFonts w:ascii="Times New Roman"/>
                <w:sz w:val="21"/>
              </w:rPr>
              <w:t>622,697,755.00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17" w:right="0"/>
              <w:jc w:val="left"/>
              <w:rPr>
                <w:rFonts w:ascii="Times New Roman" w:hAnsi="Times New Roman" w:cs="Times New Roman" w:eastAsia="Times New Roman" w:hint="default"/>
                <w:sz w:val="21"/>
                <w:szCs w:val="21"/>
              </w:rPr>
            </w:pPr>
            <w:r>
              <w:rPr>
                <w:rFonts w:ascii="Times New Roman"/>
                <w:sz w:val="21"/>
              </w:rPr>
              <w:t>622,697,755.00</w:t>
            </w:r>
          </w:p>
        </w:tc>
      </w:tr>
    </w:tbl>
    <w:p>
      <w:pPr>
        <w:spacing w:line="240" w:lineRule="auto" w:before="0"/>
        <w:rPr>
          <w:rFonts w:ascii="宋体" w:hAnsi="宋体" w:cs="宋体" w:eastAsia="宋体" w:hint="default"/>
          <w:sz w:val="29"/>
          <w:szCs w:val="29"/>
        </w:rPr>
      </w:pPr>
    </w:p>
    <w:p>
      <w:pPr>
        <w:spacing w:line="340" w:lineRule="auto"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②稀释每股收益 </w:t>
      </w:r>
      <w:r>
        <w:rPr>
          <w:rFonts w:ascii="宋体" w:hAnsi="宋体" w:cs="宋体" w:eastAsia="宋体" w:hint="default"/>
          <w:spacing w:val="3"/>
          <w:sz w:val="21"/>
          <w:szCs w:val="21"/>
        </w:rPr>
        <w:t>稀释每股收益以调整后的归属于本公司普通股股东的合并净利润除以调整后的本公司发行在外普通</w:t>
      </w:r>
    </w:p>
    <w:p>
      <w:pPr>
        <w:spacing w:before="27"/>
        <w:ind w:left="154" w:right="0" w:firstLine="0"/>
        <w:jc w:val="left"/>
        <w:rPr>
          <w:rFonts w:ascii="宋体" w:hAnsi="宋体" w:cs="宋体" w:eastAsia="宋体" w:hint="default"/>
          <w:sz w:val="21"/>
          <w:szCs w:val="21"/>
        </w:rPr>
      </w:pPr>
      <w:r>
        <w:rPr>
          <w:rFonts w:ascii="宋体" w:hAnsi="宋体" w:cs="宋体" w:eastAsia="宋体" w:hint="default"/>
          <w:sz w:val="21"/>
          <w:szCs w:val="21"/>
        </w:rPr>
        <w:t>股的加权平均数计算：</w:t>
      </w:r>
    </w:p>
    <w:p>
      <w:pPr>
        <w:spacing w:line="240" w:lineRule="auto" w:before="12"/>
        <w:rPr>
          <w:rFonts w:ascii="宋体" w:hAnsi="宋体" w:cs="宋体" w:eastAsia="宋体" w:hint="default"/>
          <w:sz w:val="6"/>
          <w:szCs w:val="6"/>
        </w:rPr>
      </w:pPr>
    </w:p>
    <w:tbl>
      <w:tblPr>
        <w:tblW w:w="0" w:type="auto"/>
        <w:jc w:val="left"/>
        <w:tblInd w:w="758" w:type="dxa"/>
        <w:tblLayout w:type="fixed"/>
        <w:tblCellMar>
          <w:top w:w="0" w:type="dxa"/>
          <w:left w:w="0" w:type="dxa"/>
          <w:bottom w:w="0" w:type="dxa"/>
          <w:right w:w="0" w:type="dxa"/>
        </w:tblCellMar>
        <w:tblLook w:val="01E0"/>
      </w:tblPr>
      <w:tblGrid>
        <w:gridCol w:w="4494"/>
        <w:gridCol w:w="1842"/>
        <w:gridCol w:w="1843"/>
      </w:tblGrid>
      <w:tr>
        <w:trPr>
          <w:trHeight w:val="464" w:hRule="exact"/>
        </w:trPr>
        <w:tc>
          <w:tcPr>
            <w:tcW w:w="4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4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65"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2"/>
              <w:jc w:val="left"/>
              <w:rPr>
                <w:rFonts w:ascii="宋体" w:hAnsi="宋体" w:cs="宋体" w:eastAsia="宋体" w:hint="default"/>
                <w:sz w:val="21"/>
                <w:szCs w:val="21"/>
              </w:rPr>
            </w:pPr>
            <w:r>
              <w:rPr>
                <w:rFonts w:ascii="宋体" w:hAnsi="宋体" w:cs="宋体" w:eastAsia="宋体" w:hint="default"/>
                <w:spacing w:val="-2"/>
                <w:sz w:val="21"/>
                <w:szCs w:val="21"/>
              </w:rPr>
              <w:t>归属于本公司普通股股东的合并净利润（稀释）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spacing w:val="-1"/>
                <w:sz w:val="21"/>
              </w:rPr>
              <w:t>578,631,983.99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506,533,839.64</w:t>
            </w:r>
          </w:p>
        </w:tc>
      </w:tr>
      <w:tr>
        <w:trPr>
          <w:trHeight w:val="464"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 （稀释）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622,697,755.00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622,697,755.00</w:t>
            </w:r>
          </w:p>
        </w:tc>
      </w:tr>
      <w:tr>
        <w:trPr>
          <w:trHeight w:val="464"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spacing w:val="-1"/>
                <w:sz w:val="21"/>
              </w:rPr>
              <w:t>0.93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pacing w:val="-1"/>
                <w:sz w:val="21"/>
              </w:rPr>
              <w:t>0.81</w:t>
            </w:r>
          </w:p>
        </w:tc>
      </w:tr>
    </w:tbl>
    <w:p>
      <w:pPr>
        <w:spacing w:line="240" w:lineRule="auto" w:before="0"/>
        <w:rPr>
          <w:rFonts w:ascii="宋体" w:hAnsi="宋体" w:cs="宋体" w:eastAsia="宋体" w:hint="default"/>
          <w:sz w:val="29"/>
          <w:szCs w:val="29"/>
        </w:rPr>
      </w:pPr>
    </w:p>
    <w:p>
      <w:pPr>
        <w:spacing w:before="35"/>
        <w:ind w:left="871"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普通股的加权平均数（稀释）计算过程如下：</w:t>
      </w:r>
    </w:p>
    <w:p>
      <w:pPr>
        <w:spacing w:line="240" w:lineRule="auto" w:before="12"/>
        <w:rPr>
          <w:rFonts w:ascii="宋体" w:hAnsi="宋体" w:cs="宋体" w:eastAsia="宋体" w:hint="default"/>
          <w:sz w:val="6"/>
          <w:szCs w:val="6"/>
        </w:rPr>
      </w:pPr>
    </w:p>
    <w:tbl>
      <w:tblPr>
        <w:tblW w:w="0" w:type="auto"/>
        <w:jc w:val="left"/>
        <w:tblInd w:w="758" w:type="dxa"/>
        <w:tblLayout w:type="fixed"/>
        <w:tblCellMar>
          <w:top w:w="0" w:type="dxa"/>
          <w:left w:w="0" w:type="dxa"/>
          <w:bottom w:w="0" w:type="dxa"/>
          <w:right w:w="0" w:type="dxa"/>
        </w:tblCellMar>
        <w:tblLook w:val="01E0"/>
      </w:tblPr>
      <w:tblGrid>
        <w:gridCol w:w="4494"/>
        <w:gridCol w:w="1842"/>
        <w:gridCol w:w="1843"/>
      </w:tblGrid>
      <w:tr>
        <w:trPr>
          <w:trHeight w:val="440" w:hRule="exact"/>
        </w:trPr>
        <w:tc>
          <w:tcPr>
            <w:tcW w:w="4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4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3"/>
              <w:ind w:left="49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79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4"/>
              <w:ind w:left="103" w:right="100"/>
              <w:jc w:val="left"/>
              <w:rPr>
                <w:rFonts w:ascii="宋体" w:hAnsi="宋体" w:cs="宋体" w:eastAsia="宋体" w:hint="default"/>
                <w:sz w:val="21"/>
                <w:szCs w:val="21"/>
              </w:rPr>
            </w:pPr>
            <w:r>
              <w:rPr>
                <w:rFonts w:ascii="宋体" w:hAnsi="宋体" w:cs="宋体" w:eastAsia="宋体" w:hint="default"/>
                <w:spacing w:val="3"/>
                <w:sz w:val="21"/>
                <w:szCs w:val="21"/>
              </w:rPr>
              <w:t>计算基本每股收益时年末发行在外的普通股加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权平均数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622,697,755.00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7" w:right="0"/>
              <w:jc w:val="left"/>
              <w:rPr>
                <w:rFonts w:ascii="Times New Roman" w:hAnsi="Times New Roman" w:cs="Times New Roman" w:eastAsia="Times New Roman" w:hint="default"/>
                <w:sz w:val="21"/>
                <w:szCs w:val="21"/>
              </w:rPr>
            </w:pPr>
            <w:r>
              <w:rPr>
                <w:rFonts w:ascii="Times New Roman"/>
                <w:sz w:val="21"/>
              </w:rPr>
              <w:t>622,697,755.00</w:t>
            </w:r>
          </w:p>
        </w:tc>
      </w:tr>
      <w:tr>
        <w:trPr>
          <w:trHeight w:val="4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可转换债券的影响</w:t>
            </w:r>
            <w:r>
              <w:rPr>
                <w:rFonts w:ascii="Times New Roman" w:hAnsi="Times New Roman" w:cs="Times New Roman" w:eastAsia="Times New Roman"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股份期权的影响</w:t>
            </w:r>
            <w:r>
              <w:rPr>
                <w:rFonts w:ascii="Times New Roman" w:hAnsi="Times New Roman" w:cs="Times New Roman" w:eastAsia="Times New Roman"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758" w:type="dxa"/>
        <w:tblLayout w:type="fixed"/>
        <w:tblCellMar>
          <w:top w:w="0" w:type="dxa"/>
          <w:left w:w="0" w:type="dxa"/>
          <w:bottom w:w="0" w:type="dxa"/>
          <w:right w:w="0" w:type="dxa"/>
        </w:tblCellMar>
        <w:tblLook w:val="01E0"/>
      </w:tblPr>
      <w:tblGrid>
        <w:gridCol w:w="4494"/>
        <w:gridCol w:w="1842"/>
        <w:gridCol w:w="1843"/>
      </w:tblGrid>
      <w:tr>
        <w:trPr>
          <w:trHeight w:val="4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年末普通股的加权平均数（稀释）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7" w:right="0"/>
              <w:jc w:val="left"/>
              <w:rPr>
                <w:rFonts w:ascii="Times New Roman" w:hAnsi="Times New Roman" w:cs="Times New Roman" w:eastAsia="Times New Roman" w:hint="default"/>
                <w:sz w:val="21"/>
                <w:szCs w:val="21"/>
              </w:rPr>
            </w:pPr>
            <w:r>
              <w:rPr>
                <w:rFonts w:ascii="Times New Roman"/>
                <w:sz w:val="21"/>
              </w:rPr>
              <w:t>622,697,755.00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7" w:right="0"/>
              <w:jc w:val="left"/>
              <w:rPr>
                <w:rFonts w:ascii="Times New Roman" w:hAnsi="Times New Roman" w:cs="Times New Roman" w:eastAsia="Times New Roman" w:hint="default"/>
                <w:sz w:val="21"/>
                <w:szCs w:val="21"/>
              </w:rPr>
            </w:pPr>
            <w:r>
              <w:rPr>
                <w:rFonts w:ascii="Times New Roman"/>
                <w:sz w:val="21"/>
              </w:rPr>
              <w:t>622,697,755.00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789"/>
        <w:gridCol w:w="1997"/>
        <w:gridCol w:w="1770"/>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-2,496,227.86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-8,762,091.89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-2,496,227.86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-8,762,091.89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按照权益法核算的在被投资单位其他综合收益中所享有的份额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firstLine="27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减：按照权益法核算的在被投资单位其他综合收益中所享有的份额产 生的所得税影响</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转为被套期项目初始确认金额的调整</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-297,387.23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-312,887.20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-297,387.23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-312,887.20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997" w:type="dxa"/>
            <w:tcBorders>
              <w:top w:val="single" w:sz="4" w:space="0" w:color="000000"/>
              <w:left w:val="single" w:sz="13" w:space="0" w:color="D3D3D3"/>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-2,793,615.09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-9,074,979.09</w:t>
            </w:r>
          </w:p>
        </w:tc>
      </w:tr>
    </w:tbl>
    <w:p>
      <w:pPr>
        <w:spacing w:before="65"/>
        <w:ind w:left="154" w:right="0" w:firstLine="0"/>
        <w:jc w:val="left"/>
        <w:rPr>
          <w:rFonts w:ascii="宋体" w:hAnsi="宋体" w:cs="宋体" w:eastAsia="宋体" w:hint="default"/>
          <w:sz w:val="21"/>
          <w:szCs w:val="21"/>
        </w:rPr>
      </w:pPr>
      <w:r>
        <w:rPr>
          <w:rFonts w:ascii="宋体" w:hAnsi="宋体" w:cs="宋体" w:eastAsia="宋体" w:hint="default"/>
          <w:sz w:val="21"/>
          <w:szCs w:val="21"/>
        </w:rPr>
        <w:t>其他综合收益说明：</w:t>
      </w:r>
    </w:p>
    <w:p>
      <w:pPr>
        <w:spacing w:line="340" w:lineRule="auto" w:before="154"/>
        <w:ind w:left="153" w:right="145" w:firstLine="42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5"/>
          <w:sz w:val="21"/>
          <w:szCs w:val="21"/>
        </w:rPr>
        <w:t> </w:t>
      </w:r>
      <w:r>
        <w:rPr>
          <w:rFonts w:ascii="宋体" w:hAnsi="宋体" w:cs="宋体" w:eastAsia="宋体" w:hint="default"/>
          <w:sz w:val="21"/>
          <w:szCs w:val="21"/>
        </w:rPr>
        <w:t>子</w:t>
      </w:r>
      <w:r>
        <w:rPr>
          <w:rFonts w:ascii="宋体" w:hAnsi="宋体" w:cs="宋体" w:eastAsia="宋体" w:hint="default"/>
          <w:spacing w:val="-75"/>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GRG</w:t>
      </w:r>
      <w:r>
        <w:rPr>
          <w:rFonts w:ascii="宋体" w:hAnsi="宋体" w:cs="宋体" w:eastAsia="宋体" w:hint="default"/>
          <w:spacing w:val="28"/>
          <w:sz w:val="21"/>
          <w:szCs w:val="21"/>
        </w:rPr>
        <w:t> </w:t>
      </w:r>
      <w:r>
        <w:rPr>
          <w:rFonts w:ascii="宋体" w:hAnsi="宋体" w:cs="宋体" w:eastAsia="宋体" w:hint="default"/>
          <w:sz w:val="21"/>
          <w:szCs w:val="21"/>
        </w:rPr>
        <w:t>Banking</w:t>
      </w:r>
      <w:r>
        <w:rPr>
          <w:rFonts w:ascii="宋体" w:hAnsi="宋体" w:cs="宋体" w:eastAsia="宋体" w:hint="default"/>
          <w:spacing w:val="29"/>
          <w:sz w:val="21"/>
          <w:szCs w:val="21"/>
        </w:rPr>
        <w:t> </w:t>
      </w:r>
      <w:r>
        <w:rPr>
          <w:rFonts w:ascii="宋体" w:hAnsi="宋体" w:cs="宋体" w:eastAsia="宋体" w:hint="default"/>
          <w:sz w:val="21"/>
          <w:szCs w:val="21"/>
        </w:rPr>
        <w:t>Equipment</w:t>
      </w:r>
      <w:r>
        <w:rPr>
          <w:rFonts w:ascii="宋体" w:hAnsi="宋体" w:cs="宋体" w:eastAsia="宋体" w:hint="default"/>
          <w:spacing w:val="29"/>
          <w:sz w:val="21"/>
          <w:szCs w:val="21"/>
        </w:rPr>
        <w:t> </w:t>
      </w:r>
      <w:r>
        <w:rPr>
          <w:rFonts w:ascii="宋体" w:hAnsi="宋体" w:cs="宋体" w:eastAsia="宋体" w:hint="default"/>
          <w:sz w:val="21"/>
          <w:szCs w:val="21"/>
        </w:rPr>
        <w:t>(HK)</w:t>
      </w:r>
      <w:r>
        <w:rPr>
          <w:rFonts w:ascii="宋体" w:hAnsi="宋体" w:cs="宋体" w:eastAsia="宋体" w:hint="default"/>
          <w:spacing w:val="29"/>
          <w:sz w:val="21"/>
          <w:szCs w:val="21"/>
        </w:rPr>
        <w:t> </w:t>
      </w:r>
      <w:r>
        <w:rPr>
          <w:rFonts w:ascii="宋体" w:hAnsi="宋体" w:cs="宋体" w:eastAsia="宋体" w:hint="default"/>
          <w:sz w:val="21"/>
          <w:szCs w:val="21"/>
        </w:rPr>
        <w:t>Co.,Limited</w:t>
      </w:r>
      <w:r>
        <w:rPr>
          <w:rFonts w:ascii="宋体" w:hAnsi="宋体" w:cs="宋体" w:eastAsia="宋体" w:hint="default"/>
          <w:spacing w:val="28"/>
          <w:sz w:val="21"/>
          <w:szCs w:val="21"/>
        </w:rPr>
        <w:t> </w:t>
      </w:r>
      <w:r>
        <w:rPr>
          <w:rFonts w:ascii="宋体" w:hAnsi="宋体" w:cs="宋体" w:eastAsia="宋体" w:hint="default"/>
          <w:sz w:val="21"/>
          <w:szCs w:val="21"/>
        </w:rPr>
        <w:t>在</w:t>
      </w:r>
      <w:r>
        <w:rPr>
          <w:rFonts w:ascii="宋体" w:hAnsi="宋体" w:cs="宋体" w:eastAsia="宋体" w:hint="default"/>
          <w:spacing w:val="-74"/>
          <w:sz w:val="21"/>
          <w:szCs w:val="21"/>
        </w:rPr>
        <w:t> </w:t>
      </w: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末</w:t>
      </w:r>
      <w:r>
        <w:rPr>
          <w:rFonts w:ascii="宋体" w:hAnsi="宋体" w:cs="宋体" w:eastAsia="宋体" w:hint="default"/>
          <w:spacing w:val="-75"/>
          <w:sz w:val="21"/>
          <w:szCs w:val="21"/>
        </w:rPr>
        <w:t> </w:t>
      </w:r>
      <w:r>
        <w:rPr>
          <w:rFonts w:ascii="宋体" w:hAnsi="宋体" w:cs="宋体" w:eastAsia="宋体" w:hint="default"/>
          <w:sz w:val="21"/>
          <w:szCs w:val="21"/>
        </w:rPr>
        <w:t>持</w:t>
      </w:r>
      <w:r>
        <w:rPr>
          <w:rFonts w:ascii="宋体" w:hAnsi="宋体" w:cs="宋体" w:eastAsia="宋体" w:hint="default"/>
          <w:spacing w:val="-75"/>
          <w:sz w:val="21"/>
          <w:szCs w:val="21"/>
        </w:rPr>
        <w:t> </w:t>
      </w:r>
      <w:r>
        <w:rPr>
          <w:rFonts w:ascii="宋体" w:hAnsi="宋体" w:cs="宋体" w:eastAsia="宋体" w:hint="default"/>
          <w:sz w:val="21"/>
          <w:szCs w:val="21"/>
        </w:rPr>
        <w:t>有</w:t>
      </w:r>
      <w:r>
        <w:rPr>
          <w:rFonts w:ascii="宋体" w:hAnsi="宋体" w:cs="宋体" w:eastAsia="宋体" w:hint="default"/>
          <w:spacing w:val="-74"/>
          <w:sz w:val="21"/>
          <w:szCs w:val="21"/>
        </w:rPr>
        <w:t> </w:t>
      </w:r>
      <w:r>
        <w:rPr>
          <w:rFonts w:ascii="宋体" w:hAnsi="宋体" w:cs="宋体" w:eastAsia="宋体" w:hint="default"/>
          <w:sz w:val="21"/>
          <w:szCs w:val="21"/>
        </w:rPr>
        <w:t>GRG</w:t>
      </w:r>
      <w:r>
        <w:rPr>
          <w:rFonts w:ascii="宋体" w:hAnsi="宋体" w:cs="宋体" w:eastAsia="宋体" w:hint="default"/>
          <w:spacing w:val="29"/>
          <w:sz w:val="21"/>
          <w:szCs w:val="21"/>
        </w:rPr>
        <w:t> </w:t>
      </w:r>
      <w:r>
        <w:rPr>
          <w:rFonts w:ascii="宋体" w:hAnsi="宋体" w:cs="宋体" w:eastAsia="宋体" w:hint="default"/>
          <w:sz w:val="21"/>
          <w:szCs w:val="21"/>
        </w:rPr>
        <w:t>INTERNATIONAL</w:t>
      </w:r>
      <w:r>
        <w:rPr>
          <w:rFonts w:ascii="宋体" w:hAnsi="宋体" w:cs="宋体" w:eastAsia="宋体" w:hint="default"/>
          <w:sz w:val="21"/>
          <w:szCs w:val="21"/>
        </w:rPr>
        <w:t> LTD(GRGI) 股份10,097,282.00股，购买成本为1,340, 500.40</w:t>
      </w:r>
      <w:r>
        <w:rPr>
          <w:rFonts w:ascii="宋体" w:hAnsi="宋体" w:cs="宋体" w:eastAsia="宋体" w:hint="default"/>
          <w:spacing w:val="-34"/>
          <w:sz w:val="21"/>
          <w:szCs w:val="21"/>
        </w:rPr>
        <w:t> </w:t>
      </w:r>
      <w:r>
        <w:rPr>
          <w:rFonts w:ascii="宋体" w:hAnsi="宋体" w:cs="宋体" w:eastAsia="宋体" w:hint="default"/>
          <w:sz w:val="21"/>
          <w:szCs w:val="21"/>
        </w:rPr>
        <w:t>AUD，折合为人民币8,615,098.78元。2012</w:t>
      </w:r>
    </w:p>
    <w:p>
      <w:pPr>
        <w:spacing w:line="340" w:lineRule="auto" w:before="27"/>
        <w:ind w:left="153" w:right="15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pacing w:val="9"/>
          <w:sz w:val="21"/>
          <w:szCs w:val="21"/>
        </w:rPr>
        <w:t>12月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pacing w:val="21"/>
          <w:sz w:val="21"/>
          <w:szCs w:val="21"/>
        </w:rPr>
        <w:t>日该公司</w:t>
      </w:r>
      <w:r>
        <w:rPr>
          <w:rFonts w:ascii="宋体" w:hAnsi="宋体" w:cs="宋体" w:eastAsia="宋体" w:hint="default"/>
          <w:spacing w:val="-76"/>
          <w:sz w:val="21"/>
          <w:szCs w:val="21"/>
        </w:rPr>
        <w:t> </w:t>
      </w:r>
      <w:r>
        <w:rPr>
          <w:rFonts w:ascii="宋体" w:hAnsi="宋体" w:cs="宋体" w:eastAsia="宋体" w:hint="default"/>
          <w:spacing w:val="14"/>
          <w:sz w:val="21"/>
          <w:szCs w:val="21"/>
        </w:rPr>
        <w:t>股票</w:t>
      </w:r>
      <w:r>
        <w:rPr>
          <w:rFonts w:ascii="宋体" w:hAnsi="宋体" w:cs="宋体" w:eastAsia="宋体" w:hint="default"/>
          <w:spacing w:val="-76"/>
          <w:sz w:val="21"/>
          <w:szCs w:val="21"/>
        </w:rPr>
        <w:t> </w:t>
      </w:r>
      <w:r>
        <w:rPr>
          <w:rFonts w:ascii="宋体" w:hAnsi="宋体" w:cs="宋体" w:eastAsia="宋体" w:hint="default"/>
          <w:spacing w:val="18"/>
          <w:sz w:val="21"/>
          <w:szCs w:val="21"/>
        </w:rPr>
        <w:t>收市价</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7"/>
          <w:sz w:val="21"/>
          <w:szCs w:val="21"/>
        </w:rPr>
        <w:t> </w:t>
      </w:r>
      <w:r>
        <w:rPr>
          <w:rFonts w:ascii="宋体" w:hAnsi="宋体" w:cs="宋体" w:eastAsia="宋体" w:hint="default"/>
          <w:sz w:val="21"/>
          <w:szCs w:val="21"/>
        </w:rPr>
        <w:t>0.099AUD,</w:t>
      </w:r>
      <w:r>
        <w:rPr>
          <w:rFonts w:ascii="宋体" w:hAnsi="宋体" w:cs="宋体" w:eastAsia="宋体" w:hint="default"/>
          <w:spacing w:val="29"/>
          <w:sz w:val="21"/>
          <w:szCs w:val="21"/>
        </w:rPr>
        <w:t> </w:t>
      </w: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2012</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31</w:t>
      </w:r>
      <w:r>
        <w:rPr>
          <w:rFonts w:ascii="宋体" w:hAnsi="宋体" w:cs="宋体" w:eastAsia="宋体" w:hint="default"/>
          <w:spacing w:val="-77"/>
          <w:sz w:val="21"/>
          <w:szCs w:val="21"/>
        </w:rPr>
        <w:t> </w:t>
      </w:r>
      <w:r>
        <w:rPr>
          <w:rFonts w:ascii="宋体" w:hAnsi="宋体" w:cs="宋体" w:eastAsia="宋体" w:hint="default"/>
          <w:sz w:val="21"/>
          <w:szCs w:val="21"/>
        </w:rPr>
        <w:t>日</w:t>
      </w:r>
      <w:r>
        <w:rPr>
          <w:rFonts w:ascii="宋体" w:hAnsi="宋体" w:cs="宋体" w:eastAsia="宋体" w:hint="default"/>
          <w:spacing w:val="-78"/>
          <w:sz w:val="21"/>
          <w:szCs w:val="21"/>
        </w:rPr>
        <w:t> </w:t>
      </w:r>
      <w:r>
        <w:rPr>
          <w:rFonts w:ascii="宋体" w:hAnsi="宋体" w:cs="宋体" w:eastAsia="宋体" w:hint="default"/>
          <w:sz w:val="21"/>
          <w:szCs w:val="21"/>
        </w:rPr>
        <w:t>汇</w:t>
      </w:r>
      <w:r>
        <w:rPr>
          <w:rFonts w:ascii="宋体" w:hAnsi="宋体" w:cs="宋体" w:eastAsia="宋体" w:hint="default"/>
          <w:spacing w:val="-78"/>
          <w:sz w:val="21"/>
          <w:szCs w:val="21"/>
        </w:rPr>
        <w:t> </w:t>
      </w:r>
      <w:r>
        <w:rPr>
          <w:rFonts w:ascii="宋体" w:hAnsi="宋体" w:cs="宋体" w:eastAsia="宋体" w:hint="default"/>
          <w:sz w:val="21"/>
          <w:szCs w:val="21"/>
        </w:rPr>
        <w:t>率</w:t>
      </w:r>
      <w:r>
        <w:rPr>
          <w:rFonts w:ascii="宋体" w:hAnsi="宋体" w:cs="宋体" w:eastAsia="宋体" w:hint="default"/>
          <w:spacing w:val="-76"/>
          <w:sz w:val="21"/>
          <w:szCs w:val="21"/>
        </w:rPr>
        <w:t> </w:t>
      </w:r>
      <w:r>
        <w:rPr>
          <w:rFonts w:ascii="宋体" w:hAnsi="宋体" w:cs="宋体" w:eastAsia="宋体" w:hint="default"/>
          <w:sz w:val="21"/>
          <w:szCs w:val="21"/>
        </w:rPr>
        <w:t>折</w:t>
      </w:r>
      <w:r>
        <w:rPr>
          <w:rFonts w:ascii="宋体" w:hAnsi="宋体" w:cs="宋体" w:eastAsia="宋体" w:hint="default"/>
          <w:spacing w:val="-76"/>
          <w:sz w:val="21"/>
          <w:szCs w:val="21"/>
        </w:rPr>
        <w:t> </w:t>
      </w:r>
      <w:r>
        <w:rPr>
          <w:rFonts w:ascii="宋体" w:hAnsi="宋体" w:cs="宋体" w:eastAsia="宋体" w:hint="default"/>
          <w:sz w:val="21"/>
          <w:szCs w:val="21"/>
        </w:rPr>
        <w:t>算</w:t>
      </w:r>
      <w:r>
        <w:rPr>
          <w:rFonts w:ascii="宋体" w:hAnsi="宋体" w:cs="宋体" w:eastAsia="宋体" w:hint="default"/>
          <w:spacing w:val="-78"/>
          <w:sz w:val="21"/>
          <w:szCs w:val="21"/>
        </w:rPr>
        <w:t> </w:t>
      </w:r>
      <w:r>
        <w:rPr>
          <w:rFonts w:ascii="宋体" w:hAnsi="宋体" w:cs="宋体" w:eastAsia="宋体" w:hint="default"/>
          <w:sz w:val="21"/>
          <w:szCs w:val="21"/>
        </w:rPr>
        <w:t>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末</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5"/>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pacing w:val="8"/>
          <w:sz w:val="21"/>
          <w:szCs w:val="21"/>
        </w:rPr>
        <w:t>6,564,083.46元，累计公允价值增加-2,051,015.32元转入资本公积，其中：前期累计公允价值增加</w:t>
      </w:r>
    </w:p>
    <w:p>
      <w:pPr>
        <w:spacing w:before="27"/>
        <w:ind w:left="153" w:right="0" w:firstLine="0"/>
        <w:jc w:val="left"/>
        <w:rPr>
          <w:rFonts w:ascii="宋体" w:hAnsi="宋体" w:cs="宋体" w:eastAsia="宋体" w:hint="default"/>
          <w:sz w:val="21"/>
          <w:szCs w:val="21"/>
        </w:rPr>
      </w:pPr>
      <w:r>
        <w:rPr>
          <w:rFonts w:ascii="宋体" w:hAnsi="宋体" w:cs="宋体" w:eastAsia="宋体" w:hint="default"/>
          <w:sz w:val="21"/>
          <w:szCs w:val="21"/>
        </w:rPr>
        <w:t>445,212.54元，本期公允价值增加-2,496,227.86元计入其他综合收益。</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32,977,419.87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13,780,598.66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10,918,727.02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31,849,055.64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89,525,801.19</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182,985,855.04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72,733,155.56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退押金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45,986,926.15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302,038,936.75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581,348,296.58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507,442,933.40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-1,252,368.99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5,970,518.47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30,942,014.75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29,348,806.00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833,979.21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743,767.75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1,054,760.23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336,807.19</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465,475.26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993,788.87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61,974.62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-516,240.70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8,444,402.74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361"/>
        <w:gridCol w:w="2539"/>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8,282,242.98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-9,424,240.62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-6,259,570.85</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-120,996,385.37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-249,534,004.68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159,118,859.54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130,575,011.89</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207,042,854.87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69,526,143.43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856,899,247.74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498,188,459.43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2,003,540,034.34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1,216,223,438.77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1,216,223,438.77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998,997,804.01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787,316,595.57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217,225,634.76</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2,003,540,034.34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1,216,223,438.77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252,262.09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270,398.60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2,003,287,772.25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1,215,953,040.17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6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6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36" w:type="dxa"/>
            <w:tcBorders>
              <w:top w:val="single" w:sz="4" w:space="0" w:color="000000"/>
              <w:left w:val="single" w:sz="10"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2,003,540,034.34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1,216,223,438.77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八、关联方及关联交易</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8"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5"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广州无线 电集团有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国有独资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广州市天 河黄埔大 道西平云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广州市国 资委</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23121622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405"/>
        <w:gridCol w:w="1078"/>
        <w:gridCol w:w="606"/>
        <w:gridCol w:w="720"/>
        <w:gridCol w:w="900"/>
        <w:gridCol w:w="1080"/>
        <w:gridCol w:w="1260"/>
        <w:gridCol w:w="720"/>
        <w:gridCol w:w="720"/>
        <w:gridCol w:w="1080"/>
      </w:tblGrid>
      <w:tr>
        <w:trPr>
          <w:trHeight w:val="714" w:hRule="exact"/>
        </w:trPr>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9" w:right="8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 w:right="38"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9"/>
              <w:jc w:val="both"/>
              <w:rPr>
                <w:rFonts w:ascii="宋体" w:hAnsi="宋体" w:cs="宋体" w:eastAsia="宋体" w:hint="default"/>
                <w:sz w:val="18"/>
                <w:szCs w:val="18"/>
              </w:rPr>
            </w:pPr>
            <w:r>
              <w:rPr>
                <w:rFonts w:ascii="宋体" w:hAnsi="宋体" w:cs="宋体" w:eastAsia="宋体" w:hint="default"/>
                <w:sz w:val="18"/>
                <w:szCs w:val="18"/>
              </w:rPr>
              <w:t>深圳广电银通金 融电子科技有限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服务营 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755664630</w:t>
            </w:r>
          </w:p>
        </w:tc>
      </w:tr>
      <w:tr>
        <w:trPr>
          <w:trHeight w:val="714"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9"/>
              <w:jc w:val="left"/>
              <w:rPr>
                <w:rFonts w:ascii="宋体" w:hAnsi="宋体" w:cs="宋体" w:eastAsia="宋体" w:hint="default"/>
                <w:sz w:val="18"/>
                <w:szCs w:val="18"/>
              </w:rPr>
            </w:pPr>
            <w:r>
              <w:rPr>
                <w:rFonts w:ascii="宋体" w:hAnsi="宋体" w:cs="宋体" w:eastAsia="宋体" w:hint="default"/>
                <w:sz w:val="18"/>
                <w:szCs w:val="18"/>
              </w:rPr>
              <w:t>广州穗通金融服 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清分处 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683277112</w:t>
            </w:r>
          </w:p>
        </w:tc>
      </w:tr>
      <w:tr>
        <w:trPr>
          <w:trHeight w:val="1026"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3"/>
              <w:jc w:val="left"/>
              <w:rPr>
                <w:rFonts w:ascii="Times New Roman" w:hAnsi="Times New Roman" w:cs="Times New Roman" w:eastAsia="Times New Roman" w:hint="default"/>
                <w:sz w:val="18"/>
                <w:szCs w:val="18"/>
              </w:rPr>
            </w:pPr>
            <w:r>
              <w:rPr>
                <w:rFonts w:ascii="Times New Roman"/>
                <w:sz w:val="18"/>
              </w:rPr>
              <w:t>GRG</w:t>
            </w:r>
            <w:r>
              <w:rPr>
                <w:rFonts w:ascii="Times New Roman"/>
                <w:spacing w:val="-2"/>
                <w:sz w:val="18"/>
              </w:rPr>
              <w:t> </w:t>
            </w:r>
            <w:r>
              <w:rPr>
                <w:rFonts w:ascii="Times New Roman"/>
                <w:sz w:val="18"/>
              </w:rPr>
              <w:t>Banking</w:t>
            </w:r>
            <w:r>
              <w:rPr>
                <w:rFonts w:ascii="Times New Roman"/>
                <w:spacing w:val="-1"/>
                <w:sz w:val="18"/>
              </w:rPr>
              <w:t> </w:t>
            </w:r>
            <w:r>
              <w:rPr>
                <w:rFonts w:ascii="Times New Roman"/>
                <w:sz w:val="18"/>
              </w:rPr>
              <w:t>Equipment (HK)</w:t>
            </w:r>
            <w:r>
              <w:rPr>
                <w:rFonts w:ascii="Times New Roman"/>
                <w:sz w:val="18"/>
              </w:rPr>
              <w:t> Co.,Limited</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投资控股及</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9"/>
              <w:jc w:val="left"/>
              <w:rPr>
                <w:rFonts w:ascii="宋体" w:hAnsi="宋体" w:cs="宋体" w:eastAsia="宋体" w:hint="default"/>
                <w:sz w:val="18"/>
                <w:szCs w:val="18"/>
              </w:rPr>
            </w:pPr>
            <w:r>
              <w:rPr>
                <w:rFonts w:ascii="宋体" w:hAnsi="宋体" w:cs="宋体" w:eastAsia="宋体" w:hint="default"/>
                <w:sz w:val="18"/>
                <w:szCs w:val="18"/>
              </w:rPr>
              <w:t>广州支点创业投 资有限公司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57804513-3</w:t>
            </w:r>
          </w:p>
        </w:tc>
      </w:tr>
      <w:tr>
        <w:trPr>
          <w:trHeight w:val="714"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9"/>
              <w:jc w:val="left"/>
              <w:rPr>
                <w:rFonts w:ascii="宋体" w:hAnsi="宋体" w:cs="宋体" w:eastAsia="宋体" w:hint="default"/>
                <w:sz w:val="18"/>
                <w:szCs w:val="18"/>
              </w:rPr>
            </w:pPr>
            <w:r>
              <w:rPr>
                <w:rFonts w:ascii="宋体" w:hAnsi="宋体" w:cs="宋体" w:eastAsia="宋体" w:hint="default"/>
                <w:sz w:val="18"/>
                <w:szCs w:val="18"/>
              </w:rPr>
              <w:t>广州中智融通金 融科技有限公司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清分机 生产及销售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05890371-2</w:t>
            </w:r>
          </w:p>
        </w:tc>
      </w:tr>
      <w:tr>
        <w:trPr>
          <w:trHeight w:val="971"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4" w:right="109"/>
              <w:jc w:val="left"/>
              <w:rPr>
                <w:rFonts w:ascii="宋体" w:hAnsi="宋体" w:cs="宋体" w:eastAsia="宋体" w:hint="default"/>
                <w:sz w:val="18"/>
                <w:szCs w:val="18"/>
              </w:rPr>
            </w:pPr>
            <w:r>
              <w:rPr>
                <w:rFonts w:ascii="宋体" w:hAnsi="宋体" w:cs="宋体" w:eastAsia="宋体" w:hint="default"/>
                <w:sz w:val="18"/>
                <w:szCs w:val="18"/>
              </w:rPr>
              <w:t>深圳鹏通金融服 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1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子公司的控</w:t>
            </w:r>
            <w:r>
              <w:rPr>
                <w:rFonts w:ascii="宋体" w:hAnsi="宋体" w:cs="宋体" w:eastAsia="宋体" w:hint="default"/>
                <w:spacing w:val="-60"/>
                <w:sz w:val="18"/>
                <w:szCs w:val="18"/>
              </w:rPr>
              <w:t> </w:t>
            </w:r>
            <w:r>
              <w:rPr>
                <w:rFonts w:ascii="宋体" w:hAnsi="宋体" w:cs="宋体" w:eastAsia="宋体" w:hint="default"/>
                <w:sz w:val="18"/>
                <w:szCs w:val="18"/>
              </w:rPr>
              <w:t>股子公司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2"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清分处 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3,000,000.00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56572417-X</w:t>
            </w:r>
          </w:p>
        </w:tc>
      </w:tr>
      <w:tr>
        <w:trPr>
          <w:trHeight w:val="970"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4" w:right="109"/>
              <w:jc w:val="left"/>
              <w:rPr>
                <w:rFonts w:ascii="宋体" w:hAnsi="宋体" w:cs="宋体" w:eastAsia="宋体" w:hint="default"/>
                <w:sz w:val="18"/>
                <w:szCs w:val="18"/>
              </w:rPr>
            </w:pPr>
            <w:r>
              <w:rPr>
                <w:rFonts w:ascii="宋体" w:hAnsi="宋体" w:cs="宋体" w:eastAsia="宋体" w:hint="default"/>
                <w:sz w:val="18"/>
                <w:szCs w:val="18"/>
              </w:rPr>
              <w:t>江苏保通金融外 包服务有限公司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1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子公司的控</w:t>
            </w:r>
            <w:r>
              <w:rPr>
                <w:rFonts w:ascii="宋体" w:hAnsi="宋体" w:cs="宋体" w:eastAsia="宋体" w:hint="default"/>
                <w:spacing w:val="-60"/>
                <w:sz w:val="18"/>
                <w:szCs w:val="18"/>
              </w:rPr>
              <w:t> </w:t>
            </w:r>
            <w:r>
              <w:rPr>
                <w:rFonts w:ascii="宋体" w:hAnsi="宋体" w:cs="宋体" w:eastAsia="宋体" w:hint="default"/>
                <w:sz w:val="18"/>
                <w:szCs w:val="18"/>
              </w:rPr>
              <w:t>股子公司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清分处 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56294967-2</w:t>
            </w:r>
          </w:p>
        </w:tc>
      </w:tr>
      <w:tr>
        <w:trPr>
          <w:trHeight w:val="970"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4" w:right="109"/>
              <w:jc w:val="left"/>
              <w:rPr>
                <w:rFonts w:ascii="宋体" w:hAnsi="宋体" w:cs="宋体" w:eastAsia="宋体" w:hint="default"/>
                <w:sz w:val="18"/>
                <w:szCs w:val="18"/>
              </w:rPr>
            </w:pPr>
            <w:r>
              <w:rPr>
                <w:rFonts w:ascii="宋体" w:hAnsi="宋体" w:cs="宋体" w:eastAsia="宋体" w:hint="default"/>
                <w:sz w:val="18"/>
                <w:szCs w:val="18"/>
              </w:rPr>
              <w:t>石家庄银通金融 服务有限公司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1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子公司的控</w:t>
            </w:r>
            <w:r>
              <w:rPr>
                <w:rFonts w:ascii="宋体" w:hAnsi="宋体" w:cs="宋体" w:eastAsia="宋体" w:hint="default"/>
                <w:spacing w:val="-60"/>
                <w:sz w:val="18"/>
                <w:szCs w:val="18"/>
              </w:rPr>
              <w:t> </w:t>
            </w:r>
            <w:r>
              <w:rPr>
                <w:rFonts w:ascii="宋体" w:hAnsi="宋体" w:cs="宋体" w:eastAsia="宋体" w:hint="default"/>
                <w:sz w:val="18"/>
                <w:szCs w:val="18"/>
              </w:rPr>
              <w:t>股子公司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清分处 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10,000,000.00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57280040-9</w:t>
            </w:r>
          </w:p>
        </w:tc>
      </w:tr>
      <w:tr>
        <w:trPr>
          <w:trHeight w:val="491"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5"/>
              <w:jc w:val="center"/>
              <w:rPr>
                <w:rFonts w:ascii="宋体" w:hAnsi="宋体" w:cs="宋体" w:eastAsia="宋体" w:hint="default"/>
                <w:sz w:val="18"/>
                <w:szCs w:val="18"/>
              </w:rPr>
            </w:pPr>
            <w:r>
              <w:rPr>
                <w:rFonts w:ascii="宋体" w:hAnsi="宋体" w:cs="宋体" w:eastAsia="宋体" w:hint="default"/>
                <w:sz w:val="18"/>
                <w:szCs w:val="18"/>
              </w:rPr>
              <w:t>广州广电银通金</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58762288-7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405"/>
        <w:gridCol w:w="1078"/>
        <w:gridCol w:w="606"/>
        <w:gridCol w:w="720"/>
        <w:gridCol w:w="900"/>
        <w:gridCol w:w="1080"/>
        <w:gridCol w:w="1260"/>
        <w:gridCol w:w="720"/>
        <w:gridCol w:w="720"/>
        <w:gridCol w:w="1080"/>
      </w:tblGrid>
      <w:tr>
        <w:trPr>
          <w:trHeight w:val="674"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9"/>
              <w:jc w:val="left"/>
              <w:rPr>
                <w:rFonts w:ascii="宋体" w:hAnsi="宋体" w:cs="宋体" w:eastAsia="宋体" w:hint="default"/>
                <w:sz w:val="18"/>
                <w:szCs w:val="18"/>
              </w:rPr>
            </w:pPr>
            <w:r>
              <w:rPr>
                <w:rFonts w:ascii="宋体" w:hAnsi="宋体" w:cs="宋体" w:eastAsia="宋体" w:hint="default"/>
                <w:sz w:val="18"/>
                <w:szCs w:val="18"/>
              </w:rPr>
              <w:t>融电子科技有限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任公司</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05"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一人有</w:t>
            </w: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40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9"/>
              <w:jc w:val="both"/>
              <w:rPr>
                <w:rFonts w:ascii="宋体" w:hAnsi="宋体" w:cs="宋体" w:eastAsia="宋体" w:hint="default"/>
                <w:sz w:val="18"/>
                <w:szCs w:val="18"/>
              </w:rPr>
            </w:pPr>
            <w:r>
              <w:rPr>
                <w:rFonts w:ascii="宋体" w:hAnsi="宋体" w:cs="宋体" w:eastAsia="宋体" w:hint="default"/>
                <w:sz w:val="18"/>
                <w:szCs w:val="18"/>
              </w:rPr>
              <w:t>上海欣辰通金融 电子科技有限公 司</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440" w:lineRule="exact" w:before="6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限责任 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法人</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服务及 清分</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10,000,000.00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59167575-2</w:t>
            </w:r>
          </w:p>
        </w:tc>
      </w:tr>
      <w:tr>
        <w:trPr>
          <w:trHeight w:val="351" w:hRule="exact"/>
        </w:trPr>
        <w:tc>
          <w:tcPr>
            <w:tcW w:w="1405"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28"/>
              <w:jc w:val="center"/>
              <w:rPr>
                <w:rFonts w:ascii="Times New Roman" w:hAnsi="Times New Roman" w:cs="Times New Roman" w:eastAsia="Times New Roman" w:hint="default"/>
                <w:sz w:val="18"/>
                <w:szCs w:val="18"/>
              </w:rPr>
            </w:pPr>
            <w:r>
              <w:rPr>
                <w:rFonts w:ascii="宋体" w:hAnsi="宋体" w:cs="宋体" w:eastAsia="宋体" w:hint="default"/>
                <w:sz w:val="18"/>
                <w:szCs w:val="18"/>
              </w:rPr>
              <w:t>独资</w:t>
            </w:r>
            <w:r>
              <w:rPr>
                <w:rFonts w:ascii="Times New Roman" w:hAnsi="Times New Roman" w:cs="Times New Roman" w:eastAsia="Times New Roman" w:hint="default"/>
                <w:sz w:val="18"/>
                <w:szCs w:val="18"/>
              </w:rPr>
              <w:t>)</w:t>
            </w: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970"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62" w:lineRule="auto"/>
              <w:ind w:left="24" w:right="125"/>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Hongkong</w:t>
            </w:r>
            <w:r>
              <w:rPr>
                <w:rFonts w:ascii="Times New Roman"/>
                <w:spacing w:val="-1"/>
                <w:sz w:val="18"/>
              </w:rPr>
              <w:t> </w:t>
            </w:r>
            <w:r>
              <w:rPr>
                <w:rFonts w:ascii="Times New Roman"/>
                <w:sz w:val="18"/>
              </w:rPr>
              <w:t>Mexico, S.A.</w:t>
            </w:r>
            <w:r>
              <w:rPr>
                <w:rFonts w:ascii="Times New Roman"/>
                <w:spacing w:val="-10"/>
                <w:sz w:val="18"/>
              </w:rPr>
              <w:t> </w:t>
            </w:r>
            <w:r>
              <w:rPr>
                <w:rFonts w:ascii="Times New Roman"/>
                <w:sz w:val="18"/>
              </w:rPr>
              <w:t>DE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1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62" w:lineRule="auto"/>
              <w:ind w:left="22" w:right="275"/>
              <w:jc w:val="left"/>
              <w:rPr>
                <w:rFonts w:ascii="Times New Roman" w:hAnsi="Times New Roman" w:cs="Times New Roman" w:eastAsia="Times New Roman" w:hint="default"/>
                <w:sz w:val="18"/>
                <w:szCs w:val="18"/>
              </w:rPr>
            </w:pPr>
            <w:r>
              <w:rPr>
                <w:rFonts w:ascii="Times New Roman"/>
                <w:sz w:val="18"/>
              </w:rPr>
              <w:t>Michael Gericks</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销售及 维修服务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比索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70"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62" w:lineRule="auto"/>
              <w:ind w:left="24" w:right="60"/>
              <w:jc w:val="left"/>
              <w:rPr>
                <w:rFonts w:ascii="Times New Roman" w:hAnsi="Times New Roman" w:cs="Times New Roman" w:eastAsia="Times New Roman" w:hint="default"/>
                <w:sz w:val="18"/>
                <w:szCs w:val="18"/>
              </w:rPr>
            </w:pPr>
            <w:r>
              <w:rPr>
                <w:rFonts w:ascii="Times New Roman"/>
                <w:sz w:val="18"/>
              </w:rPr>
              <w:t>Global </w:t>
            </w:r>
            <w:r>
              <w:rPr>
                <w:rFonts w:ascii="Times New Roman"/>
                <w:spacing w:val="-7"/>
                <w:sz w:val="18"/>
              </w:rPr>
              <w:t>ATM</w:t>
            </w:r>
            <w:r>
              <w:rPr>
                <w:rFonts w:ascii="Times New Roman"/>
                <w:spacing w:val="-17"/>
                <w:sz w:val="18"/>
              </w:rPr>
              <w:t> </w:t>
            </w:r>
            <w:r>
              <w:rPr>
                <w:rFonts w:ascii="Times New Roman"/>
                <w:sz w:val="18"/>
              </w:rPr>
              <w:t>Parts</w:t>
            </w:r>
            <w:r>
              <w:rPr>
                <w:rFonts w:ascii="Times New Roman"/>
                <w:spacing w:val="-1"/>
                <w:sz w:val="18"/>
              </w:rPr>
              <w:t> </w:t>
            </w:r>
            <w:r>
              <w:rPr>
                <w:rFonts w:ascii="Times New Roman"/>
                <w:sz w:val="18"/>
              </w:rPr>
              <w:t>Co.,Limited</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440" w:lineRule="atLeast" w:before="12"/>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备件服 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5" w:hRule="exact"/>
        </w:trPr>
        <w:tc>
          <w:tcPr>
            <w:tcW w:w="1405"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Eduardas</w:t>
            </w:r>
          </w:p>
        </w:tc>
        <w:tc>
          <w:tcPr>
            <w:tcW w:w="108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938" w:hRule="exact"/>
        </w:trPr>
        <w:tc>
          <w:tcPr>
            <w:tcW w:w="1405"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4" w:right="183"/>
              <w:jc w:val="left"/>
              <w:rPr>
                <w:rFonts w:ascii="Times New Roman" w:hAnsi="Times New Roman" w:cs="Times New Roman" w:eastAsia="Times New Roman" w:hint="default"/>
                <w:sz w:val="18"/>
                <w:szCs w:val="18"/>
              </w:rPr>
            </w:pPr>
            <w:r>
              <w:rPr>
                <w:rFonts w:ascii="Times New Roman"/>
                <w:sz w:val="18"/>
              </w:rPr>
              <w:t>GRG</w:t>
            </w:r>
            <w:r>
              <w:rPr>
                <w:rFonts w:ascii="Times New Roman"/>
                <w:spacing w:val="-6"/>
                <w:sz w:val="18"/>
              </w:rPr>
              <w:t> </w:t>
            </w:r>
            <w:r>
              <w:rPr>
                <w:rFonts w:ascii="Times New Roman"/>
                <w:sz w:val="18"/>
              </w:rPr>
              <w:t>Turkiye</w:t>
            </w:r>
            <w:r>
              <w:rPr>
                <w:rFonts w:ascii="Times New Roman"/>
                <w:sz w:val="18"/>
              </w:rPr>
              <w:t> Bankacilik Ekipmanlari</w:t>
            </w:r>
            <w:r>
              <w:rPr>
                <w:rFonts w:ascii="Times New Roman"/>
                <w:spacing w:val="-4"/>
                <w:sz w:val="18"/>
              </w:rPr>
              <w:t> </w:t>
            </w:r>
            <w:r>
              <w:rPr>
                <w:rFonts w:ascii="Times New Roman"/>
                <w:sz w:val="18"/>
              </w:rPr>
              <w:t>Ltd</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440" w:lineRule="exact" w:before="54"/>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319"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Vaigauskas</w:t>
            </w:r>
          </w:p>
          <w:p>
            <w:pPr>
              <w:pStyle w:val="TableParagraph"/>
              <w:spacing w:line="362" w:lineRule="auto" w:before="105"/>
              <w:ind w:left="22" w:right="396"/>
              <w:jc w:val="left"/>
              <w:rPr>
                <w:rFonts w:ascii="Times New Roman" w:hAnsi="Times New Roman" w:cs="Times New Roman" w:eastAsia="Times New Roman" w:hint="default"/>
                <w:sz w:val="18"/>
                <w:szCs w:val="18"/>
              </w:rPr>
            </w:pPr>
            <w:r>
              <w:rPr>
                <w:rFonts w:ascii="Times New Roman"/>
                <w:spacing w:val="-4"/>
                <w:sz w:val="18"/>
              </w:rPr>
              <w:t>/Yusuf</w:t>
            </w:r>
            <w:r>
              <w:rPr>
                <w:rFonts w:ascii="Times New Roman"/>
                <w:spacing w:val="-42"/>
                <w:sz w:val="18"/>
              </w:rPr>
              <w:t> </w:t>
            </w:r>
            <w:r>
              <w:rPr>
                <w:rFonts w:ascii="Times New Roman"/>
                <w:spacing w:val="-42"/>
                <w:sz w:val="18"/>
              </w:rPr>
            </w:r>
            <w:r>
              <w:rPr>
                <w:rFonts w:ascii="Times New Roman"/>
                <w:sz w:val="18"/>
              </w:rPr>
              <w:t>Iiker</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02" w:lineRule="auto" w:before="159"/>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销售及 维修服务</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里拉</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7" w:hRule="exact"/>
        </w:trPr>
        <w:tc>
          <w:tcPr>
            <w:tcW w:w="1405"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Odabasi</w:t>
            </w:r>
          </w:p>
        </w:tc>
        <w:tc>
          <w:tcPr>
            <w:tcW w:w="108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1106" w:hRule="exact"/>
        </w:trPr>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30"/>
              <w:ind w:left="24" w:right="198"/>
              <w:jc w:val="left"/>
              <w:rPr>
                <w:rFonts w:ascii="Times New Roman" w:hAnsi="Times New Roman" w:cs="Times New Roman" w:eastAsia="Times New Roman" w:hint="default"/>
                <w:sz w:val="18"/>
                <w:szCs w:val="18"/>
              </w:rPr>
            </w:pPr>
            <w:r>
              <w:rPr>
                <w:rFonts w:ascii="Times New Roman"/>
                <w:sz w:val="18"/>
              </w:rPr>
              <w:t>GRG</w:t>
            </w:r>
            <w:r>
              <w:rPr>
                <w:rFonts w:ascii="Times New Roman"/>
                <w:spacing w:val="-2"/>
                <w:sz w:val="18"/>
              </w:rPr>
              <w:t> </w:t>
            </w:r>
            <w:r>
              <w:rPr>
                <w:rFonts w:ascii="Times New Roman"/>
                <w:sz w:val="18"/>
              </w:rPr>
              <w:t>Banking</w:t>
            </w:r>
            <w:r>
              <w:rPr>
                <w:rFonts w:ascii="Times New Roman"/>
                <w:spacing w:val="-1"/>
                <w:sz w:val="18"/>
              </w:rPr>
              <w:t> </w:t>
            </w:r>
            <w:r>
              <w:rPr>
                <w:rFonts w:ascii="Times New Roman"/>
                <w:sz w:val="18"/>
              </w:rPr>
              <w:t>Equipment(HK)</w:t>
            </w:r>
            <w:r>
              <w:rPr>
                <w:rFonts w:ascii="Times New Roman"/>
                <w:sz w:val="18"/>
              </w:rPr>
              <w:t> Europe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448" w:lineRule="auto"/>
              <w:ind w:left="22" w:right="-5"/>
              <w:jc w:val="left"/>
              <w:rPr>
                <w:rFonts w:ascii="宋体" w:hAnsi="宋体" w:cs="宋体" w:eastAsia="宋体" w:hint="default"/>
                <w:sz w:val="18"/>
                <w:szCs w:val="18"/>
              </w:rPr>
            </w:pPr>
            <w:r>
              <w:rPr>
                <w:rFonts w:ascii="宋体" w:hAnsi="宋体" w:cs="宋体" w:eastAsia="宋体" w:hint="default"/>
                <w:spacing w:val="24"/>
                <w:sz w:val="18"/>
                <w:szCs w:val="18"/>
              </w:rPr>
              <w:t>子公司的子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1"/>
              <w:ind w:left="22" w:right="27"/>
              <w:jc w:val="left"/>
              <w:rPr>
                <w:rFonts w:ascii="Times New Roman" w:hAnsi="Times New Roman" w:cs="Times New Roman" w:eastAsia="Times New Roman" w:hint="default"/>
                <w:sz w:val="18"/>
                <w:szCs w:val="18"/>
              </w:rPr>
            </w:pPr>
            <w:r>
              <w:rPr>
                <w:rFonts w:ascii="Times New Roman" w:hAnsi="Times New Roman"/>
                <w:sz w:val="18"/>
              </w:rPr>
              <w:t>PRANAS GRIŠKEVI</w:t>
            </w:r>
            <w:r>
              <w:rPr>
                <w:rFonts w:ascii="Times New Roman" w:hAnsi="Times New Roman"/>
                <w:spacing w:val="-1"/>
                <w:sz w:val="18"/>
              </w:rPr>
              <w:t> </w:t>
            </w:r>
            <w:r>
              <w:rPr>
                <w:rFonts w:ascii="Times New Roman" w:hAnsi="Times New Roman"/>
                <w:sz w:val="18"/>
              </w:rPr>
              <w:t>Č</w:t>
            </w:r>
            <w:r>
              <w:rPr>
                <w:rFonts w:ascii="Times New Roman" w:hAnsi="Times New Roman"/>
                <w:sz w:val="18"/>
              </w:rPr>
              <w:t>IUS</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302" w:lineRule="auto"/>
              <w:ind w:left="22" w:right="8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销售及 维修服务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立特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900"/>
        <w:gridCol w:w="829"/>
        <w:gridCol w:w="611"/>
        <w:gridCol w:w="720"/>
        <w:gridCol w:w="1260"/>
        <w:gridCol w:w="1238"/>
        <w:gridCol w:w="959"/>
        <w:gridCol w:w="956"/>
        <w:gridCol w:w="626"/>
        <w:gridCol w:w="1290"/>
      </w:tblGrid>
      <w:tr>
        <w:trPr>
          <w:trHeight w:val="348"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829" w:type="dxa"/>
            <w:tcBorders>
              <w:top w:val="single" w:sz="4" w:space="0" w:color="000000"/>
              <w:left w:val="single" w:sz="4" w:space="0" w:color="000000"/>
              <w:bottom w:val="nil" w:sz="6" w:space="0" w:color="auto"/>
              <w:right w:val="single" w:sz="4" w:space="0" w:color="000000"/>
            </w:tcBorders>
            <w:shd w:val="clear" w:color="auto" w:fill="D3D3D3"/>
          </w:tcPr>
          <w:p>
            <w:pPr/>
          </w:p>
        </w:tc>
        <w:tc>
          <w:tcPr>
            <w:tcW w:w="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3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48"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173" w:right="84"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8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173" w:right="84" w:hanging="90"/>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9"/>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57" w:lineRule="auto"/>
              <w:ind w:left="128" w:right="12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43"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829" w:type="dxa"/>
            <w:tcBorders>
              <w:top w:val="nil" w:sz="6" w:space="0" w:color="auto"/>
              <w:left w:val="single" w:sz="4" w:space="0" w:color="000000"/>
              <w:bottom w:val="single" w:sz="4" w:space="0" w:color="000000"/>
              <w:right w:val="single" w:sz="4" w:space="0" w:color="000000"/>
            </w:tcBorders>
            <w:shd w:val="clear" w:color="auto" w:fill="D3D3D3"/>
          </w:tcPr>
          <w:p>
            <w:pPr/>
          </w:p>
        </w:tc>
        <w:tc>
          <w:tcPr>
            <w:tcW w:w="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3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w:t>
            </w: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39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7" w:hRule="exact"/>
        </w:trPr>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w:t>
            </w:r>
          </w:p>
        </w:tc>
        <w:tc>
          <w:tcPr>
            <w:tcW w:w="829" w:type="dxa"/>
            <w:tcBorders>
              <w:top w:val="single" w:sz="4" w:space="0" w:color="000000"/>
              <w:left w:val="single" w:sz="4" w:space="0" w:color="000000"/>
              <w:bottom w:val="nil" w:sz="6" w:space="0" w:color="auto"/>
              <w:right w:val="single" w:sz="4" w:space="0" w:color="000000"/>
            </w:tcBorders>
          </w:tcPr>
          <w:p>
            <w:pPr/>
          </w:p>
        </w:tc>
        <w:tc>
          <w:tcPr>
            <w:tcW w:w="611"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3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626" w:type="dxa"/>
            <w:vMerge w:val="restart"/>
            <w:tcBorders>
              <w:top w:val="single" w:sz="4" w:space="0" w:color="000000"/>
              <w:left w:val="single" w:sz="4" w:space="0" w:color="000000"/>
              <w:right w:val="single" w:sz="4" w:space="0" w:color="000000"/>
            </w:tcBorders>
          </w:tcPr>
          <w:p>
            <w:pPr/>
          </w:p>
        </w:tc>
        <w:tc>
          <w:tcPr>
            <w:tcW w:w="1290"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源环保科 技有限公</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4"/>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6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劳炜妍</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5"/>
              <w:jc w:val="left"/>
              <w:rPr>
                <w:rFonts w:ascii="宋体" w:hAnsi="宋体" w:cs="宋体" w:eastAsia="宋体" w:hint="default"/>
                <w:sz w:val="18"/>
                <w:szCs w:val="18"/>
              </w:rPr>
            </w:pPr>
            <w:r>
              <w:rPr>
                <w:rFonts w:ascii="宋体" w:hAnsi="宋体" w:cs="宋体" w:eastAsia="宋体" w:hint="default"/>
                <w:sz w:val="18"/>
                <w:szCs w:val="18"/>
              </w:rPr>
              <w:t>投资控股及环 保处理</w:t>
            </w:r>
          </w:p>
        </w:tc>
        <w:tc>
          <w:tcPr>
            <w:tcW w:w="12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218,431,373.00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26" w:type="dxa"/>
            <w:vMerge/>
            <w:tcBorders>
              <w:left w:val="single" w:sz="4" w:space="0" w:color="000000"/>
              <w:right w:val="single" w:sz="4" w:space="0" w:color="000000"/>
            </w:tcBorders>
          </w:tcPr>
          <w:p>
            <w:pPr/>
          </w:p>
        </w:tc>
        <w:tc>
          <w:tcPr>
            <w:tcW w:w="12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78890328</w:t>
            </w:r>
            <w:r>
              <w:rPr>
                <w:rFonts w:ascii="宋体" w:hAnsi="宋体" w:cs="宋体" w:eastAsia="宋体" w:hint="default"/>
                <w:sz w:val="18"/>
                <w:szCs w:val="18"/>
              </w:rPr>
              <w:t>－</w:t>
            </w:r>
            <w:r>
              <w:rPr>
                <w:rFonts w:ascii="Times New Roman" w:hAnsi="Times New Roman" w:cs="Times New Roman" w:eastAsia="Times New Roman" w:hint="default"/>
                <w:sz w:val="18"/>
                <w:szCs w:val="18"/>
              </w:rPr>
              <w:t>X</w:t>
            </w:r>
          </w:p>
        </w:tc>
      </w:tr>
      <w:tr>
        <w:trPr>
          <w:trHeight w:val="356" w:hRule="exact"/>
        </w:trPr>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29" w:type="dxa"/>
            <w:tcBorders>
              <w:top w:val="nil" w:sz="6" w:space="0" w:color="auto"/>
              <w:left w:val="single" w:sz="4" w:space="0" w:color="000000"/>
              <w:bottom w:val="single" w:sz="4" w:space="0" w:color="000000"/>
              <w:right w:val="single" w:sz="4" w:space="0" w:color="000000"/>
            </w:tcBorders>
          </w:tcPr>
          <w:p>
            <w:pPr/>
          </w:p>
        </w:tc>
        <w:tc>
          <w:tcPr>
            <w:tcW w:w="611"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3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626" w:type="dxa"/>
            <w:vMerge/>
            <w:tcBorders>
              <w:left w:val="single" w:sz="4" w:space="0" w:color="000000"/>
              <w:bottom w:val="single" w:sz="4" w:space="0" w:color="000000"/>
              <w:right w:val="single" w:sz="4" w:space="0" w:color="000000"/>
            </w:tcBorders>
          </w:tcPr>
          <w:p>
            <w:pPr/>
          </w:p>
        </w:tc>
        <w:tc>
          <w:tcPr>
            <w:tcW w:w="1290"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云南云通 金融外包 服务有限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非自然人 出资有限 责任公司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黄建琴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服务、清 </w:t>
            </w:r>
            <w:r>
              <w:rPr>
                <w:rFonts w:ascii="宋体" w:hAnsi="宋体" w:cs="宋体" w:eastAsia="宋体" w:hint="default"/>
                <w:spacing w:val="-9"/>
                <w:sz w:val="18"/>
                <w:szCs w:val="18"/>
              </w:rPr>
              <w:t>分、银行外包服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2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59933614</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同一最终母公司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724308131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同一最终母公司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781223943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同一最终母公司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708242750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同一最终母公司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739703118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58"/>
        <w:jc w:val="right"/>
      </w:pPr>
      <w:r>
        <w:rPr/>
        <w:pict>
          <v:shape style="position:absolute;margin-left:56.459999pt;margin-top:-52.147949pt;width:479.1pt;height:152.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276"/>
                    <w:gridCol w:w="1276"/>
                    <w:gridCol w:w="1134"/>
                    <w:gridCol w:w="1134"/>
                    <w:gridCol w:w="1256"/>
                    <w:gridCol w:w="798"/>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占同类交易 金额的比例</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36,039,356.62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23,686,988.16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计量检测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21,320.75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4.66%</w:t>
                        </w:r>
                      </w:p>
                    </w:tc>
                    <w:tc>
                      <w:tcPr>
                        <w:tcW w:w="125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计量检测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151,089.00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2" w:top="1060" w:bottom="1180" w:left="980" w:right="980"/>
        </w:sectPr>
      </w:pPr>
    </w:p>
    <w:p>
      <w:pPr>
        <w:spacing w:before="35"/>
        <w:ind w:left="154" w:right="-20" w:firstLine="0"/>
        <w:jc w:val="left"/>
        <w:rPr>
          <w:rFonts w:ascii="宋体" w:hAnsi="宋体" w:cs="宋体" w:eastAsia="宋体" w:hint="default"/>
          <w:sz w:val="21"/>
          <w:szCs w:val="21"/>
        </w:rPr>
      </w:pPr>
      <w:r>
        <w:rPr>
          <w:rFonts w:ascii="宋体" w:hAnsi="宋体" w:cs="宋体" w:eastAsia="宋体" w:hint="default"/>
          <w:sz w:val="21"/>
          <w:szCs w:val="21"/>
        </w:rPr>
        <w:t>公司承租情况表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1625" w:space="720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857"/>
        <w:gridCol w:w="1620"/>
        <w:gridCol w:w="1633"/>
        <w:gridCol w:w="1067"/>
        <w:gridCol w:w="1650"/>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3" w:right="61"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租赁终止日</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租赁费定价 依据</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39" w:right="98" w:hanging="540"/>
              <w:jc w:val="left"/>
              <w:rPr>
                <w:rFonts w:ascii="宋体" w:hAnsi="宋体" w:cs="宋体" w:eastAsia="宋体" w:hint="default"/>
                <w:sz w:val="18"/>
                <w:szCs w:val="18"/>
              </w:rPr>
            </w:pPr>
            <w:r>
              <w:rPr>
                <w:rFonts w:ascii="宋体" w:hAnsi="宋体" w:cs="宋体" w:eastAsia="宋体" w:hint="default"/>
                <w:sz w:val="18"/>
                <w:szCs w:val="18"/>
              </w:rPr>
              <w:t>本报告期确认的租 赁费</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广州无线电集团 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深圳广电银通金 融电子有限公司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通讯大楼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760,641.95</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广州无线电集团 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广州穗通金融服 务有限公司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通讯大楼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360,003.70</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广州无线电集团 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广州银通金融服 务有限公司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通讯大楼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414,032.00</w:t>
            </w:r>
          </w:p>
        </w:tc>
      </w:tr>
    </w:tbl>
    <w:p>
      <w:pPr>
        <w:spacing w:before="65"/>
        <w:ind w:left="154" w:right="0" w:firstLine="0"/>
        <w:jc w:val="left"/>
        <w:rPr>
          <w:rFonts w:ascii="宋体" w:hAnsi="宋体" w:cs="宋体" w:eastAsia="宋体" w:hint="default"/>
          <w:sz w:val="21"/>
          <w:szCs w:val="21"/>
        </w:rPr>
      </w:pPr>
      <w:r>
        <w:rPr>
          <w:rFonts w:ascii="宋体" w:hAnsi="宋体" w:cs="宋体" w:eastAsia="宋体" w:hint="default"/>
          <w:sz w:val="21"/>
          <w:szCs w:val="21"/>
        </w:rPr>
        <w:t>关联租赁情况说明：</w:t>
      </w:r>
    </w:p>
    <w:p>
      <w:pPr>
        <w:spacing w:line="340" w:lineRule="auto" w:before="154"/>
        <w:ind w:left="154" w:right="147" w:firstLine="421"/>
        <w:jc w:val="both"/>
        <w:rPr>
          <w:rFonts w:ascii="宋体" w:hAnsi="宋体" w:cs="宋体" w:eastAsia="宋体" w:hint="default"/>
          <w:sz w:val="21"/>
          <w:szCs w:val="21"/>
        </w:rPr>
      </w:pPr>
      <w:r>
        <w:rPr>
          <w:rFonts w:ascii="宋体" w:hAnsi="宋体" w:cs="宋体" w:eastAsia="宋体" w:hint="default"/>
          <w:sz w:val="21"/>
          <w:szCs w:val="21"/>
        </w:rPr>
        <w:t>①本公司的全资子公司深圳广电银通金融电子科技有限公司于2011年7月19日与广州无线电集团有限</w:t>
      </w:r>
      <w:r>
        <w:rPr>
          <w:rFonts w:ascii="宋体" w:hAnsi="宋体" w:cs="宋体" w:eastAsia="宋体" w:hint="default"/>
          <w:spacing w:val="2"/>
          <w:sz w:val="21"/>
          <w:szCs w:val="21"/>
        </w:rPr>
        <w:t> </w:t>
      </w:r>
      <w:r>
        <w:rPr>
          <w:rFonts w:ascii="宋体" w:hAnsi="宋体" w:cs="宋体" w:eastAsia="宋体" w:hint="default"/>
          <w:sz w:val="21"/>
          <w:szCs w:val="21"/>
        </w:rPr>
        <w:t>公司签订编号为ZL2011008的《房屋租赁合同》，租用广州无线电集团有限公司拥有的坐落在广州市天河</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区平云路163号的房屋、场地,租赁期限从2011年8月1日至2012年7月31日。其中租用通讯大楼六层东部，</w:t>
      </w:r>
    </w:p>
    <w:p>
      <w:pPr>
        <w:spacing w:after="0" w:line="340" w:lineRule="auto"/>
        <w:jc w:val="both"/>
        <w:rPr>
          <w:rFonts w:ascii="宋体" w:hAnsi="宋体" w:cs="宋体" w:eastAsia="宋体" w:hint="default"/>
          <w:sz w:val="21"/>
          <w:szCs w:val="21"/>
        </w:rPr>
        <w:sectPr>
          <w:type w:val="continuous"/>
          <w:pgSz w:w="11910" w:h="16840"/>
          <w:pgMar w:top="1060" w:bottom="1180" w:left="980" w:right="980"/>
        </w:sectPr>
      </w:pPr>
    </w:p>
    <w:p>
      <w:pPr>
        <w:spacing w:line="240" w:lineRule="auto" w:before="9"/>
        <w:rPr>
          <w:rFonts w:ascii="宋体" w:hAnsi="宋体" w:cs="宋体" w:eastAsia="宋体" w:hint="default"/>
          <w:sz w:val="27"/>
          <w:szCs w:val="27"/>
        </w:rPr>
      </w:pPr>
    </w:p>
    <w:p>
      <w:pPr>
        <w:spacing w:line="340" w:lineRule="auto" w:before="35"/>
        <w:ind w:left="153" w:right="95" w:firstLine="0"/>
        <w:jc w:val="left"/>
        <w:rPr>
          <w:rFonts w:ascii="宋体" w:hAnsi="宋体" w:cs="宋体" w:eastAsia="宋体" w:hint="default"/>
          <w:sz w:val="21"/>
          <w:szCs w:val="21"/>
        </w:rPr>
      </w:pPr>
      <w:r>
        <w:rPr>
          <w:rFonts w:ascii="宋体" w:hAnsi="宋体" w:cs="宋体" w:eastAsia="宋体" w:hint="default"/>
          <w:sz w:val="21"/>
          <w:szCs w:val="21"/>
        </w:rPr>
        <w:t>房地产建筑面积950.00平方米；租用通讯大楼六层中部，房地产建筑面积1,120.16平方米；租用通讯大楼</w:t>
      </w:r>
      <w:r>
        <w:rPr>
          <w:rFonts w:ascii="宋体" w:hAnsi="宋体" w:cs="宋体" w:eastAsia="宋体" w:hint="default"/>
          <w:spacing w:val="-1"/>
          <w:sz w:val="21"/>
          <w:szCs w:val="21"/>
        </w:rPr>
        <w:t> </w:t>
      </w:r>
      <w:r>
        <w:rPr>
          <w:rFonts w:ascii="宋体" w:hAnsi="宋体" w:cs="宋体" w:eastAsia="宋体" w:hint="default"/>
          <w:sz w:val="21"/>
          <w:szCs w:val="21"/>
        </w:rPr>
        <w:t>七层西部，房地产建筑面积1,361.12平方米；租用通讯大楼七层中部，房地产建筑面积420.11平方米；上</w:t>
      </w:r>
      <w:r>
        <w:rPr>
          <w:rFonts w:ascii="宋体" w:hAnsi="宋体" w:cs="宋体" w:eastAsia="宋体" w:hint="default"/>
          <w:sz w:val="21"/>
          <w:szCs w:val="21"/>
        </w:rPr>
        <w:t> 述房产按单价15元/平方米/月计算月租金。深圳广电银通金融电子科技有限公司于2012年7月30日与广州</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无线电集团有限公司签订编号为ZL2012012的《房屋租赁合同》，租用广州无线电集团有限公司拥有的坐</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落在广州市天河区平云路163号的房屋、场地,租赁期限从2012年8月1日至2015年7月31日。其中租用通讯</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大楼七层中部，房地产建筑面积420.11平方米；租用通讯大楼七层西部，房地产建筑面积1,361.12平方米。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上述房产在租赁第一年按单价40元/平方米/月计算月租金，从第二年起月租金每年递增3%，即</w:t>
      </w:r>
    </w:p>
    <w:tbl>
      <w:tblPr>
        <w:tblW w:w="0" w:type="auto"/>
        <w:jc w:val="left"/>
        <w:tblInd w:w="1298" w:type="dxa"/>
        <w:tblLayout w:type="fixed"/>
        <w:tblCellMar>
          <w:top w:w="0" w:type="dxa"/>
          <w:left w:w="0" w:type="dxa"/>
          <w:bottom w:w="0" w:type="dxa"/>
          <w:right w:w="0" w:type="dxa"/>
        </w:tblCellMar>
        <w:tblLook w:val="01E0"/>
      </w:tblPr>
      <w:tblGrid>
        <w:gridCol w:w="3631"/>
        <w:gridCol w:w="3631"/>
      </w:tblGrid>
      <w:tr>
        <w:trPr>
          <w:trHeight w:val="409" w:hRule="exact"/>
        </w:trPr>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租赁期限</w:t>
            </w:r>
          </w:p>
        </w:tc>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月租金总额</w:t>
            </w:r>
          </w:p>
        </w:tc>
      </w:tr>
      <w:tr>
        <w:trPr>
          <w:trHeight w:val="441" w:hRule="exact"/>
        </w:trPr>
        <w:tc>
          <w:tcPr>
            <w:tcW w:w="363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47"/>
              <w:ind w:left="2" w:right="0"/>
              <w:jc w:val="left"/>
              <w:rPr>
                <w:rFonts w:ascii="宋体" w:hAnsi="宋体" w:cs="宋体" w:eastAsia="宋体" w:hint="default"/>
                <w:sz w:val="21"/>
                <w:szCs w:val="21"/>
              </w:rPr>
            </w:pPr>
            <w:r>
              <w:rPr>
                <w:rFonts w:ascii="宋体" w:hAnsi="宋体" w:cs="宋体" w:eastAsia="宋体" w:hint="default"/>
                <w:sz w:val="21"/>
                <w:szCs w:val="21"/>
              </w:rPr>
              <w:t>2012年8月1日至2013年7月31日</w:t>
            </w:r>
          </w:p>
        </w:tc>
        <w:tc>
          <w:tcPr>
            <w:tcW w:w="363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47"/>
              <w:ind w:right="1"/>
              <w:jc w:val="right"/>
              <w:rPr>
                <w:rFonts w:ascii="宋体" w:hAnsi="宋体" w:cs="宋体" w:eastAsia="宋体" w:hint="default"/>
                <w:sz w:val="21"/>
                <w:szCs w:val="21"/>
              </w:rPr>
            </w:pPr>
            <w:r>
              <w:rPr>
                <w:rFonts w:ascii="宋体"/>
                <w:spacing w:val="-1"/>
                <w:sz w:val="21"/>
              </w:rPr>
              <w:t>71,249.20</w:t>
            </w:r>
          </w:p>
        </w:tc>
      </w:tr>
      <w:tr>
        <w:trPr>
          <w:trHeight w:val="425"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2013年8月1日至2014年7月31日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73,386.68</w:t>
            </w:r>
          </w:p>
        </w:tc>
      </w:tr>
      <w:tr>
        <w:trPr>
          <w:trHeight w:val="426"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2014年8月1日至2015年7月31日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75,588.28</w:t>
            </w:r>
          </w:p>
        </w:tc>
      </w:tr>
    </w:tbl>
    <w:p>
      <w:pPr>
        <w:spacing w:line="240" w:lineRule="auto" w:before="2"/>
        <w:rPr>
          <w:rFonts w:ascii="宋体" w:hAnsi="宋体" w:cs="宋体" w:eastAsia="宋体" w:hint="default"/>
          <w:sz w:val="29"/>
          <w:szCs w:val="29"/>
        </w:rPr>
      </w:pPr>
    </w:p>
    <w:p>
      <w:pPr>
        <w:spacing w:line="340" w:lineRule="auto" w:before="35"/>
        <w:ind w:left="154" w:right="204" w:firstLine="421"/>
        <w:jc w:val="both"/>
        <w:rPr>
          <w:rFonts w:ascii="宋体" w:hAnsi="宋体" w:cs="宋体" w:eastAsia="宋体" w:hint="default"/>
          <w:sz w:val="21"/>
          <w:szCs w:val="21"/>
        </w:rPr>
      </w:pPr>
      <w:r>
        <w:rPr>
          <w:rFonts w:ascii="宋体" w:hAnsi="宋体" w:cs="宋体" w:eastAsia="宋体" w:hint="default"/>
          <w:sz w:val="21"/>
          <w:szCs w:val="21"/>
        </w:rPr>
        <w:t>②本公司的控股子公司广州穗通金融服务有限公司于2011年7月20日与广州无线电集团有限公司签订</w:t>
      </w:r>
      <w:r>
        <w:rPr>
          <w:rFonts w:ascii="宋体" w:hAnsi="宋体" w:cs="宋体" w:eastAsia="宋体" w:hint="default"/>
          <w:spacing w:val="2"/>
          <w:sz w:val="21"/>
          <w:szCs w:val="21"/>
        </w:rPr>
        <w:t> </w:t>
      </w:r>
      <w:r>
        <w:rPr>
          <w:rFonts w:ascii="宋体" w:hAnsi="宋体" w:cs="宋体" w:eastAsia="宋体" w:hint="default"/>
          <w:sz w:val="21"/>
          <w:szCs w:val="21"/>
        </w:rPr>
        <w:t>编号为ZL2011012的《房屋租赁合同》，租用广州无线电集团有限公司拥有的坐落在广州市天河区平云路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163号的房屋、场地,租赁期限从2011年8月1日至2012年7月31日。其中租用通讯大楼七层东部，房地产建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筑面积1,180.34平方米，按单价15元/平方米/月计算月租金。广州穗通金融服务有限公司于2012年7月26</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日与广州无线电集团有限公司签订编号为ZL2012008的《房屋租赁合同》，租用广州无线电集团有限公司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拥有的坐落在广州市天河区平云路163号的房屋、场地,租赁期限从2012年8月1日至2015年7月31日。其中</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租用通讯大楼七层东部，房地产建筑面积1,180.34平方米。上述房产在租赁第一年按单价40元/平方米/月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计算月租金，从第二年起月租金每年递增3%，即</w:t>
      </w:r>
    </w:p>
    <w:tbl>
      <w:tblPr>
        <w:tblW w:w="0" w:type="auto"/>
        <w:jc w:val="left"/>
        <w:tblInd w:w="1298" w:type="dxa"/>
        <w:tblLayout w:type="fixed"/>
        <w:tblCellMar>
          <w:top w:w="0" w:type="dxa"/>
          <w:left w:w="0" w:type="dxa"/>
          <w:bottom w:w="0" w:type="dxa"/>
          <w:right w:w="0" w:type="dxa"/>
        </w:tblCellMar>
        <w:tblLook w:val="01E0"/>
      </w:tblPr>
      <w:tblGrid>
        <w:gridCol w:w="3631"/>
        <w:gridCol w:w="3631"/>
      </w:tblGrid>
      <w:tr>
        <w:trPr>
          <w:trHeight w:val="425" w:hRule="exact"/>
        </w:trPr>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租赁期限</w:t>
            </w:r>
          </w:p>
        </w:tc>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月租金总额</w:t>
            </w:r>
          </w:p>
        </w:tc>
      </w:tr>
      <w:tr>
        <w:trPr>
          <w:trHeight w:val="425"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2012年8月1日至2013年7月31日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47,213.60</w:t>
            </w:r>
          </w:p>
        </w:tc>
      </w:tr>
      <w:tr>
        <w:trPr>
          <w:trHeight w:val="426"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2013年8月1日至2014年7月31日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48,630.00</w:t>
            </w:r>
          </w:p>
        </w:tc>
      </w:tr>
      <w:tr>
        <w:trPr>
          <w:trHeight w:val="425"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2014年8月1日至2015年7月31日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50,088.91</w:t>
            </w:r>
          </w:p>
        </w:tc>
      </w:tr>
    </w:tbl>
    <w:p>
      <w:pPr>
        <w:spacing w:line="340" w:lineRule="auto" w:before="27"/>
        <w:ind w:left="154" w:right="207" w:firstLine="421"/>
        <w:jc w:val="both"/>
        <w:rPr>
          <w:rFonts w:ascii="宋体" w:hAnsi="宋体" w:cs="宋体" w:eastAsia="宋体" w:hint="default"/>
          <w:sz w:val="21"/>
          <w:szCs w:val="21"/>
        </w:rPr>
      </w:pPr>
      <w:r>
        <w:rPr>
          <w:rFonts w:ascii="宋体" w:hAnsi="宋体" w:cs="宋体" w:eastAsia="宋体" w:hint="default"/>
          <w:spacing w:val="3"/>
          <w:sz w:val="21"/>
          <w:szCs w:val="21"/>
        </w:rPr>
        <w:t>③本公司的全资子公司深圳广电银通金融电子科技有限公司的全资子公司广州银通金融服务有限公</w:t>
      </w:r>
      <w:r>
        <w:rPr>
          <w:rFonts w:ascii="宋体" w:hAnsi="宋体" w:cs="宋体" w:eastAsia="宋体" w:hint="default"/>
          <w:sz w:val="21"/>
          <w:szCs w:val="21"/>
        </w:rPr>
        <w:t> </w:t>
      </w:r>
      <w:r>
        <w:rPr>
          <w:rFonts w:ascii="宋体" w:hAnsi="宋体" w:cs="宋体" w:eastAsia="宋体" w:hint="default"/>
          <w:spacing w:val="-1"/>
          <w:sz w:val="21"/>
          <w:szCs w:val="21"/>
        </w:rPr>
        <w:t>司于2012年7月20日与广州无线电集团有限公司签订编号为ZL2012009的《房屋租赁合同》，租用广州无线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电集团有限公司拥有的坐落在广州市天河区平云路163号的房屋、场地,租赁期限从2012年8月1日至2015年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7月31日。其中租用通讯大楼六层东部单元，房地产建筑面积950.00平方米、通讯大楼六层中部单元，房</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地产建筑面积1,120.16平方米。上述房产在租赁第一年按单价40元/平方米/月计算月租金，从第二年起月</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租金每年递增3%，即</w:t>
      </w:r>
    </w:p>
    <w:tbl>
      <w:tblPr>
        <w:tblW w:w="0" w:type="auto"/>
        <w:jc w:val="left"/>
        <w:tblInd w:w="1298" w:type="dxa"/>
        <w:tblLayout w:type="fixed"/>
        <w:tblCellMar>
          <w:top w:w="0" w:type="dxa"/>
          <w:left w:w="0" w:type="dxa"/>
          <w:bottom w:w="0" w:type="dxa"/>
          <w:right w:w="0" w:type="dxa"/>
        </w:tblCellMar>
        <w:tblLook w:val="01E0"/>
      </w:tblPr>
      <w:tblGrid>
        <w:gridCol w:w="3631"/>
        <w:gridCol w:w="3631"/>
      </w:tblGrid>
      <w:tr>
        <w:trPr>
          <w:trHeight w:val="417" w:hRule="exact"/>
        </w:trPr>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租赁期限</w:t>
            </w:r>
          </w:p>
        </w:tc>
        <w:tc>
          <w:tcPr>
            <w:tcW w:w="363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月租金总额</w:t>
            </w:r>
          </w:p>
        </w:tc>
      </w:tr>
      <w:tr>
        <w:trPr>
          <w:trHeight w:val="426"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2012年8月1日至2013年7月31日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82,806.40</w:t>
            </w:r>
          </w:p>
        </w:tc>
      </w:tr>
      <w:tr>
        <w:trPr>
          <w:trHeight w:val="425"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2013年8月1日至2014年7月31日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85,290.59</w:t>
            </w:r>
          </w:p>
        </w:tc>
      </w:tr>
      <w:tr>
        <w:trPr>
          <w:trHeight w:val="425" w:hRule="exact"/>
        </w:trPr>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2014年8月1日至2015年7月31日</w:t>
            </w:r>
          </w:p>
        </w:tc>
        <w:tc>
          <w:tcPr>
            <w:tcW w:w="3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87,849.31</w:t>
            </w:r>
          </w:p>
        </w:tc>
      </w:tr>
    </w:tbl>
    <w:p>
      <w:pPr>
        <w:spacing w:after="0" w:line="240" w:lineRule="auto"/>
        <w:jc w:val="right"/>
        <w:rPr>
          <w:rFonts w:ascii="宋体" w:hAnsi="宋体" w:cs="宋体" w:eastAsia="宋体" w:hint="default"/>
          <w:sz w:val="21"/>
          <w:szCs w:val="21"/>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spacing w:before="35"/>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line="340" w:lineRule="auto" w:before="0"/>
        <w:ind w:left="574" w:right="90" w:firstLine="105"/>
        <w:jc w:val="left"/>
        <w:rPr>
          <w:rFonts w:ascii="宋体" w:hAnsi="宋体" w:cs="宋体" w:eastAsia="宋体" w:hint="default"/>
          <w:sz w:val="21"/>
          <w:szCs w:val="21"/>
        </w:rPr>
      </w:pPr>
      <w:r>
        <w:rPr>
          <w:rFonts w:ascii="宋体" w:hAnsi="宋体" w:cs="宋体" w:eastAsia="宋体" w:hint="default"/>
          <w:b/>
          <w:bCs/>
          <w:sz w:val="21"/>
          <w:szCs w:val="21"/>
        </w:rPr>
        <w:t>①物业管理</w:t>
      </w:r>
      <w:r>
        <w:rPr>
          <w:rFonts w:ascii="宋体" w:hAnsi="宋体" w:cs="宋体" w:eastAsia="宋体" w:hint="default"/>
          <w:b/>
          <w:bCs/>
          <w:spacing w:val="1"/>
          <w:w w:val="99"/>
          <w:sz w:val="21"/>
          <w:szCs w:val="21"/>
        </w:rPr>
        <w:t> </w:t>
      </w:r>
      <w:r>
        <w:rPr>
          <w:rFonts w:ascii="宋体" w:hAnsi="宋体" w:cs="宋体" w:eastAsia="宋体" w:hint="default"/>
          <w:sz w:val="21"/>
          <w:szCs w:val="21"/>
        </w:rPr>
        <w:t>2008年8月29日，本公司与广州广电物业管理有限公司签订《广州广电运通科学城产业园》物业管理</w:t>
      </w:r>
    </w:p>
    <w:p>
      <w:pPr>
        <w:spacing w:line="340" w:lineRule="auto" w:before="27"/>
        <w:ind w:left="214" w:right="108" w:firstLine="0"/>
        <w:jc w:val="left"/>
        <w:rPr>
          <w:rFonts w:ascii="宋体" w:hAnsi="宋体" w:cs="宋体" w:eastAsia="宋体" w:hint="default"/>
          <w:sz w:val="21"/>
          <w:szCs w:val="21"/>
        </w:rPr>
      </w:pPr>
      <w:r>
        <w:rPr>
          <w:rFonts w:ascii="宋体" w:hAnsi="宋体" w:cs="宋体" w:eastAsia="宋体" w:hint="default"/>
          <w:sz w:val="21"/>
          <w:szCs w:val="21"/>
        </w:rPr>
        <w:t>合同，将位于广州市萝岗区科学城科林路9号广电运通产业园的物业委托给广州广电物业管理有限公司进</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行管理，每月固定费用，临时增加管理人员费用另计，每月按双方核定并认可的服务人员人数按实结算， </w:t>
      </w:r>
      <w:r>
        <w:rPr>
          <w:rFonts w:ascii="宋体" w:hAnsi="宋体" w:cs="宋体" w:eastAsia="宋体" w:hint="default"/>
          <w:spacing w:val="-2"/>
          <w:sz w:val="21"/>
          <w:szCs w:val="21"/>
        </w:rPr>
        <w:t>委托管理期限为一年。2009年9月28日，双方约定原合同延长至产业园整体完工。2010年3月31日，双方继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续签订合同，委托管理物业面积为47,992平方米；价格约为1.76元/平方米/月，合计每月物业管理费为人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民币84,397.00元，委托管理期限为三年。2011</w:t>
      </w:r>
      <w:r>
        <w:rPr>
          <w:rFonts w:ascii="宋体" w:hAnsi="宋体" w:cs="宋体" w:eastAsia="宋体" w:hint="default"/>
          <w:spacing w:val="8"/>
          <w:sz w:val="21"/>
          <w:szCs w:val="21"/>
        </w:rPr>
        <w:t> </w:t>
      </w:r>
      <w:r>
        <w:rPr>
          <w:rFonts w:ascii="宋体" w:hAnsi="宋体" w:cs="宋体" w:eastAsia="宋体" w:hint="default"/>
          <w:spacing w:val="3"/>
          <w:sz w:val="21"/>
          <w:szCs w:val="21"/>
        </w:rPr>
        <w:t>年6</w:t>
      </w:r>
      <w:r>
        <w:rPr>
          <w:rFonts w:ascii="宋体" w:hAnsi="宋体" w:cs="宋体" w:eastAsia="宋体" w:hint="default"/>
          <w:spacing w:val="8"/>
          <w:sz w:val="21"/>
          <w:szCs w:val="21"/>
        </w:rPr>
        <w:t> </w:t>
      </w:r>
      <w:r>
        <w:rPr>
          <w:rFonts w:ascii="宋体" w:hAnsi="宋体" w:cs="宋体" w:eastAsia="宋体" w:hint="default"/>
          <w:sz w:val="21"/>
          <w:szCs w:val="21"/>
        </w:rPr>
        <w:t>月15</w:t>
      </w:r>
      <w:r>
        <w:rPr>
          <w:rFonts w:ascii="宋体" w:hAnsi="宋体" w:cs="宋体" w:eastAsia="宋体" w:hint="default"/>
          <w:spacing w:val="8"/>
          <w:sz w:val="21"/>
          <w:szCs w:val="21"/>
        </w:rPr>
        <w:t> </w:t>
      </w:r>
      <w:r>
        <w:rPr>
          <w:rFonts w:ascii="宋体" w:hAnsi="宋体" w:cs="宋体" w:eastAsia="宋体" w:hint="default"/>
          <w:spacing w:val="6"/>
          <w:sz w:val="21"/>
          <w:szCs w:val="21"/>
        </w:rPr>
        <w:t>日与广州广电物业管理有限公司签订编号为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GRG-MISC-2011-MISC-03-03 </w:t>
      </w:r>
      <w:r>
        <w:rPr>
          <w:rFonts w:ascii="宋体" w:hAnsi="宋体" w:cs="宋体" w:eastAsia="宋体" w:hint="default"/>
          <w:spacing w:val="-3"/>
          <w:sz w:val="21"/>
          <w:szCs w:val="21"/>
        </w:rPr>
        <w:t>的《广州广电运通科学城产业园物业服务合同》，期限为2011 </w:t>
      </w:r>
      <w:r>
        <w:rPr>
          <w:rFonts w:ascii="宋体" w:hAnsi="宋体" w:cs="宋体" w:eastAsia="宋体" w:hint="default"/>
          <w:sz w:val="21"/>
          <w:szCs w:val="21"/>
        </w:rPr>
        <w:t>年6 月1</w:t>
      </w:r>
      <w:r>
        <w:rPr>
          <w:rFonts w:ascii="宋体" w:hAnsi="宋体" w:cs="宋体" w:eastAsia="宋体" w:hint="default"/>
          <w:spacing w:val="-12"/>
          <w:sz w:val="21"/>
          <w:szCs w:val="21"/>
        </w:rPr>
        <w:t> </w:t>
      </w:r>
      <w:r>
        <w:rPr>
          <w:rFonts w:ascii="宋体" w:hAnsi="宋体" w:cs="宋体" w:eastAsia="宋体" w:hint="default"/>
          <w:sz w:val="21"/>
          <w:szCs w:val="21"/>
        </w:rPr>
        <w:t>日到</w:t>
      </w:r>
      <w:r>
        <w:rPr>
          <w:rFonts w:ascii="宋体" w:hAnsi="宋体" w:cs="宋体" w:eastAsia="宋体" w:hint="default"/>
          <w:sz w:val="21"/>
          <w:szCs w:val="21"/>
        </w:rPr>
        <w:t> 2012</w:t>
      </w:r>
      <w:r>
        <w:rPr>
          <w:rFonts w:ascii="宋体" w:hAnsi="宋体" w:cs="宋体" w:eastAsia="宋体" w:hint="default"/>
          <w:spacing w:val="6"/>
          <w:sz w:val="21"/>
          <w:szCs w:val="21"/>
        </w:rPr>
        <w:t> </w:t>
      </w:r>
      <w:r>
        <w:rPr>
          <w:rFonts w:ascii="宋体" w:hAnsi="宋体" w:cs="宋体" w:eastAsia="宋体" w:hint="default"/>
          <w:sz w:val="21"/>
          <w:szCs w:val="21"/>
        </w:rPr>
        <w:t>年5</w:t>
      </w:r>
      <w:r>
        <w:rPr>
          <w:rFonts w:ascii="宋体" w:hAnsi="宋体" w:cs="宋体" w:eastAsia="宋体" w:hint="default"/>
          <w:spacing w:val="6"/>
          <w:sz w:val="21"/>
          <w:szCs w:val="21"/>
        </w:rPr>
        <w:t> </w:t>
      </w:r>
      <w:r>
        <w:rPr>
          <w:rFonts w:ascii="宋体" w:hAnsi="宋体" w:cs="宋体" w:eastAsia="宋体" w:hint="default"/>
          <w:sz w:val="21"/>
          <w:szCs w:val="21"/>
        </w:rPr>
        <w:t>月31</w:t>
      </w:r>
      <w:r>
        <w:rPr>
          <w:rFonts w:ascii="宋体" w:hAnsi="宋体" w:cs="宋体" w:eastAsia="宋体" w:hint="default"/>
          <w:spacing w:val="6"/>
          <w:sz w:val="21"/>
          <w:szCs w:val="21"/>
        </w:rPr>
        <w:t> </w:t>
      </w:r>
      <w:r>
        <w:rPr>
          <w:rFonts w:ascii="宋体" w:hAnsi="宋体" w:cs="宋体" w:eastAsia="宋体" w:hint="default"/>
          <w:spacing w:val="-3"/>
          <w:sz w:val="21"/>
          <w:szCs w:val="21"/>
        </w:rPr>
        <w:t>日，委托管理物业面积为67,210平方米，每月固定费用为人民币199,660.00元，临时增加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管理人员费用另计，每月按双方核定并认可的服务人员人数按实结算。2012</w:t>
      </w:r>
      <w:r>
        <w:rPr>
          <w:rFonts w:ascii="宋体" w:hAnsi="宋体" w:cs="宋体" w:eastAsia="宋体" w:hint="default"/>
          <w:spacing w:val="3"/>
          <w:sz w:val="21"/>
          <w:szCs w:val="21"/>
        </w:rPr>
        <w:t> </w:t>
      </w:r>
      <w:r>
        <w:rPr>
          <w:rFonts w:ascii="宋体" w:hAnsi="宋体" w:cs="宋体" w:eastAsia="宋体" w:hint="default"/>
          <w:sz w:val="21"/>
          <w:szCs w:val="21"/>
        </w:rPr>
        <w:t>年6</w:t>
      </w:r>
      <w:r>
        <w:rPr>
          <w:rFonts w:ascii="宋体" w:hAnsi="宋体" w:cs="宋体" w:eastAsia="宋体" w:hint="default"/>
          <w:spacing w:val="3"/>
          <w:sz w:val="21"/>
          <w:szCs w:val="21"/>
        </w:rPr>
        <w:t> </w:t>
      </w:r>
      <w:r>
        <w:rPr>
          <w:rFonts w:ascii="宋体" w:hAnsi="宋体" w:cs="宋体" w:eastAsia="宋体" w:hint="default"/>
          <w:sz w:val="21"/>
          <w:szCs w:val="21"/>
        </w:rPr>
        <w:t>月1</w:t>
      </w:r>
      <w:r>
        <w:rPr>
          <w:rFonts w:ascii="宋体" w:hAnsi="宋体" w:cs="宋体" w:eastAsia="宋体" w:hint="default"/>
          <w:spacing w:val="3"/>
          <w:sz w:val="21"/>
          <w:szCs w:val="21"/>
        </w:rPr>
        <w:t> </w:t>
      </w:r>
      <w:r>
        <w:rPr>
          <w:rFonts w:ascii="宋体" w:hAnsi="宋体" w:cs="宋体" w:eastAsia="宋体" w:hint="default"/>
          <w:sz w:val="21"/>
          <w:szCs w:val="21"/>
        </w:rPr>
        <w:t>日与广州广电物业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管理有限公司签订编号为GRG-MISC-2012-MISC-05-11的《广州广电运通科学城产业园物业服务合同》，期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限为2012 年6 月1 日到2013 年5 月31</w:t>
      </w:r>
      <w:r>
        <w:rPr>
          <w:rFonts w:ascii="宋体" w:hAnsi="宋体" w:cs="宋体" w:eastAsia="宋体" w:hint="default"/>
          <w:spacing w:val="-5"/>
          <w:sz w:val="21"/>
          <w:szCs w:val="21"/>
        </w:rPr>
        <w:t> </w:t>
      </w:r>
      <w:r>
        <w:rPr>
          <w:rFonts w:ascii="宋体" w:hAnsi="宋体" w:cs="宋体" w:eastAsia="宋体" w:hint="default"/>
          <w:sz w:val="21"/>
          <w:szCs w:val="21"/>
        </w:rPr>
        <w:t>日，委托管理物业面积为67,210平方米，每月固定费用为人民币</w:t>
      </w:r>
      <w:r>
        <w:rPr>
          <w:rFonts w:ascii="宋体" w:hAnsi="宋体" w:cs="宋体" w:eastAsia="宋体" w:hint="default"/>
          <w:sz w:val="21"/>
          <w:szCs w:val="21"/>
        </w:rPr>
        <w:t> 215,542.00元，临时增加管理人员费用另计，每月按双方核定并认可的服务人员人数按实结算。</w:t>
      </w:r>
    </w:p>
    <w:p>
      <w:pPr>
        <w:spacing w:line="340" w:lineRule="auto" w:before="27"/>
        <w:ind w:left="214" w:right="187" w:firstLine="360"/>
        <w:jc w:val="both"/>
        <w:rPr>
          <w:rFonts w:ascii="宋体" w:hAnsi="宋体" w:cs="宋体" w:eastAsia="宋体" w:hint="default"/>
          <w:sz w:val="21"/>
          <w:szCs w:val="21"/>
        </w:rPr>
      </w:pPr>
      <w:r>
        <w:rPr>
          <w:rFonts w:ascii="宋体" w:hAnsi="宋体" w:cs="宋体" w:eastAsia="宋体" w:hint="default"/>
          <w:spacing w:val="3"/>
          <w:sz w:val="21"/>
          <w:szCs w:val="21"/>
        </w:rPr>
        <w:t>本公司下属子公司深圳广电银通金融电子科技有限公司及广州穗通金融服务有限公司将坐落在天河</w:t>
      </w:r>
      <w:r>
        <w:rPr>
          <w:rFonts w:ascii="宋体" w:hAnsi="宋体" w:cs="宋体" w:eastAsia="宋体" w:hint="default"/>
          <w:sz w:val="21"/>
          <w:szCs w:val="21"/>
        </w:rPr>
        <w:t> </w:t>
      </w:r>
      <w:r>
        <w:rPr>
          <w:rFonts w:ascii="宋体" w:hAnsi="宋体" w:cs="宋体" w:eastAsia="宋体" w:hint="default"/>
          <w:spacing w:val="-3"/>
          <w:sz w:val="21"/>
          <w:szCs w:val="21"/>
        </w:rPr>
        <w:t>区平云路163号与广州无线电集团有限公司签订租赁合同的房屋、场地等物业以2.5元/月/平方米的价格委</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托给广州鑫广电物业服务有限公司进行管理。</w:t>
      </w:r>
    </w:p>
    <w:p>
      <w:pPr>
        <w:spacing w:line="340" w:lineRule="auto" w:before="27"/>
        <w:ind w:left="154" w:right="186" w:firstLine="420"/>
        <w:jc w:val="both"/>
        <w:rPr>
          <w:rFonts w:ascii="宋体" w:hAnsi="宋体" w:cs="宋体" w:eastAsia="宋体" w:hint="default"/>
          <w:sz w:val="21"/>
          <w:szCs w:val="21"/>
        </w:rPr>
      </w:pPr>
      <w:r>
        <w:rPr>
          <w:rFonts w:ascii="宋体" w:hAnsi="宋体" w:cs="宋体" w:eastAsia="宋体" w:hint="default"/>
          <w:spacing w:val="3"/>
          <w:sz w:val="21"/>
          <w:szCs w:val="21"/>
        </w:rPr>
        <w:t>本公司下属子公司广州穗通金融服务有限公司将清分中心委托给广州广电物业管理有限公司进行监</w:t>
      </w:r>
      <w:r>
        <w:rPr>
          <w:rFonts w:ascii="宋体" w:hAnsi="宋体" w:cs="宋体" w:eastAsia="宋体" w:hint="default"/>
          <w:sz w:val="21"/>
          <w:szCs w:val="21"/>
        </w:rPr>
        <w:t> 控管理，委托期限从2012年1月1</w:t>
      </w:r>
      <w:r>
        <w:rPr>
          <w:rFonts w:ascii="宋体" w:hAnsi="宋体" w:cs="宋体" w:eastAsia="宋体" w:hint="default"/>
          <w:spacing w:val="15"/>
          <w:sz w:val="21"/>
          <w:szCs w:val="21"/>
        </w:rPr>
        <w:t> </w:t>
      </w:r>
      <w:r>
        <w:rPr>
          <w:rFonts w:ascii="宋体" w:hAnsi="宋体" w:cs="宋体" w:eastAsia="宋体" w:hint="default"/>
          <w:sz w:val="21"/>
          <w:szCs w:val="21"/>
        </w:rPr>
        <w:t>日到2012</w:t>
      </w:r>
      <w:r>
        <w:rPr>
          <w:rFonts w:ascii="宋体" w:hAnsi="宋体" w:cs="宋体" w:eastAsia="宋体" w:hint="default"/>
          <w:spacing w:val="13"/>
          <w:sz w:val="21"/>
          <w:szCs w:val="21"/>
        </w:rPr>
        <w:t> </w:t>
      </w:r>
      <w:r>
        <w:rPr>
          <w:rFonts w:ascii="宋体" w:hAnsi="宋体" w:cs="宋体" w:eastAsia="宋体" w:hint="default"/>
          <w:sz w:val="21"/>
          <w:szCs w:val="21"/>
        </w:rPr>
        <w:t>年12</w:t>
      </w:r>
      <w:r>
        <w:rPr>
          <w:rFonts w:ascii="宋体" w:hAnsi="宋体" w:cs="宋体" w:eastAsia="宋体" w:hint="default"/>
          <w:spacing w:val="13"/>
          <w:sz w:val="21"/>
          <w:szCs w:val="21"/>
        </w:rPr>
        <w:t> </w:t>
      </w:r>
      <w:r>
        <w:rPr>
          <w:rFonts w:ascii="宋体" w:hAnsi="宋体" w:cs="宋体" w:eastAsia="宋体" w:hint="default"/>
          <w:sz w:val="21"/>
          <w:szCs w:val="21"/>
        </w:rPr>
        <w:t>月31</w:t>
      </w:r>
      <w:r>
        <w:rPr>
          <w:rFonts w:ascii="宋体" w:hAnsi="宋体" w:cs="宋体" w:eastAsia="宋体" w:hint="default"/>
          <w:spacing w:val="15"/>
          <w:sz w:val="21"/>
          <w:szCs w:val="21"/>
        </w:rPr>
        <w:t> </w:t>
      </w:r>
      <w:r>
        <w:rPr>
          <w:rFonts w:ascii="宋体" w:hAnsi="宋体" w:cs="宋体" w:eastAsia="宋体" w:hint="default"/>
          <w:sz w:val="21"/>
          <w:szCs w:val="21"/>
        </w:rPr>
        <w:t>日，服务费用为5,022.52元/月。后双方签订补充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协议,从2012年7月1</w:t>
      </w:r>
      <w:r>
        <w:rPr>
          <w:rFonts w:ascii="宋体" w:hAnsi="宋体" w:cs="宋体" w:eastAsia="宋体" w:hint="default"/>
          <w:spacing w:val="-6"/>
          <w:sz w:val="21"/>
          <w:szCs w:val="21"/>
        </w:rPr>
        <w:t> </w:t>
      </w:r>
      <w:r>
        <w:rPr>
          <w:rFonts w:ascii="宋体" w:hAnsi="宋体" w:cs="宋体" w:eastAsia="宋体" w:hint="default"/>
          <w:sz w:val="21"/>
          <w:szCs w:val="21"/>
        </w:rPr>
        <w:t>日起，每月服务费用增至10,045.02元/月。</w:t>
      </w:r>
    </w:p>
    <w:p>
      <w:pPr>
        <w:spacing w:before="27"/>
        <w:ind w:left="784" w:right="90" w:firstLine="0"/>
        <w:jc w:val="left"/>
        <w:rPr>
          <w:rFonts w:ascii="宋体" w:hAnsi="宋体" w:cs="宋体" w:eastAsia="宋体" w:hint="default"/>
          <w:sz w:val="21"/>
          <w:szCs w:val="21"/>
        </w:rPr>
      </w:pPr>
      <w:r>
        <w:rPr>
          <w:rFonts w:ascii="宋体" w:hAnsi="宋体" w:cs="宋体" w:eastAsia="宋体" w:hint="default"/>
          <w:sz w:val="21"/>
          <w:szCs w:val="21"/>
        </w:rPr>
        <w:t>2012年度、2011年度的物业管理费情况列示如下：</w:t>
      </w:r>
    </w:p>
    <w:p>
      <w:pPr>
        <w:spacing w:line="240" w:lineRule="auto" w:before="12"/>
        <w:rPr>
          <w:rFonts w:ascii="宋体" w:hAnsi="宋体" w:cs="宋体" w:eastAsia="宋体" w:hint="default"/>
          <w:sz w:val="6"/>
          <w:szCs w:val="6"/>
        </w:rPr>
      </w:pPr>
    </w:p>
    <w:tbl>
      <w:tblPr>
        <w:tblW w:w="0" w:type="auto"/>
        <w:jc w:val="left"/>
        <w:tblInd w:w="370" w:type="dxa"/>
        <w:tblLayout w:type="fixed"/>
        <w:tblCellMar>
          <w:top w:w="0" w:type="dxa"/>
          <w:left w:w="0" w:type="dxa"/>
          <w:bottom w:w="0" w:type="dxa"/>
          <w:right w:w="0" w:type="dxa"/>
        </w:tblCellMar>
        <w:tblLook w:val="01E0"/>
      </w:tblPr>
      <w:tblGrid>
        <w:gridCol w:w="3379"/>
        <w:gridCol w:w="1620"/>
        <w:gridCol w:w="1800"/>
        <w:gridCol w:w="1800"/>
      </w:tblGrid>
      <w:tr>
        <w:trPr>
          <w:trHeight w:val="450" w:hRule="exact"/>
        </w:trPr>
        <w:tc>
          <w:tcPr>
            <w:tcW w:w="3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租赁方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3,015,354.40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21"/>
                <w:szCs w:val="21"/>
              </w:rPr>
            </w:pPr>
            <w:r>
              <w:rPr>
                <w:rFonts w:ascii="宋体"/>
                <w:spacing w:val="-1"/>
                <w:sz w:val="21"/>
              </w:rPr>
              <w:t>2,284,533.50</w:t>
            </w:r>
            <w:r>
              <w:rPr>
                <w:rFonts w:ascii="宋体"/>
                <w:sz w:val="21"/>
              </w:rPr>
            </w:r>
          </w:p>
        </w:tc>
      </w:tr>
      <w:tr>
        <w:trPr>
          <w:trHeight w:val="450" w:hRule="exact"/>
        </w:trPr>
        <w:tc>
          <w:tcPr>
            <w:tcW w:w="3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21"/>
                <w:szCs w:val="21"/>
              </w:rPr>
            </w:pPr>
            <w:r>
              <w:rPr>
                <w:rFonts w:ascii="宋体"/>
                <w:spacing w:val="-1"/>
                <w:sz w:val="21"/>
              </w:rPr>
              <w:t>648,633.69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z w:val="21"/>
              </w:rPr>
              <w:t>526,979.08</w:t>
            </w:r>
          </w:p>
        </w:tc>
      </w:tr>
    </w:tbl>
    <w:p>
      <w:pPr>
        <w:spacing w:line="240" w:lineRule="auto" w:before="0"/>
        <w:rPr>
          <w:rFonts w:ascii="宋体" w:hAnsi="宋体" w:cs="宋体" w:eastAsia="宋体" w:hint="default"/>
          <w:sz w:val="29"/>
          <w:szCs w:val="29"/>
        </w:rPr>
      </w:pPr>
    </w:p>
    <w:p>
      <w:pPr>
        <w:spacing w:before="35"/>
        <w:ind w:left="680" w:right="90" w:firstLine="0"/>
        <w:jc w:val="left"/>
        <w:rPr>
          <w:rFonts w:ascii="宋体" w:hAnsi="宋体" w:cs="宋体" w:eastAsia="宋体" w:hint="default"/>
          <w:sz w:val="21"/>
          <w:szCs w:val="21"/>
        </w:rPr>
      </w:pPr>
      <w:r>
        <w:rPr>
          <w:rFonts w:ascii="宋体" w:hAnsi="宋体" w:cs="宋体" w:eastAsia="宋体" w:hint="default"/>
          <w:b/>
          <w:bCs/>
          <w:sz w:val="21"/>
          <w:szCs w:val="21"/>
        </w:rPr>
        <w:t>②关键管理人员报酬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758" w:type="dxa"/>
        <w:tblLayout w:type="fixed"/>
        <w:tblCellMar>
          <w:top w:w="0" w:type="dxa"/>
          <w:left w:w="0" w:type="dxa"/>
          <w:bottom w:w="0" w:type="dxa"/>
          <w:right w:w="0" w:type="dxa"/>
        </w:tblCellMar>
        <w:tblLook w:val="01E0"/>
      </w:tblPr>
      <w:tblGrid>
        <w:gridCol w:w="3643"/>
        <w:gridCol w:w="2126"/>
        <w:gridCol w:w="1985"/>
      </w:tblGrid>
      <w:tr>
        <w:trPr>
          <w:trHeight w:val="558" w:hRule="exact"/>
        </w:trPr>
        <w:tc>
          <w:tcPr>
            <w:tcW w:w="3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4"/>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4"/>
              <w:ind w:left="4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6" w:hRule="exact"/>
        </w:trPr>
        <w:tc>
          <w:tcPr>
            <w:tcW w:w="3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8"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2" w:right="0"/>
              <w:jc w:val="left"/>
              <w:rPr>
                <w:rFonts w:ascii="宋体" w:hAnsi="宋体" w:cs="宋体" w:eastAsia="宋体" w:hint="default"/>
                <w:sz w:val="21"/>
                <w:szCs w:val="21"/>
              </w:rPr>
            </w:pPr>
            <w:r>
              <w:rPr>
                <w:rFonts w:ascii="宋体" w:hAnsi="宋体" w:cs="宋体" w:eastAsia="宋体" w:hint="default"/>
                <w:sz w:val="21"/>
                <w:szCs w:val="21"/>
              </w:rPr>
              <w:t>1,066.62</w:t>
            </w:r>
            <w:r>
              <w:rPr>
                <w:rFonts w:ascii="宋体" w:hAnsi="宋体" w:cs="宋体" w:eastAsia="宋体" w:hint="default"/>
                <w:spacing w:val="-60"/>
                <w:sz w:val="21"/>
                <w:szCs w:val="21"/>
              </w:rPr>
              <w:t> </w:t>
            </w:r>
            <w:r>
              <w:rPr>
                <w:rFonts w:ascii="宋体" w:hAnsi="宋体" w:cs="宋体" w:eastAsia="宋体" w:hint="default"/>
                <w:sz w:val="21"/>
                <w:szCs w:val="21"/>
              </w:rPr>
              <w:t>万元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0" w:right="0"/>
              <w:jc w:val="left"/>
              <w:rPr>
                <w:rFonts w:ascii="宋体" w:hAnsi="宋体" w:cs="宋体" w:eastAsia="宋体" w:hint="default"/>
                <w:sz w:val="21"/>
                <w:szCs w:val="21"/>
              </w:rPr>
            </w:pPr>
            <w:r>
              <w:rPr>
                <w:rFonts w:ascii="宋体" w:hAnsi="宋体" w:cs="宋体" w:eastAsia="宋体" w:hint="default"/>
                <w:sz w:val="21"/>
                <w:szCs w:val="21"/>
              </w:rPr>
              <w:t>926.44</w:t>
            </w:r>
            <w:r>
              <w:rPr>
                <w:rFonts w:ascii="宋体" w:hAnsi="宋体" w:cs="宋体" w:eastAsia="宋体" w:hint="default"/>
                <w:spacing w:val="-59"/>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2" w:top="1060" w:bottom="1180" w:left="980" w:right="940"/>
        </w:sectPr>
      </w:pPr>
    </w:p>
    <w:p>
      <w:pPr>
        <w:spacing w:before="35"/>
        <w:ind w:left="154" w:right="-20" w:firstLine="0"/>
        <w:jc w:val="left"/>
        <w:rPr>
          <w:rFonts w:ascii="宋体" w:hAnsi="宋体" w:cs="宋体" w:eastAsia="宋体" w:hint="default"/>
          <w:sz w:val="21"/>
          <w:szCs w:val="21"/>
        </w:rPr>
      </w:pPr>
      <w:r>
        <w:rPr>
          <w:rFonts w:ascii="宋体" w:hAnsi="宋体" w:cs="宋体" w:eastAsia="宋体" w:hint="default"/>
          <w:sz w:val="21"/>
          <w:szCs w:val="21"/>
        </w:rPr>
        <w:t>上市公司应收关联方款项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40"/>
          <w:cols w:num="2" w:equalWidth="0">
            <w:col w:w="2465" w:space="6364"/>
            <w:col w:w="116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0"/>
        <w:gridCol w:w="2285"/>
        <w:gridCol w:w="1462"/>
        <w:gridCol w:w="1462"/>
        <w:gridCol w:w="1459"/>
        <w:gridCol w:w="146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2285"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2,820.00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141.00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26"/>
        <w:ind w:left="154" w:right="-20" w:firstLine="0"/>
        <w:jc w:val="left"/>
        <w:rPr>
          <w:rFonts w:ascii="宋体" w:hAnsi="宋体" w:cs="宋体" w:eastAsia="宋体" w:hint="default"/>
          <w:sz w:val="21"/>
          <w:szCs w:val="21"/>
        </w:rPr>
      </w:pPr>
      <w:r>
        <w:rPr>
          <w:rFonts w:ascii="宋体" w:hAnsi="宋体" w:cs="宋体" w:eastAsia="宋体" w:hint="default"/>
          <w:sz w:val="21"/>
          <w:szCs w:val="21"/>
        </w:rPr>
        <w:t>上市公司应付关联方款项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465" w:space="636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3260"/>
        <w:gridCol w:w="2065"/>
        <w:gridCol w:w="2257"/>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34,911.50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广州鑫广电物业服务有限公司</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51,001.20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13,674.47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4,155,660.64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2,347,269.16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w:t>
            </w:r>
          </w:p>
        </w:tc>
        <w:tc>
          <w:tcPr>
            <w:tcW w:w="22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499" w:lineRule="auto" w:before="26"/>
        <w:ind w:left="154" w:right="7250" w:firstLine="0"/>
        <w:jc w:val="left"/>
        <w:rPr>
          <w:rFonts w:ascii="宋体" w:hAnsi="宋体" w:cs="宋体" w:eastAsia="宋体" w:hint="default"/>
          <w:sz w:val="24"/>
          <w:szCs w:val="24"/>
        </w:rPr>
      </w:pPr>
      <w:r>
        <w:rPr>
          <w:rFonts w:ascii="宋体" w:hAnsi="宋体" w:cs="宋体" w:eastAsia="宋体" w:hint="default"/>
          <w:b/>
          <w:bCs/>
          <w:sz w:val="24"/>
          <w:szCs w:val="24"/>
        </w:rPr>
        <w:t>九、股份支付</w:t>
      </w:r>
      <w:r>
        <w:rPr>
          <w:rFonts w:ascii="宋体" w:hAnsi="宋体" w:cs="宋体" w:eastAsia="宋体" w:hint="default"/>
          <w:b/>
          <w:bCs/>
          <w:w w:val="99"/>
          <w:sz w:val="24"/>
          <w:szCs w:val="24"/>
        </w:rPr>
        <w:t> </w:t>
      </w:r>
      <w:r>
        <w:rPr>
          <w:rFonts w:ascii="宋体" w:hAnsi="宋体" w:cs="宋体" w:eastAsia="宋体" w:hint="default"/>
          <w:sz w:val="21"/>
          <w:szCs w:val="21"/>
        </w:rPr>
        <w:t>本公司本期未发生该事项。 </w:t>
      </w:r>
      <w:r>
        <w:rPr>
          <w:rFonts w:ascii="宋体" w:hAnsi="宋体" w:cs="宋体" w:eastAsia="宋体" w:hint="default"/>
          <w:b/>
          <w:bCs/>
          <w:sz w:val="24"/>
          <w:szCs w:val="24"/>
        </w:rPr>
        <w:t>十、或有事项</w:t>
      </w:r>
      <w:r>
        <w:rPr>
          <w:rFonts w:ascii="宋体" w:hAnsi="宋体" w:cs="宋体" w:eastAsia="宋体" w:hint="default"/>
          <w:sz w:val="24"/>
          <w:szCs w:val="24"/>
        </w:rPr>
      </w:r>
    </w:p>
    <w:p>
      <w:pPr>
        <w:spacing w:line="506" w:lineRule="auto" w:before="64"/>
        <w:ind w:left="490" w:right="5239"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spacing w:line="506" w:lineRule="auto" w:before="105"/>
        <w:ind w:left="490" w:right="439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3"/>
        <w:spacing w:line="240" w:lineRule="auto" w:before="105"/>
        <w:ind w:right="0"/>
        <w:jc w:val="left"/>
        <w:rPr>
          <w:b w:val="0"/>
          <w:bCs w:val="0"/>
        </w:rPr>
      </w:pPr>
      <w:r>
        <w:rPr>
          <w:rFonts w:ascii="Times New Roman" w:hAnsi="Times New Roman" w:cs="Times New Roman" w:eastAsia="Times New Roman" w:hint="default"/>
        </w:rPr>
        <w:t>3</w:t>
      </w:r>
      <w:r>
        <w:rPr/>
        <w:t>、其他或有负债及其财务影响</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060" w:bottom="1180" w:left="980" w:right="980"/>
        </w:sectPr>
      </w:pPr>
    </w:p>
    <w:p>
      <w:pPr>
        <w:spacing w:before="35"/>
        <w:ind w:left="169" w:right="-20" w:firstLine="0"/>
        <w:jc w:val="left"/>
        <w:rPr>
          <w:rFonts w:ascii="宋体" w:hAnsi="宋体" w:cs="宋体" w:eastAsia="宋体" w:hint="default"/>
          <w:sz w:val="21"/>
          <w:szCs w:val="21"/>
        </w:rPr>
      </w:pPr>
      <w:r>
        <w:rPr>
          <w:rFonts w:ascii="宋体" w:hAnsi="宋体" w:cs="宋体" w:eastAsia="宋体" w:hint="default"/>
          <w:sz w:val="21"/>
          <w:szCs w:val="21"/>
        </w:rPr>
        <w:t>（1）截至报告日止本公司未结清保函：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169" w:right="0"/>
        <w:jc w:val="left"/>
      </w:pPr>
      <w:r>
        <w:rPr/>
        <w:t>单位： 元</w:t>
      </w:r>
    </w:p>
    <w:p>
      <w:pPr>
        <w:spacing w:after="0" w:line="240" w:lineRule="auto"/>
        <w:jc w:val="left"/>
        <w:sectPr>
          <w:type w:val="continuous"/>
          <w:pgSz w:w="11910" w:h="16840"/>
          <w:pgMar w:top="1060" w:bottom="1180" w:left="980" w:right="980"/>
          <w:cols w:num="2" w:equalWidth="0">
            <w:col w:w="3845" w:space="4593"/>
            <w:col w:w="1512"/>
          </w:cols>
        </w:sectPr>
      </w:pPr>
    </w:p>
    <w:p>
      <w:pPr>
        <w:spacing w:line="240" w:lineRule="auto" w:before="1"/>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546"/>
        <w:gridCol w:w="1440"/>
        <w:gridCol w:w="1440"/>
        <w:gridCol w:w="1080"/>
        <w:gridCol w:w="1440"/>
        <w:gridCol w:w="1384"/>
      </w:tblGrid>
      <w:tr>
        <w:trPr>
          <w:trHeight w:val="758" w:hRule="exact"/>
        </w:trPr>
        <w:tc>
          <w:tcPr>
            <w:tcW w:w="254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0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71"/>
              <w:ind w:left="176" w:right="77" w:hanging="90"/>
              <w:jc w:val="left"/>
              <w:rPr>
                <w:rFonts w:ascii="宋体" w:hAnsi="宋体" w:cs="宋体" w:eastAsia="宋体" w:hint="default"/>
                <w:sz w:val="18"/>
                <w:szCs w:val="18"/>
              </w:rPr>
            </w:pPr>
            <w:r>
              <w:rPr>
                <w:rFonts w:ascii="宋体" w:hAnsi="宋体" w:cs="宋体" w:eastAsia="宋体" w:hint="default"/>
                <w:sz w:val="18"/>
                <w:szCs w:val="18"/>
              </w:rPr>
              <w:t>经济利益流出不 确定性的说明</w:t>
            </w:r>
          </w:p>
        </w:tc>
        <w:tc>
          <w:tcPr>
            <w:tcW w:w="13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57" w:lineRule="auto" w:before="52"/>
              <w:ind w:left="327" w:right="229" w:hanging="90"/>
              <w:jc w:val="left"/>
              <w:rPr>
                <w:rFonts w:ascii="宋体" w:hAnsi="宋体" w:cs="宋体" w:eastAsia="宋体" w:hint="default"/>
                <w:sz w:val="18"/>
                <w:szCs w:val="18"/>
              </w:rPr>
            </w:pPr>
            <w:r>
              <w:rPr>
                <w:rFonts w:ascii="宋体" w:hAnsi="宋体" w:cs="宋体" w:eastAsia="宋体" w:hint="default"/>
                <w:sz w:val="18"/>
                <w:szCs w:val="18"/>
              </w:rPr>
              <w:t>对本公司的 财务影响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11"/>
              <w:ind w:left="100" w:right="97"/>
              <w:jc w:val="left"/>
              <w:rPr>
                <w:rFonts w:ascii="宋体" w:hAnsi="宋体" w:cs="宋体" w:eastAsia="宋体" w:hint="default"/>
                <w:sz w:val="20"/>
                <w:szCs w:val="20"/>
              </w:rPr>
            </w:pPr>
            <w:r>
              <w:rPr>
                <w:rFonts w:ascii="宋体" w:hAnsi="宋体" w:cs="宋体" w:eastAsia="宋体" w:hint="default"/>
                <w:spacing w:val="10"/>
                <w:sz w:val="20"/>
                <w:szCs w:val="20"/>
              </w:rPr>
              <w:t>北京北控电信通信技术有</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2"/>
              <w:jc w:val="center"/>
              <w:rPr>
                <w:rFonts w:ascii="Times New Roman" w:hAnsi="Times New Roman" w:cs="Times New Roman" w:eastAsia="Times New Roman" w:hint="default"/>
                <w:sz w:val="18"/>
                <w:szCs w:val="18"/>
              </w:rPr>
            </w:pPr>
            <w:r>
              <w:rPr>
                <w:rFonts w:ascii="Times New Roman"/>
                <w:sz w:val="18"/>
              </w:rPr>
              <w:t>1,730,225.30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2010/2/8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2013/2/8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方正国际软件有限公司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2"/>
              <w:jc w:val="center"/>
              <w:rPr>
                <w:rFonts w:ascii="Times New Roman" w:hAnsi="Times New Roman" w:cs="Times New Roman" w:eastAsia="Times New Roman" w:hint="default"/>
                <w:sz w:val="18"/>
                <w:szCs w:val="18"/>
              </w:rPr>
            </w:pPr>
            <w:r>
              <w:rPr>
                <w:rFonts w:ascii="Times New Roman"/>
                <w:sz w:val="18"/>
              </w:rPr>
              <w:t>4,363,316.80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2010/1/20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2013/1/20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10"/>
              <w:ind w:left="100" w:right="97"/>
              <w:jc w:val="left"/>
              <w:rPr>
                <w:rFonts w:ascii="宋体" w:hAnsi="宋体" w:cs="宋体" w:eastAsia="宋体" w:hint="default"/>
                <w:sz w:val="20"/>
                <w:szCs w:val="20"/>
              </w:rPr>
            </w:pPr>
            <w:r>
              <w:rPr>
                <w:rFonts w:ascii="宋体" w:hAnsi="宋体" w:cs="宋体" w:eastAsia="宋体" w:hint="default"/>
                <w:spacing w:val="10"/>
                <w:sz w:val="20"/>
                <w:szCs w:val="20"/>
              </w:rPr>
              <w:t>北京方正奥德计算机系统</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2"/>
              <w:jc w:val="center"/>
              <w:rPr>
                <w:rFonts w:ascii="Times New Roman" w:hAnsi="Times New Roman" w:cs="Times New Roman" w:eastAsia="Times New Roman" w:hint="default"/>
                <w:sz w:val="18"/>
                <w:szCs w:val="18"/>
              </w:rPr>
            </w:pPr>
            <w:r>
              <w:rPr>
                <w:rFonts w:ascii="Times New Roman"/>
                <w:sz w:val="18"/>
              </w:rPr>
              <w:t>2,660,580.00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2011/2/25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至</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2013/6/30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bl>
    <w:p>
      <w:pPr>
        <w:spacing w:after="0" w:line="319"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00" w:type="dxa"/>
        <w:tblLayout w:type="fixed"/>
        <w:tblCellMar>
          <w:top w:w="0" w:type="dxa"/>
          <w:left w:w="0" w:type="dxa"/>
          <w:bottom w:w="0" w:type="dxa"/>
          <w:right w:w="0" w:type="dxa"/>
        </w:tblCellMar>
        <w:tblLook w:val="01E0"/>
      </w:tblPr>
      <w:tblGrid>
        <w:gridCol w:w="2546"/>
        <w:gridCol w:w="1440"/>
        <w:gridCol w:w="1440"/>
        <w:gridCol w:w="1080"/>
        <w:gridCol w:w="1440"/>
        <w:gridCol w:w="1384"/>
      </w:tblGrid>
      <w:tr>
        <w:trPr>
          <w:trHeight w:val="758" w:hRule="exact"/>
        </w:trPr>
        <w:tc>
          <w:tcPr>
            <w:tcW w:w="254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0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71"/>
              <w:ind w:left="176" w:right="77" w:hanging="90"/>
              <w:jc w:val="left"/>
              <w:rPr>
                <w:rFonts w:ascii="宋体" w:hAnsi="宋体" w:cs="宋体" w:eastAsia="宋体" w:hint="default"/>
                <w:sz w:val="18"/>
                <w:szCs w:val="18"/>
              </w:rPr>
            </w:pPr>
            <w:r>
              <w:rPr>
                <w:rFonts w:ascii="宋体" w:hAnsi="宋体" w:cs="宋体" w:eastAsia="宋体" w:hint="default"/>
                <w:sz w:val="18"/>
                <w:szCs w:val="18"/>
              </w:rPr>
              <w:t>经济利益流出不 确定性的说明</w:t>
            </w:r>
          </w:p>
        </w:tc>
        <w:tc>
          <w:tcPr>
            <w:tcW w:w="13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2"/>
              <w:ind w:left="327" w:right="229" w:hanging="90"/>
              <w:jc w:val="left"/>
              <w:rPr>
                <w:rFonts w:ascii="宋体" w:hAnsi="宋体" w:cs="宋体" w:eastAsia="宋体" w:hint="default"/>
                <w:sz w:val="18"/>
                <w:szCs w:val="18"/>
              </w:rPr>
            </w:pPr>
            <w:r>
              <w:rPr>
                <w:rFonts w:ascii="宋体" w:hAnsi="宋体" w:cs="宋体" w:eastAsia="宋体" w:hint="default"/>
                <w:sz w:val="18"/>
                <w:szCs w:val="18"/>
              </w:rPr>
              <w:t>对本公司的 财务影响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100" w:right="269"/>
              <w:jc w:val="left"/>
              <w:rPr>
                <w:rFonts w:ascii="宋体" w:hAnsi="宋体" w:cs="宋体" w:eastAsia="宋体" w:hint="default"/>
                <w:sz w:val="18"/>
                <w:szCs w:val="18"/>
              </w:rPr>
            </w:pPr>
            <w:r>
              <w:rPr>
                <w:rFonts w:ascii="宋体" w:hAnsi="宋体" w:cs="宋体" w:eastAsia="宋体" w:hint="default"/>
                <w:sz w:val="18"/>
                <w:szCs w:val="18"/>
              </w:rPr>
              <w:t>交通银行股份有限公司广州 天河支行</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05"/>
              <w:jc w:val="right"/>
              <w:rPr>
                <w:rFonts w:ascii="Times New Roman" w:hAnsi="Times New Roman" w:cs="Times New Roman" w:eastAsia="Times New Roman" w:hint="default"/>
                <w:sz w:val="18"/>
                <w:szCs w:val="18"/>
              </w:rPr>
            </w:pPr>
            <w:r>
              <w:rPr>
                <w:rFonts w:ascii="Times New Roman"/>
                <w:sz w:val="18"/>
              </w:rPr>
              <w:t>741,557.02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27" w:right="0"/>
              <w:jc w:val="left"/>
              <w:rPr>
                <w:rFonts w:ascii="宋体" w:hAnsi="宋体" w:cs="宋体" w:eastAsia="宋体" w:hint="default"/>
                <w:sz w:val="20"/>
                <w:szCs w:val="20"/>
              </w:rPr>
            </w:pPr>
            <w:r>
              <w:rPr>
                <w:rFonts w:ascii="Times New Roman" w:hAnsi="Times New Roman" w:cs="Times New Roman" w:eastAsia="Times New Roman" w:hint="default"/>
                <w:sz w:val="18"/>
                <w:szCs w:val="18"/>
              </w:rPr>
              <w:t>2011/5/19</w:t>
            </w:r>
            <w:r>
              <w:rPr>
                <w:rFonts w:ascii="Times New Roman" w:hAnsi="Times New Roman" w:cs="Times New Roman" w:eastAsia="Times New Roman" w:hint="default"/>
                <w:spacing w:val="-9"/>
                <w:sz w:val="18"/>
                <w:szCs w:val="18"/>
              </w:rPr>
              <w:t> </w:t>
            </w:r>
            <w:r>
              <w:rPr>
                <w:rFonts w:ascii="宋体" w:hAnsi="宋体" w:cs="宋体" w:eastAsia="宋体" w:hint="default"/>
                <w:sz w:val="20"/>
                <w:szCs w:val="20"/>
              </w:rPr>
              <w:t>至</w:t>
            </w:r>
          </w:p>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2012/12/31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5" w:right="0"/>
              <w:jc w:val="left"/>
              <w:rPr>
                <w:rFonts w:ascii="Times New Roman" w:hAnsi="Times New Roman" w:cs="Times New Roman" w:eastAsia="Times New Roman" w:hint="default"/>
                <w:sz w:val="18"/>
                <w:szCs w:val="18"/>
              </w:rPr>
            </w:pPr>
            <w:r>
              <w:rPr>
                <w:rFonts w:ascii="Times New Roman"/>
                <w:sz w:val="18"/>
              </w:rPr>
              <w:t>951,300.00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2012/5/9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2013/5/10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1,783,900.00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2012/5/9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2013/5/10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2"/>
              <w:jc w:val="right"/>
              <w:rPr>
                <w:rFonts w:ascii="Times New Roman" w:hAnsi="Times New Roman" w:cs="Times New Roman" w:eastAsia="Times New Roman" w:hint="default"/>
                <w:sz w:val="18"/>
                <w:szCs w:val="18"/>
              </w:rPr>
            </w:pPr>
            <w:r>
              <w:rPr>
                <w:rFonts w:ascii="Times New Roman"/>
                <w:spacing w:val="-1"/>
                <w:sz w:val="18"/>
              </w:rPr>
              <w:t>1,611,180.00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23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2012/5/9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306" w:right="0"/>
              <w:jc w:val="left"/>
              <w:rPr>
                <w:rFonts w:ascii="Times New Roman" w:hAnsi="Times New Roman" w:cs="Times New Roman" w:eastAsia="Times New Roman" w:hint="default"/>
                <w:sz w:val="20"/>
                <w:szCs w:val="20"/>
              </w:rPr>
            </w:pPr>
            <w:r>
              <w:rPr>
                <w:rFonts w:ascii="Times New Roman"/>
                <w:sz w:val="20"/>
              </w:rPr>
              <w:t>2013/5/10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10"/>
              <w:ind w:left="100" w:right="97"/>
              <w:jc w:val="left"/>
              <w:rPr>
                <w:rFonts w:ascii="宋体" w:hAnsi="宋体" w:cs="宋体" w:eastAsia="宋体" w:hint="default"/>
                <w:sz w:val="20"/>
                <w:szCs w:val="20"/>
              </w:rPr>
            </w:pPr>
            <w:r>
              <w:rPr>
                <w:rFonts w:ascii="宋体" w:hAnsi="宋体" w:cs="宋体" w:eastAsia="宋体" w:hint="default"/>
                <w:spacing w:val="10"/>
                <w:sz w:val="20"/>
                <w:szCs w:val="20"/>
              </w:rPr>
              <w:t>浙江浙大网新众合轨道交</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通工程有限公司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5" w:right="0"/>
              <w:jc w:val="left"/>
              <w:rPr>
                <w:rFonts w:ascii="Times New Roman" w:hAnsi="Times New Roman" w:cs="Times New Roman" w:eastAsia="Times New Roman" w:hint="default"/>
                <w:sz w:val="18"/>
                <w:szCs w:val="18"/>
              </w:rPr>
            </w:pPr>
            <w:r>
              <w:rPr>
                <w:rFonts w:ascii="Times New Roman"/>
                <w:sz w:val="18"/>
              </w:rPr>
              <w:t>715,920.00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2012/7/17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2014/3/30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1,700,680.00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2012/9/27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5" w:right="0"/>
              <w:jc w:val="left"/>
              <w:rPr>
                <w:rFonts w:ascii="Times New Roman" w:hAnsi="Times New Roman" w:cs="Times New Roman" w:eastAsia="Times New Roman" w:hint="default"/>
                <w:sz w:val="18"/>
                <w:szCs w:val="18"/>
              </w:rPr>
            </w:pPr>
            <w:r>
              <w:rPr>
                <w:rFonts w:ascii="Times New Roman"/>
                <w:sz w:val="18"/>
              </w:rPr>
              <w:t>235,320.00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2012/9/27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1,391,000.00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2012/9/27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1,226,760.00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2012/9/27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2013/9/5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10"/>
              <w:ind w:left="100" w:right="97"/>
              <w:jc w:val="left"/>
              <w:rPr>
                <w:rFonts w:ascii="宋体" w:hAnsi="宋体" w:cs="宋体" w:eastAsia="宋体" w:hint="default"/>
                <w:sz w:val="20"/>
                <w:szCs w:val="20"/>
              </w:rPr>
            </w:pPr>
            <w:r>
              <w:rPr>
                <w:rFonts w:ascii="宋体" w:hAnsi="宋体" w:cs="宋体" w:eastAsia="宋体" w:hint="default"/>
                <w:spacing w:val="10"/>
                <w:sz w:val="20"/>
                <w:szCs w:val="20"/>
              </w:rPr>
              <w:t>浙江浙大网新众合轨道交</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通工程有限公司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10" w:right="0"/>
              <w:jc w:val="left"/>
              <w:rPr>
                <w:rFonts w:ascii="Times New Roman" w:hAnsi="Times New Roman" w:cs="Times New Roman" w:eastAsia="Times New Roman" w:hint="default"/>
                <w:sz w:val="18"/>
                <w:szCs w:val="18"/>
              </w:rPr>
            </w:pPr>
            <w:r>
              <w:rPr>
                <w:rFonts w:ascii="Times New Roman"/>
                <w:sz w:val="18"/>
              </w:rPr>
              <w:t>52,800.00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2012/11/20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2013/12/30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6"/>
              <w:jc w:val="right"/>
              <w:rPr>
                <w:rFonts w:ascii="Times New Roman" w:hAnsi="Times New Roman" w:cs="Times New Roman" w:eastAsia="Times New Roman" w:hint="default"/>
                <w:sz w:val="18"/>
                <w:szCs w:val="18"/>
              </w:rPr>
            </w:pPr>
            <w:r>
              <w:rPr>
                <w:rFonts w:ascii="Times New Roman"/>
                <w:spacing w:val="-2"/>
                <w:sz w:val="18"/>
              </w:rPr>
              <w:t>2,111,290.00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2012/12/6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260" w:right="0"/>
              <w:jc w:val="left"/>
              <w:rPr>
                <w:rFonts w:ascii="Times New Roman" w:hAnsi="Times New Roman" w:cs="Times New Roman" w:eastAsia="Times New Roman" w:hint="default"/>
                <w:sz w:val="20"/>
                <w:szCs w:val="20"/>
              </w:rPr>
            </w:pPr>
            <w:r>
              <w:rPr>
                <w:rFonts w:ascii="Times New Roman"/>
                <w:sz w:val="20"/>
              </w:rPr>
              <w:t>2013/11/14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3,610,580.00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2012/12/6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260" w:right="0"/>
              <w:jc w:val="left"/>
              <w:rPr>
                <w:rFonts w:ascii="Times New Roman" w:hAnsi="Times New Roman" w:cs="Times New Roman" w:eastAsia="Times New Roman" w:hint="default"/>
                <w:sz w:val="20"/>
                <w:szCs w:val="20"/>
              </w:rPr>
            </w:pPr>
            <w:r>
              <w:rPr>
                <w:rFonts w:ascii="Times New Roman"/>
                <w:sz w:val="20"/>
              </w:rPr>
              <w:t>2013/11/14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2,071,490.00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2012/12/6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260" w:right="0"/>
              <w:jc w:val="left"/>
              <w:rPr>
                <w:rFonts w:ascii="Times New Roman" w:hAnsi="Times New Roman" w:cs="Times New Roman" w:eastAsia="Times New Roman" w:hint="default"/>
                <w:sz w:val="20"/>
                <w:szCs w:val="20"/>
              </w:rPr>
            </w:pPr>
            <w:r>
              <w:rPr>
                <w:rFonts w:ascii="Times New Roman"/>
                <w:sz w:val="20"/>
              </w:rPr>
              <w:t>2013/11/14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80"/>
              <w:jc w:val="right"/>
              <w:rPr>
                <w:rFonts w:ascii="Times New Roman" w:hAnsi="Times New Roman" w:cs="Times New Roman" w:eastAsia="Times New Roman" w:hint="default"/>
                <w:sz w:val="18"/>
                <w:szCs w:val="18"/>
              </w:rPr>
            </w:pPr>
            <w:r>
              <w:rPr>
                <w:rFonts w:ascii="Times New Roman"/>
                <w:spacing w:val="-1"/>
                <w:sz w:val="18"/>
              </w:rPr>
              <w:t>1,792,350.00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2012/12/6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left="260" w:right="0"/>
              <w:jc w:val="left"/>
              <w:rPr>
                <w:rFonts w:ascii="Times New Roman" w:hAnsi="Times New Roman" w:cs="Times New Roman" w:eastAsia="Times New Roman" w:hint="default"/>
                <w:sz w:val="20"/>
                <w:szCs w:val="20"/>
              </w:rPr>
            </w:pPr>
            <w:r>
              <w:rPr>
                <w:rFonts w:ascii="Times New Roman"/>
                <w:sz w:val="20"/>
              </w:rPr>
              <w:t>2013/11/14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4"/>
              <w:jc w:val="right"/>
              <w:rPr>
                <w:rFonts w:ascii="Times New Roman" w:hAnsi="Times New Roman" w:cs="Times New Roman" w:eastAsia="Times New Roman" w:hint="default"/>
                <w:sz w:val="18"/>
                <w:szCs w:val="18"/>
              </w:rPr>
            </w:pPr>
            <w:r>
              <w:rPr>
                <w:rFonts w:ascii="Times New Roman"/>
                <w:spacing w:val="-1"/>
                <w:sz w:val="18"/>
              </w:rPr>
              <w:t>28,750,249.12</w:t>
            </w:r>
          </w:p>
        </w:tc>
        <w:tc>
          <w:tcPr>
            <w:tcW w:w="144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00" w:type="dxa"/>
        <w:tblLayout w:type="fixed"/>
        <w:tblCellMar>
          <w:top w:w="0" w:type="dxa"/>
          <w:left w:w="0" w:type="dxa"/>
          <w:bottom w:w="0" w:type="dxa"/>
          <w:right w:w="0" w:type="dxa"/>
        </w:tblCellMar>
        <w:tblLook w:val="01E0"/>
      </w:tblPr>
      <w:tblGrid>
        <w:gridCol w:w="2546"/>
        <w:gridCol w:w="1440"/>
        <w:gridCol w:w="1440"/>
        <w:gridCol w:w="1080"/>
        <w:gridCol w:w="1440"/>
        <w:gridCol w:w="1384"/>
      </w:tblGrid>
      <w:tr>
        <w:trPr>
          <w:trHeight w:val="758" w:hRule="exact"/>
        </w:trPr>
        <w:tc>
          <w:tcPr>
            <w:tcW w:w="254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08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44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71"/>
              <w:ind w:left="176" w:right="77" w:hanging="90"/>
              <w:jc w:val="left"/>
              <w:rPr>
                <w:rFonts w:ascii="宋体" w:hAnsi="宋体" w:cs="宋体" w:eastAsia="宋体" w:hint="default"/>
                <w:sz w:val="18"/>
                <w:szCs w:val="18"/>
              </w:rPr>
            </w:pPr>
            <w:r>
              <w:rPr>
                <w:rFonts w:ascii="宋体" w:hAnsi="宋体" w:cs="宋体" w:eastAsia="宋体" w:hint="default"/>
                <w:sz w:val="18"/>
                <w:szCs w:val="18"/>
              </w:rPr>
              <w:t>经济利益流出不 确定性的说明</w:t>
            </w:r>
          </w:p>
        </w:tc>
        <w:tc>
          <w:tcPr>
            <w:tcW w:w="13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60" w:lineRule="auto" w:before="52"/>
              <w:ind w:left="327" w:right="229" w:hanging="90"/>
              <w:jc w:val="left"/>
              <w:rPr>
                <w:rFonts w:ascii="宋体" w:hAnsi="宋体" w:cs="宋体" w:eastAsia="宋体" w:hint="default"/>
                <w:sz w:val="18"/>
                <w:szCs w:val="18"/>
              </w:rPr>
            </w:pPr>
            <w:r>
              <w:rPr>
                <w:rFonts w:ascii="宋体" w:hAnsi="宋体" w:cs="宋体" w:eastAsia="宋体" w:hint="default"/>
                <w:sz w:val="18"/>
                <w:szCs w:val="18"/>
              </w:rPr>
              <w:t>对本公司的 财务影响</w:t>
            </w:r>
          </w:p>
        </w:tc>
      </w:tr>
      <w:tr>
        <w:trPr>
          <w:trHeight w:val="870"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中国银行（香港）</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82"/>
              <w:jc w:val="center"/>
              <w:rPr>
                <w:rFonts w:ascii="Times New Roman" w:hAnsi="Times New Roman" w:cs="Times New Roman" w:eastAsia="Times New Roman" w:hint="default"/>
                <w:sz w:val="18"/>
                <w:szCs w:val="18"/>
              </w:rPr>
            </w:pPr>
            <w:r>
              <w:rPr>
                <w:rFonts w:ascii="Times New Roman"/>
                <w:sz w:val="18"/>
              </w:rPr>
              <w:t>USD3,124,650.00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2011/6/27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至</w:t>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sz w:val="20"/>
              </w:rPr>
              <w:t>2014/5/24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7"/>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1032"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82"/>
              <w:ind w:left="100" w:right="96"/>
              <w:jc w:val="left"/>
              <w:rPr>
                <w:rFonts w:ascii="Times New Roman" w:hAnsi="Times New Roman" w:cs="Times New Roman" w:eastAsia="Times New Roman" w:hint="default"/>
                <w:sz w:val="20"/>
                <w:szCs w:val="20"/>
              </w:rPr>
            </w:pPr>
            <w:r>
              <w:rPr>
                <w:rFonts w:ascii="Times New Roman"/>
                <w:spacing w:val="-9"/>
                <w:sz w:val="20"/>
              </w:rPr>
              <w:t>AWASH</w:t>
            </w:r>
            <w:r>
              <w:rPr>
                <w:rFonts w:ascii="Times New Roman"/>
                <w:spacing w:val="14"/>
                <w:sz w:val="20"/>
              </w:rPr>
              <w:t> </w:t>
            </w:r>
            <w:r>
              <w:rPr>
                <w:rFonts w:ascii="Times New Roman"/>
                <w:spacing w:val="14"/>
                <w:sz w:val="20"/>
              </w:rPr>
            </w:r>
            <w:r>
              <w:rPr>
                <w:rFonts w:ascii="Times New Roman"/>
                <w:spacing w:val="-3"/>
                <w:sz w:val="20"/>
              </w:rPr>
              <w:t>INTERNATIONAL</w:t>
            </w:r>
            <w:r>
              <w:rPr>
                <w:rFonts w:ascii="Times New Roman"/>
                <w:spacing w:val="-47"/>
                <w:sz w:val="20"/>
              </w:rPr>
              <w:t> </w:t>
            </w:r>
            <w:r>
              <w:rPr>
                <w:rFonts w:ascii="Times New Roman"/>
                <w:sz w:val="20"/>
              </w:rPr>
              <w:t>BANK</w:t>
            </w:r>
            <w:r>
              <w:rPr>
                <w:rFonts w:ascii="Times New Roman"/>
                <w:spacing w:val="-5"/>
                <w:sz w:val="20"/>
              </w:rPr>
              <w:t> </w:t>
            </w:r>
            <w:r>
              <w:rPr>
                <w:rFonts w:ascii="Times New Roman"/>
                <w:spacing w:val="-5"/>
                <w:sz w:val="20"/>
              </w:rPr>
            </w:r>
            <w:r>
              <w:rPr>
                <w:rFonts w:ascii="Times New Roman"/>
                <w:sz w:val="20"/>
              </w:rPr>
              <w:t>S.C</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2"/>
              <w:jc w:val="center"/>
              <w:rPr>
                <w:rFonts w:ascii="Times New Roman" w:hAnsi="Times New Roman" w:cs="Times New Roman" w:eastAsia="Times New Roman" w:hint="default"/>
                <w:sz w:val="18"/>
                <w:szCs w:val="18"/>
              </w:rPr>
            </w:pPr>
            <w:r>
              <w:rPr>
                <w:rFonts w:ascii="Times New Roman"/>
                <w:sz w:val="18"/>
              </w:rPr>
              <w:t>USD40,000.00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2012/12/24</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2013/6/2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52" w:right="170" w:hanging="180"/>
              <w:jc w:val="left"/>
              <w:rPr>
                <w:rFonts w:ascii="宋体" w:hAnsi="宋体" w:cs="宋体" w:eastAsia="宋体" w:hint="default"/>
                <w:sz w:val="18"/>
                <w:szCs w:val="18"/>
              </w:rPr>
            </w:pPr>
            <w:r>
              <w:rPr>
                <w:rFonts w:ascii="宋体" w:hAnsi="宋体" w:cs="宋体" w:eastAsia="宋体" w:hint="default"/>
                <w:sz w:val="18"/>
                <w:szCs w:val="18"/>
              </w:rPr>
              <w:t>合同履约 保函</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36" w:right="77"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7" w:right="49" w:hanging="180"/>
              <w:jc w:val="left"/>
              <w:rPr>
                <w:rFonts w:ascii="宋体" w:hAnsi="宋体" w:cs="宋体" w:eastAsia="宋体" w:hint="default"/>
                <w:sz w:val="18"/>
                <w:szCs w:val="18"/>
              </w:rPr>
            </w:pPr>
            <w:r>
              <w:rPr>
                <w:rFonts w:ascii="宋体" w:hAnsi="宋体" w:cs="宋体" w:eastAsia="宋体" w:hint="default"/>
                <w:sz w:val="18"/>
                <w:szCs w:val="18"/>
              </w:rPr>
              <w:t>对本公司财务没 有重大影响</w:t>
            </w:r>
          </w:p>
        </w:tc>
      </w:tr>
      <w:tr>
        <w:trPr>
          <w:trHeight w:val="869" w:hRule="exact"/>
        </w:trPr>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62" w:lineRule="auto"/>
              <w:ind w:left="240" w:right="238" w:firstLine="252"/>
              <w:jc w:val="left"/>
              <w:rPr>
                <w:rFonts w:ascii="Times New Roman" w:hAnsi="Times New Roman" w:cs="Times New Roman" w:eastAsia="Times New Roman" w:hint="default"/>
                <w:sz w:val="18"/>
                <w:szCs w:val="18"/>
              </w:rPr>
            </w:pPr>
            <w:r>
              <w:rPr>
                <w:rFonts w:ascii="Times New Roman"/>
                <w:sz w:val="18"/>
              </w:rPr>
              <w:t>USD</w:t>
            </w:r>
            <w:r>
              <w:rPr>
                <w:rFonts w:ascii="Times New Roman"/>
                <w:spacing w:val="-1"/>
                <w:sz w:val="18"/>
              </w:rPr>
              <w:t> </w:t>
            </w:r>
            <w:r>
              <w:rPr>
                <w:rFonts w:ascii="Times New Roman"/>
                <w:sz w:val="18"/>
              </w:rPr>
              <w:t>3,164,650.00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Times New Roman" w:hAnsi="Times New Roman" w:cs="Times New Roman" w:eastAsia="Times New Roman" w:hint="default"/>
          <w:sz w:val="26"/>
          <w:szCs w:val="26"/>
        </w:rPr>
      </w:pPr>
    </w:p>
    <w:p>
      <w:pPr>
        <w:spacing w:line="340" w:lineRule="auto" w:before="35"/>
        <w:ind w:left="153" w:right="148" w:firstLine="420"/>
        <w:jc w:val="both"/>
        <w:rPr>
          <w:rFonts w:ascii="宋体" w:hAnsi="宋体" w:cs="宋体" w:eastAsia="宋体" w:hint="default"/>
          <w:sz w:val="21"/>
          <w:szCs w:val="21"/>
        </w:rPr>
      </w:pPr>
      <w:r>
        <w:rPr>
          <w:rFonts w:ascii="宋体" w:hAnsi="宋体" w:cs="宋体" w:eastAsia="宋体" w:hint="default"/>
          <w:spacing w:val="2"/>
          <w:sz w:val="21"/>
          <w:szCs w:val="21"/>
        </w:rPr>
        <w:t>（2）本公司的子公司GRGBankingEquipment(HK)Co.,Limited以应收帐款作为质押给Bank </w:t>
      </w:r>
      <w:r>
        <w:rPr>
          <w:rFonts w:ascii="宋体" w:hAnsi="宋体" w:cs="宋体" w:eastAsia="宋体" w:hint="default"/>
          <w:sz w:val="21"/>
          <w:szCs w:val="21"/>
        </w:rPr>
        <w:t>of</w:t>
      </w:r>
      <w:r>
        <w:rPr>
          <w:rFonts w:ascii="宋体" w:hAnsi="宋体" w:cs="宋体" w:eastAsia="宋体" w:hint="default"/>
          <w:spacing w:val="35"/>
          <w:sz w:val="21"/>
          <w:szCs w:val="21"/>
        </w:rPr>
        <w:t> </w:t>
      </w:r>
      <w:r>
        <w:rPr>
          <w:rFonts w:ascii="宋体" w:hAnsi="宋体" w:cs="宋体" w:eastAsia="宋体" w:hint="default"/>
          <w:sz w:val="21"/>
          <w:szCs w:val="21"/>
        </w:rPr>
        <w:t>China</w:t>
      </w:r>
      <w:r>
        <w:rPr>
          <w:rFonts w:ascii="宋体" w:hAnsi="宋体" w:cs="宋体" w:eastAsia="宋体" w:hint="default"/>
          <w:sz w:val="21"/>
          <w:szCs w:val="21"/>
        </w:rPr>
        <w:t> (Hong</w:t>
      </w:r>
      <w:r>
        <w:rPr>
          <w:rFonts w:ascii="宋体" w:hAnsi="宋体" w:cs="宋体" w:eastAsia="宋体" w:hint="default"/>
          <w:spacing w:val="24"/>
          <w:sz w:val="21"/>
          <w:szCs w:val="21"/>
        </w:rPr>
        <w:t> </w:t>
      </w:r>
      <w:r>
        <w:rPr>
          <w:rFonts w:ascii="宋体" w:hAnsi="宋体" w:cs="宋体" w:eastAsia="宋体" w:hint="default"/>
          <w:sz w:val="21"/>
          <w:szCs w:val="21"/>
        </w:rPr>
        <w:t>Kong)</w:t>
      </w:r>
      <w:r>
        <w:rPr>
          <w:rFonts w:ascii="宋体" w:hAnsi="宋体" w:cs="宋体" w:eastAsia="宋体" w:hint="default"/>
          <w:spacing w:val="22"/>
          <w:sz w:val="21"/>
          <w:szCs w:val="21"/>
        </w:rPr>
        <w:t> </w:t>
      </w:r>
      <w:r>
        <w:rPr>
          <w:rFonts w:ascii="宋体" w:hAnsi="宋体" w:cs="宋体" w:eastAsia="宋体" w:hint="default"/>
          <w:sz w:val="21"/>
          <w:szCs w:val="21"/>
        </w:rPr>
        <w:t>limited而取得最大额度为USD1,125,000元的借款。截至2012年12月31日，该项借款余额为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USD272,270.00元，</w:t>
      </w:r>
      <w:r>
        <w:rPr>
          <w:rFonts w:ascii="宋体" w:hAnsi="宋体" w:cs="宋体" w:eastAsia="宋体" w:hint="default"/>
          <w:spacing w:val="-3"/>
          <w:sz w:val="21"/>
          <w:szCs w:val="21"/>
        </w:rPr>
        <w:t> </w:t>
      </w:r>
      <w:r>
        <w:rPr>
          <w:rFonts w:ascii="宋体" w:hAnsi="宋体" w:cs="宋体" w:eastAsia="宋体" w:hint="default"/>
          <w:sz w:val="21"/>
          <w:szCs w:val="21"/>
        </w:rPr>
        <w:t>截至报告日止此借款还没有归还。</w:t>
      </w:r>
    </w:p>
    <w:p>
      <w:pPr>
        <w:spacing w:line="240" w:lineRule="auto" w:before="4"/>
        <w:rPr>
          <w:rFonts w:ascii="宋体" w:hAnsi="宋体" w:cs="宋体" w:eastAsia="宋体" w:hint="default"/>
          <w:sz w:val="20"/>
          <w:szCs w:val="20"/>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十一、承诺事项</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（1）本公司本期未发生已签订的尚未履行或尚未完全履行的对外投资合同及有关财务支出。</w:t>
      </w:r>
    </w:p>
    <w:p>
      <w:pPr>
        <w:spacing w:before="115"/>
        <w:ind w:left="154" w:right="0" w:firstLine="0"/>
        <w:jc w:val="left"/>
        <w:rPr>
          <w:rFonts w:ascii="宋体" w:hAnsi="宋体" w:cs="宋体" w:eastAsia="宋体" w:hint="default"/>
          <w:sz w:val="21"/>
          <w:szCs w:val="21"/>
        </w:rPr>
      </w:pPr>
      <w:r>
        <w:rPr>
          <w:rFonts w:ascii="宋体" w:hAnsi="宋体" w:cs="宋体" w:eastAsia="宋体" w:hint="default"/>
          <w:sz w:val="21"/>
          <w:szCs w:val="21"/>
        </w:rPr>
        <w:t>（2）本公司本期未发生已签订的正在或准备履行的大额发包合同。</w:t>
      </w:r>
    </w:p>
    <w:p>
      <w:pPr>
        <w:spacing w:before="115"/>
        <w:ind w:left="154" w:right="0" w:firstLine="0"/>
        <w:jc w:val="left"/>
        <w:rPr>
          <w:rFonts w:ascii="宋体" w:hAnsi="宋体" w:cs="宋体" w:eastAsia="宋体" w:hint="default"/>
          <w:sz w:val="21"/>
          <w:szCs w:val="21"/>
        </w:rPr>
      </w:pPr>
      <w:r>
        <w:rPr>
          <w:rFonts w:ascii="宋体" w:hAnsi="宋体" w:cs="宋体" w:eastAsia="宋体" w:hint="default"/>
          <w:sz w:val="21"/>
          <w:szCs w:val="21"/>
        </w:rPr>
        <w:t>（3）本公司本期未发生已签订的正在或准备履行的租赁合同。</w:t>
      </w:r>
    </w:p>
    <w:p>
      <w:pPr>
        <w:spacing w:before="115"/>
        <w:ind w:left="154" w:right="0" w:firstLine="0"/>
        <w:jc w:val="left"/>
        <w:rPr>
          <w:rFonts w:ascii="宋体" w:hAnsi="宋体" w:cs="宋体" w:eastAsia="宋体" w:hint="default"/>
          <w:sz w:val="21"/>
          <w:szCs w:val="21"/>
        </w:rPr>
      </w:pPr>
      <w:r>
        <w:rPr>
          <w:rFonts w:ascii="宋体" w:hAnsi="宋体" w:cs="宋体" w:eastAsia="宋体" w:hint="default"/>
          <w:sz w:val="21"/>
          <w:szCs w:val="21"/>
        </w:rPr>
        <w:t>（4）本公司本期未发生已签订的正在或准备履行的并购协议。</w:t>
      </w:r>
    </w:p>
    <w:p>
      <w:pPr>
        <w:spacing w:before="115"/>
        <w:ind w:left="154" w:right="0" w:firstLine="0"/>
        <w:jc w:val="left"/>
        <w:rPr>
          <w:rFonts w:ascii="宋体" w:hAnsi="宋体" w:cs="宋体" w:eastAsia="宋体" w:hint="default"/>
          <w:sz w:val="21"/>
          <w:szCs w:val="21"/>
        </w:rPr>
      </w:pPr>
      <w:r>
        <w:rPr>
          <w:rFonts w:ascii="宋体" w:hAnsi="宋体" w:cs="宋体" w:eastAsia="宋体" w:hint="default"/>
          <w:sz w:val="21"/>
          <w:szCs w:val="21"/>
        </w:rPr>
        <w:t>（5）本公司本期未发生已签订的正在或准备履行的重组计划。</w:t>
      </w:r>
    </w:p>
    <w:p>
      <w:pPr>
        <w:spacing w:before="115"/>
        <w:ind w:left="154" w:right="0" w:firstLine="0"/>
        <w:jc w:val="left"/>
        <w:rPr>
          <w:rFonts w:ascii="宋体" w:hAnsi="宋体" w:cs="宋体" w:eastAsia="宋体" w:hint="default"/>
          <w:sz w:val="21"/>
          <w:szCs w:val="21"/>
        </w:rPr>
      </w:pPr>
      <w:r>
        <w:rPr>
          <w:rFonts w:ascii="宋体" w:hAnsi="宋体" w:cs="宋体" w:eastAsia="宋体" w:hint="default"/>
          <w:sz w:val="21"/>
          <w:szCs w:val="21"/>
        </w:rPr>
        <w:t>（6）本公司本期未发生其他重大财务承诺事项。</w:t>
      </w:r>
    </w:p>
    <w:p>
      <w:pPr>
        <w:spacing w:line="240" w:lineRule="auto" w:before="10"/>
        <w:rPr>
          <w:rFonts w:ascii="宋体" w:hAnsi="宋体" w:cs="宋体" w:eastAsia="宋体" w:hint="default"/>
          <w:sz w:val="28"/>
          <w:szCs w:val="28"/>
        </w:rPr>
      </w:pPr>
    </w:p>
    <w:p>
      <w:pPr>
        <w:spacing w:line="506" w:lineRule="auto" w:before="0"/>
        <w:ind w:left="574" w:right="599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本公司无需要披露的前期承诺事项。</w:t>
      </w:r>
    </w:p>
    <w:p>
      <w:pPr>
        <w:pStyle w:val="Heading2"/>
        <w:spacing w:line="240" w:lineRule="auto" w:before="82"/>
        <w:ind w:right="0"/>
        <w:jc w:val="left"/>
        <w:rPr>
          <w:b w:val="0"/>
          <w:bCs w:val="0"/>
        </w:rPr>
      </w:pPr>
      <w:r>
        <w:rPr/>
        <w:t>十二、资产负债表日后事项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5"/>
        </w:rPr>
        <w:t> </w:t>
      </w:r>
      <w:r>
        <w:rPr/>
        <w:t>重要的资产负债表日后事项说明</w:t>
      </w:r>
      <w:r>
        <w:rPr>
          <w:b w:val="0"/>
          <w:bCs w:val="0"/>
        </w:rPr>
      </w:r>
    </w:p>
    <w:p>
      <w:pPr>
        <w:spacing w:line="240" w:lineRule="auto" w:before="9"/>
        <w:rPr>
          <w:rFonts w:ascii="宋体" w:hAnsi="宋体" w:cs="宋体" w:eastAsia="宋体" w:hint="default"/>
          <w:b/>
          <w:bCs/>
          <w:sz w:val="27"/>
          <w:szCs w:val="27"/>
        </w:rPr>
      </w:pPr>
    </w:p>
    <w:p>
      <w:pPr>
        <w:spacing w:line="340" w:lineRule="auto" w:before="0"/>
        <w:ind w:left="154" w:right="151" w:firstLine="360"/>
        <w:jc w:val="both"/>
        <w:rPr>
          <w:rFonts w:ascii="宋体" w:hAnsi="宋体" w:cs="宋体" w:eastAsia="宋体" w:hint="default"/>
          <w:sz w:val="21"/>
          <w:szCs w:val="21"/>
        </w:rPr>
      </w:pPr>
      <w:r>
        <w:rPr>
          <w:rFonts w:ascii="宋体" w:hAnsi="宋体" w:cs="宋体" w:eastAsia="宋体" w:hint="default"/>
          <w:spacing w:val="-3"/>
          <w:sz w:val="21"/>
          <w:szCs w:val="21"/>
        </w:rPr>
        <w:t>截至财务报表批准报出日止，本公司未发生按《企业会计准则第</w:t>
      </w:r>
      <w:r>
        <w:rPr>
          <w:rFonts w:ascii="宋体" w:hAnsi="宋体" w:cs="宋体" w:eastAsia="宋体" w:hint="default"/>
          <w:spacing w:val="-46"/>
          <w:sz w:val="21"/>
          <w:szCs w:val="21"/>
        </w:rPr>
        <w:t> </w:t>
      </w:r>
      <w:r>
        <w:rPr>
          <w:rFonts w:ascii="宋体" w:hAnsi="宋体" w:cs="宋体" w:eastAsia="宋体" w:hint="default"/>
          <w:sz w:val="21"/>
          <w:szCs w:val="21"/>
        </w:rPr>
        <w:t>29</w:t>
      </w:r>
      <w:r>
        <w:rPr>
          <w:rFonts w:ascii="宋体" w:hAnsi="宋体" w:cs="宋体" w:eastAsia="宋体" w:hint="default"/>
          <w:spacing w:val="-45"/>
          <w:sz w:val="21"/>
          <w:szCs w:val="21"/>
        </w:rPr>
        <w:t> </w:t>
      </w:r>
      <w:r>
        <w:rPr>
          <w:rFonts w:ascii="宋体" w:hAnsi="宋体" w:cs="宋体" w:eastAsia="宋体" w:hint="default"/>
          <w:spacing w:val="-3"/>
          <w:sz w:val="21"/>
          <w:szCs w:val="21"/>
        </w:rPr>
        <w:t>号—资产负债表日后事项》及有关</w:t>
      </w:r>
      <w:r>
        <w:rPr>
          <w:rFonts w:ascii="宋体" w:hAnsi="宋体" w:cs="宋体" w:eastAsia="宋体" w:hint="default"/>
          <w:sz w:val="21"/>
          <w:szCs w:val="21"/>
        </w:rPr>
        <w:t> </w:t>
      </w:r>
      <w:r>
        <w:rPr>
          <w:rFonts w:ascii="宋体" w:hAnsi="宋体" w:cs="宋体" w:eastAsia="宋体" w:hint="default"/>
          <w:spacing w:val="-1"/>
          <w:sz w:val="21"/>
          <w:szCs w:val="21"/>
        </w:rPr>
        <w:t>规定，需披露的资产负债表日后股票和债券的发行、对一个公司的巨额投资、金额重大的债务重组、自然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灾害导致的资产损失以及外汇汇率发生较大变动等非调整事项。</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7"/>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line="340" w:lineRule="auto" w:before="0"/>
        <w:ind w:left="153" w:right="135" w:firstLine="420"/>
        <w:jc w:val="left"/>
        <w:rPr>
          <w:rFonts w:ascii="宋体" w:hAnsi="宋体" w:cs="宋体" w:eastAsia="宋体" w:hint="default"/>
          <w:sz w:val="21"/>
          <w:szCs w:val="21"/>
        </w:rPr>
      </w:pPr>
      <w:r>
        <w:rPr>
          <w:rFonts w:ascii="宋体" w:hAnsi="宋体" w:cs="宋体" w:eastAsia="宋体" w:hint="default"/>
          <w:sz w:val="21"/>
          <w:szCs w:val="21"/>
        </w:rPr>
        <w:t>根据公司第三届董事会第十次会议决议，2012</w:t>
      </w:r>
      <w:r>
        <w:rPr>
          <w:rFonts w:ascii="宋体" w:hAnsi="宋体" w:cs="宋体" w:eastAsia="宋体" w:hint="default"/>
          <w:spacing w:val="-44"/>
          <w:sz w:val="21"/>
          <w:szCs w:val="21"/>
        </w:rPr>
        <w:t> </w:t>
      </w:r>
      <w:r>
        <w:rPr>
          <w:rFonts w:ascii="宋体" w:hAnsi="宋体" w:cs="宋体" w:eastAsia="宋体" w:hint="default"/>
          <w:sz w:val="21"/>
          <w:szCs w:val="21"/>
        </w:rPr>
        <w:t>年度利润分配预案为：公司拟按</w:t>
      </w:r>
      <w:r>
        <w:rPr>
          <w:rFonts w:ascii="宋体" w:hAnsi="宋体" w:cs="宋体" w:eastAsia="宋体" w:hint="default"/>
          <w:spacing w:val="-43"/>
          <w:sz w:val="21"/>
          <w:szCs w:val="21"/>
        </w:rPr>
        <w:t> </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年度实现净利润</w:t>
      </w:r>
      <w:r>
        <w:rPr>
          <w:rFonts w:ascii="宋体" w:hAnsi="宋体" w:cs="宋体" w:eastAsia="宋体" w:hint="default"/>
          <w:sz w:val="21"/>
          <w:szCs w:val="21"/>
        </w:rPr>
        <w:t> 的</w:t>
      </w:r>
      <w:r>
        <w:rPr>
          <w:rFonts w:ascii="宋体" w:hAnsi="宋体" w:cs="宋体" w:eastAsia="宋体" w:hint="default"/>
          <w:spacing w:val="-50"/>
          <w:sz w:val="21"/>
          <w:szCs w:val="21"/>
        </w:rPr>
        <w:t> </w:t>
      </w:r>
      <w:r>
        <w:rPr>
          <w:rFonts w:ascii="宋体" w:hAnsi="宋体" w:cs="宋体" w:eastAsia="宋体" w:hint="default"/>
          <w:sz w:val="21"/>
          <w:szCs w:val="21"/>
        </w:rPr>
        <w:t>10%提取盈余公积，以</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年末总股本</w:t>
      </w:r>
      <w:r>
        <w:rPr>
          <w:rFonts w:ascii="宋体" w:hAnsi="宋体" w:cs="宋体" w:eastAsia="宋体" w:hint="default"/>
          <w:spacing w:val="-50"/>
          <w:sz w:val="21"/>
          <w:szCs w:val="21"/>
        </w:rPr>
        <w:t> </w:t>
      </w:r>
      <w:r>
        <w:rPr>
          <w:rFonts w:ascii="宋体" w:hAnsi="宋体" w:cs="宋体" w:eastAsia="宋体" w:hint="default"/>
          <w:sz w:val="21"/>
          <w:szCs w:val="21"/>
        </w:rPr>
        <w:t>622,697,755</w:t>
      </w:r>
      <w:r>
        <w:rPr>
          <w:rFonts w:ascii="宋体" w:hAnsi="宋体" w:cs="宋体" w:eastAsia="宋体" w:hint="default"/>
          <w:spacing w:val="-49"/>
          <w:sz w:val="21"/>
          <w:szCs w:val="21"/>
        </w:rPr>
        <w:t> </w:t>
      </w:r>
      <w:r>
        <w:rPr>
          <w:rFonts w:ascii="宋体" w:hAnsi="宋体" w:cs="宋体" w:eastAsia="宋体" w:hint="default"/>
          <w:sz w:val="21"/>
          <w:szCs w:val="21"/>
        </w:rPr>
        <w:t>股为基数，以未分配利润向全体股东每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股派送</w:t>
      </w:r>
    </w:p>
    <w:p>
      <w:pPr>
        <w:spacing w:before="28"/>
        <w:ind w:left="153" w:right="0" w:firstLine="0"/>
        <w:jc w:val="left"/>
        <w:rPr>
          <w:rFonts w:ascii="宋体" w:hAnsi="宋体" w:cs="宋体" w:eastAsia="宋体" w:hint="default"/>
          <w:sz w:val="21"/>
          <w:szCs w:val="21"/>
        </w:rPr>
      </w:pPr>
      <w:r>
        <w:rPr>
          <w:rFonts w:ascii="宋体" w:hAnsi="宋体" w:cs="宋体" w:eastAsia="宋体" w:hint="default"/>
          <w:sz w:val="21"/>
          <w:szCs w:val="21"/>
        </w:rPr>
        <w:t>2 股，同</w:t>
      </w:r>
      <w:r>
        <w:rPr>
          <w:rFonts w:ascii="宋体" w:hAnsi="宋体" w:cs="宋体" w:eastAsia="宋体" w:hint="default"/>
          <w:spacing w:val="-2"/>
          <w:sz w:val="21"/>
          <w:szCs w:val="21"/>
        </w:rPr>
        <w:t>时</w:t>
      </w:r>
      <w:r>
        <w:rPr>
          <w:rFonts w:ascii="宋体" w:hAnsi="宋体" w:cs="宋体" w:eastAsia="宋体" w:hint="default"/>
          <w:sz w:val="21"/>
          <w:szCs w:val="21"/>
        </w:rPr>
        <w:t>向全体股东每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发</w:t>
      </w:r>
      <w:r>
        <w:rPr>
          <w:rFonts w:ascii="宋体" w:hAnsi="宋体" w:cs="宋体" w:eastAsia="宋体" w:hint="default"/>
          <w:sz w:val="21"/>
          <w:szCs w:val="21"/>
        </w:rPr>
        <w:t>现金股利</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元（含税</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上述预案尚需经股东大会批准。</w:t>
      </w:r>
    </w:p>
    <w:p>
      <w:pPr>
        <w:spacing w:line="630" w:lineRule="atLeast" w:before="35"/>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经2013年3月15日第三届董事会第九次（临时）会议批准，本公司以自有资金出资6000万元参股投资</w:t>
      </w:r>
    </w:p>
    <w:p>
      <w:pPr>
        <w:spacing w:line="340" w:lineRule="auto" w:before="115"/>
        <w:ind w:left="153" w:right="0" w:firstLine="0"/>
        <w:jc w:val="left"/>
        <w:rPr>
          <w:rFonts w:ascii="宋体" w:hAnsi="宋体" w:cs="宋体" w:eastAsia="宋体" w:hint="default"/>
          <w:sz w:val="21"/>
          <w:szCs w:val="21"/>
        </w:rPr>
      </w:pPr>
      <w:r>
        <w:rPr>
          <w:rFonts w:ascii="宋体" w:hAnsi="宋体" w:cs="宋体" w:eastAsia="宋体" w:hint="default"/>
          <w:sz w:val="21"/>
          <w:szCs w:val="21"/>
        </w:rPr>
        <w:t>“广州市广百小额贷款有限公司”（暂定名，以工商部门核定为准），其总注册资本为人民币3亿元，公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司占其20%的股权，目前相关手续尚在办理中。</w:t>
      </w:r>
    </w:p>
    <w:p>
      <w:pPr>
        <w:spacing w:line="240" w:lineRule="auto" w:before="4"/>
        <w:rPr>
          <w:rFonts w:ascii="宋体" w:hAnsi="宋体" w:cs="宋体" w:eastAsia="宋体" w:hint="default"/>
          <w:sz w:val="20"/>
          <w:szCs w:val="20"/>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十三、其他重要事项</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line="506" w:lineRule="auto" w:before="0"/>
        <w:ind w:left="573" w:right="683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pStyle w:val="Heading3"/>
        <w:spacing w:line="240" w:lineRule="auto" w:before="105"/>
        <w:ind w:left="153"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本公司本期未发生该事项。</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本公司本期未发生该事项。</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本公司本期未发生该事项。</w:t>
      </w:r>
    </w:p>
    <w:p>
      <w:pPr>
        <w:spacing w:line="240" w:lineRule="auto" w:before="11"/>
        <w:rPr>
          <w:rFonts w:ascii="宋体" w:hAnsi="宋体" w:cs="宋体" w:eastAsia="宋体" w:hint="default"/>
          <w:sz w:val="25"/>
          <w:szCs w:val="25"/>
        </w:rPr>
      </w:pPr>
    </w:p>
    <w:p>
      <w:pPr>
        <w:spacing w:line="506" w:lineRule="auto" w:before="0"/>
        <w:ind w:left="574" w:right="545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3"/>
        <w:spacing w:line="240" w:lineRule="auto" w:before="105"/>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43"/>
        <w:gridCol w:w="1333"/>
        <w:gridCol w:w="1516"/>
        <w:gridCol w:w="1517"/>
        <w:gridCol w:w="1527"/>
        <w:gridCol w:w="1522"/>
      </w:tblGrid>
      <w:tr>
        <w:trPr>
          <w:trHeight w:val="161" w:hRule="exact"/>
        </w:trPr>
        <w:tc>
          <w:tcPr>
            <w:tcW w:w="21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1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0" w:hRule="exact"/>
        </w:trPr>
        <w:tc>
          <w:tcPr>
            <w:tcW w:w="21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67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w:t>
            </w:r>
          </w:p>
        </w:tc>
        <w:tc>
          <w:tcPr>
            <w:tcW w:w="1333" w:type="dxa"/>
            <w:tcBorders>
              <w:top w:val="single" w:sz="4" w:space="0" w:color="000000"/>
              <w:left w:val="single" w:sz="10" w:space="0" w:color="D3D3D3"/>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69" w:type="dxa"/>
        <w:tblLayout w:type="fixed"/>
        <w:tblCellMar>
          <w:top w:w="0" w:type="dxa"/>
          <w:left w:w="0" w:type="dxa"/>
          <w:bottom w:w="0" w:type="dxa"/>
          <w:right w:w="0" w:type="dxa"/>
        </w:tblCellMar>
        <w:tblLook w:val="01E0"/>
      </w:tblPr>
      <w:tblGrid>
        <w:gridCol w:w="2160"/>
        <w:gridCol w:w="1321"/>
        <w:gridCol w:w="1522"/>
        <w:gridCol w:w="1523"/>
        <w:gridCol w:w="1522"/>
        <w:gridCol w:w="1522"/>
      </w:tblGrid>
      <w:tr>
        <w:trPr>
          <w:trHeight w:val="36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产（不含衍生金融资产）</w:t>
            </w: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9,060,311.32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-2,496,227.86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-2,051,015.32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9,060,311.32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-2,496,227.86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-2,051,015.32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9,060,311.32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-2,496,227.86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-2,051,015.32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274"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200.940002pt;margin-top:102.85199pt;width:62.55pt;height:7.8pt;mso-position-horizontal-relative:page;mso-position-vertical-relative:paragraph;z-index:-1105552" coordorigin="4019,2057" coordsize="1251,156">
            <v:shape style="position:absolute;left:4019;top:2057;width:1251;height:156" coordorigin="4019,2057" coordsize="1251,156" path="m4019,2213l5269,2213,5269,2057,4019,2057,4019,2213xe" filled="true" fillcolor="#ffffff" stroked="false">
              <v:path arrowok="t"/>
              <v:fill type="solid"/>
            </v:shape>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043"/>
        <w:gridCol w:w="1272"/>
        <w:gridCol w:w="1434"/>
        <w:gridCol w:w="1512"/>
        <w:gridCol w:w="1204"/>
        <w:gridCol w:w="1064"/>
      </w:tblGrid>
      <w:tr>
        <w:trPr>
          <w:trHeight w:val="161" w:hRule="exact"/>
        </w:trPr>
        <w:tc>
          <w:tcPr>
            <w:tcW w:w="30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38" w:right="84"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51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0"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20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09"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06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34" w:type="dxa"/>
            <w:vMerge/>
            <w:tcBorders>
              <w:left w:val="single" w:sz="4" w:space="0" w:color="000000"/>
              <w:right w:val="single" w:sz="4" w:space="0" w:color="000000"/>
            </w:tcBorders>
            <w:shd w:val="clear" w:color="auto" w:fill="D3D3D3"/>
          </w:tcPr>
          <w:p>
            <w:pPr/>
          </w:p>
        </w:tc>
        <w:tc>
          <w:tcPr>
            <w:tcW w:w="1512" w:type="dxa"/>
            <w:vMerge/>
            <w:tcBorders>
              <w:left w:val="single" w:sz="4" w:space="0" w:color="000000"/>
              <w:right w:val="single" w:sz="4" w:space="0" w:color="000000"/>
            </w:tcBorders>
            <w:shd w:val="clear" w:color="auto" w:fill="D3D3D3"/>
          </w:tcPr>
          <w:p>
            <w:pPr/>
          </w:p>
        </w:tc>
        <w:tc>
          <w:tcPr>
            <w:tcW w:w="1204" w:type="dxa"/>
            <w:vMerge/>
            <w:tcBorders>
              <w:left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30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4" w:type="dxa"/>
            <w:vMerge/>
            <w:tcBorders>
              <w:left w:val="single" w:sz="4" w:space="0" w:color="000000"/>
              <w:bottom w:val="single" w:sz="4" w:space="0" w:color="000000"/>
              <w:right w:val="single" w:sz="4" w:space="0" w:color="000000"/>
            </w:tcBorders>
            <w:shd w:val="clear" w:color="auto" w:fill="D3D3D3"/>
          </w:tcPr>
          <w:p>
            <w:pPr/>
          </w:p>
        </w:tc>
        <w:tc>
          <w:tcPr>
            <w:tcW w:w="1512" w:type="dxa"/>
            <w:vMerge/>
            <w:tcBorders>
              <w:left w:val="single" w:sz="4" w:space="0" w:color="000000"/>
              <w:bottom w:val="single" w:sz="4" w:space="0" w:color="000000"/>
              <w:right w:val="single" w:sz="4" w:space="0" w:color="000000"/>
            </w:tcBorders>
            <w:shd w:val="clear" w:color="auto" w:fill="D3D3D3"/>
          </w:tcPr>
          <w:p>
            <w:pPr/>
          </w:p>
        </w:tc>
        <w:tc>
          <w:tcPr>
            <w:tcW w:w="1204"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2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3043"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302" w:lineRule="auto" w:before="51"/>
              <w:ind w:left="11"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以公允价值计量且其变动计入当期 损益的金融资产（不含衍生金融资产</w:t>
            </w:r>
          </w:p>
        </w:tc>
        <w:tc>
          <w:tcPr>
            <w:tcW w:w="127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8" w:right="0"/>
              <w:jc w:val="left"/>
              <w:rPr>
                <w:rFonts w:ascii="宋体" w:hAnsi="宋体" w:cs="宋体" w:eastAsia="宋体" w:hint="default"/>
                <w:sz w:val="18"/>
                <w:szCs w:val="18"/>
              </w:rPr>
            </w:pPr>
            <w:r>
              <w:rPr>
                <w:rFonts w:ascii="宋体" w:hAnsi="宋体" w:cs="宋体" w:eastAsia="宋体" w:hint="default"/>
                <w:sz w:val="18"/>
                <w:szCs w:val="18"/>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72" w:type="dxa"/>
            <w:tcBorders>
              <w:top w:val="single" w:sz="4" w:space="0" w:color="000000"/>
              <w:left w:val="single" w:sz="10" w:space="0" w:color="D3D3D3"/>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272" w:type="dxa"/>
            <w:tcBorders>
              <w:top w:val="single" w:sz="4" w:space="0" w:color="000000"/>
              <w:left w:val="single" w:sz="10" w:space="0" w:color="D3D3D3"/>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9,060,311.32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-2,496,227.86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-2,051,015.32</w:t>
            </w: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2"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272" w:type="dxa"/>
            <w:tcBorders>
              <w:top w:val="single" w:sz="4" w:space="0" w:color="000000"/>
              <w:left w:val="single" w:sz="10" w:space="0" w:color="D3D3D3"/>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9,060,311.32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-2,496,227.86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-2,051,015.32</w:t>
            </w: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6,564,083.46</w:t>
            </w:r>
          </w:p>
        </w:tc>
      </w:tr>
      <w:tr>
        <w:trPr>
          <w:trHeight w:val="403" w:hRule="exact"/>
        </w:trPr>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line="506" w:lineRule="auto" w:before="35"/>
        <w:ind w:left="693" w:right="6714"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、年金计划主要内容及重大变化</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pStyle w:val="Heading3"/>
        <w:spacing w:line="240" w:lineRule="auto" w:before="105"/>
        <w:ind w:left="273"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spacing w:before="0"/>
        <w:ind w:left="693" w:right="0" w:firstLine="0"/>
        <w:jc w:val="left"/>
        <w:rPr>
          <w:rFonts w:ascii="宋体" w:hAnsi="宋体" w:cs="宋体" w:eastAsia="宋体" w:hint="default"/>
          <w:sz w:val="21"/>
          <w:szCs w:val="21"/>
        </w:rPr>
      </w:pPr>
      <w:r>
        <w:rPr>
          <w:rFonts w:ascii="宋体" w:hAnsi="宋体" w:cs="宋体" w:eastAsia="宋体" w:hint="default"/>
          <w:sz w:val="21"/>
          <w:szCs w:val="21"/>
        </w:rPr>
        <w:t>本公司本期未发生其他需要披露的重要事项。</w:t>
      </w:r>
    </w:p>
    <w:p>
      <w:pPr>
        <w:spacing w:line="240" w:lineRule="auto" w:before="1"/>
        <w:rPr>
          <w:rFonts w:ascii="宋体" w:hAnsi="宋体" w:cs="宋体" w:eastAsia="宋体" w:hint="default"/>
          <w:sz w:val="24"/>
          <w:szCs w:val="24"/>
        </w:rPr>
      </w:pPr>
    </w:p>
    <w:p>
      <w:pPr>
        <w:spacing w:before="0"/>
        <w:ind w:left="274" w:right="0" w:firstLine="0"/>
        <w:jc w:val="left"/>
        <w:rPr>
          <w:rFonts w:ascii="宋体" w:hAnsi="宋体" w:cs="宋体" w:eastAsia="宋体" w:hint="default"/>
          <w:sz w:val="24"/>
          <w:szCs w:val="24"/>
        </w:rPr>
      </w:pPr>
      <w:r>
        <w:rPr>
          <w:rFonts w:ascii="宋体" w:hAnsi="宋体" w:cs="宋体" w:eastAsia="宋体" w:hint="default"/>
          <w:b/>
          <w:bCs/>
          <w:sz w:val="24"/>
          <w:szCs w:val="24"/>
        </w:rPr>
        <w:t>十四、母公司财务报表主要项目注释</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694"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w:t>
      </w:r>
    </w:p>
    <w:p>
      <w:pPr>
        <w:spacing w:after="0"/>
        <w:jc w:val="left"/>
        <w:rPr>
          <w:rFonts w:ascii="宋体" w:hAnsi="宋体" w:cs="宋体" w:eastAsia="宋体" w:hint="default"/>
          <w:sz w:val="21"/>
          <w:szCs w:val="21"/>
        </w:rPr>
        <w:sectPr>
          <w:pgSz w:w="11910" w:h="16840"/>
          <w:pgMar w:header="747" w:footer="982" w:top="1060" w:bottom="1180" w:left="860" w:right="980"/>
        </w:sectPr>
      </w:pPr>
    </w:p>
    <w:p>
      <w:pPr>
        <w:spacing w:line="240" w:lineRule="auto" w:before="10"/>
        <w:rPr>
          <w:rFonts w:ascii="宋体" w:hAnsi="宋体" w:cs="宋体" w:eastAsia="宋体" w:hint="default"/>
          <w:sz w:val="24"/>
          <w:szCs w:val="24"/>
        </w:rPr>
      </w:pPr>
    </w:p>
    <w:p>
      <w:pPr>
        <w:spacing w:before="35"/>
        <w:ind w:left="294" w:right="3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94" w:right="38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73"/>
        <w:gridCol w:w="1200"/>
        <w:gridCol w:w="767"/>
        <w:gridCol w:w="1098"/>
        <w:gridCol w:w="659"/>
        <w:gridCol w:w="1194"/>
        <w:gridCol w:w="887"/>
        <w:gridCol w:w="1112"/>
        <w:gridCol w:w="659"/>
      </w:tblGrid>
      <w:tr>
        <w:trPr>
          <w:trHeight w:val="402" w:hRule="exact"/>
        </w:trPr>
        <w:tc>
          <w:tcPr>
            <w:tcW w:w="2173" w:type="dxa"/>
            <w:vMerge w:val="restart"/>
            <w:tcBorders>
              <w:top w:val="single" w:sz="4" w:space="0" w:color="000000"/>
              <w:left w:val="single" w:sz="4" w:space="0" w:color="000000"/>
              <w:right w:val="single" w:sz="4" w:space="0" w:color="000000"/>
            </w:tcBorders>
            <w:shd w:val="clear" w:color="auto" w:fill="D3D3D3"/>
          </w:tcPr>
          <w:p>
            <w:pPr/>
          </w:p>
        </w:tc>
        <w:tc>
          <w:tcPr>
            <w:tcW w:w="37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2173" w:type="dxa"/>
            <w:vMerge/>
            <w:tcBorders>
              <w:left w:val="single" w:sz="4" w:space="0" w:color="000000"/>
              <w:bottom w:val="nil" w:sz="6" w:space="0" w:color="auto"/>
              <w:right w:val="single" w:sz="4" w:space="0" w:color="000000"/>
            </w:tcBorders>
            <w:shd w:val="clear" w:color="auto" w:fill="D3D3D3"/>
          </w:tcPr>
          <w:p>
            <w:pPr/>
          </w:p>
        </w:tc>
        <w:tc>
          <w:tcPr>
            <w:tcW w:w="19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1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67" w:type="dxa"/>
            <w:gridSpan w:val="2"/>
            <w:vMerge/>
            <w:tcBorders>
              <w:left w:val="single" w:sz="4" w:space="0" w:color="000000"/>
              <w:bottom w:val="single" w:sz="4" w:space="0" w:color="000000"/>
              <w:right w:val="single" w:sz="4" w:space="0" w:color="000000"/>
            </w:tcBorders>
            <w:shd w:val="clear" w:color="auto" w:fill="D3D3D3"/>
          </w:tcPr>
          <w:p>
            <w:pPr/>
          </w:p>
        </w:tc>
        <w:tc>
          <w:tcPr>
            <w:tcW w:w="1757" w:type="dxa"/>
            <w:gridSpan w:val="2"/>
            <w:vMerge/>
            <w:tcBorders>
              <w:left w:val="single" w:sz="4" w:space="0" w:color="000000"/>
              <w:bottom w:val="single" w:sz="4" w:space="0" w:color="000000"/>
              <w:right w:val="single" w:sz="4" w:space="0" w:color="000000"/>
            </w:tcBorders>
            <w:shd w:val="clear" w:color="auto" w:fill="D3D3D3"/>
          </w:tcPr>
          <w:p>
            <w:pPr/>
          </w:p>
        </w:tc>
        <w:tc>
          <w:tcPr>
            <w:tcW w:w="2081" w:type="dxa"/>
            <w:gridSpan w:val="2"/>
            <w:vMerge/>
            <w:tcBorders>
              <w:left w:val="single" w:sz="4" w:space="0" w:color="000000"/>
              <w:bottom w:val="single" w:sz="4" w:space="0" w:color="000000"/>
              <w:right w:val="single" w:sz="4" w:space="0" w:color="000000"/>
            </w:tcBorders>
            <w:shd w:val="clear" w:color="auto" w:fill="D3D3D3"/>
          </w:tcPr>
          <w:p>
            <w:pPr/>
          </w:p>
        </w:tc>
        <w:tc>
          <w:tcPr>
            <w:tcW w:w="1771"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73" w:type="dxa"/>
            <w:vMerge/>
            <w:tcBorders>
              <w:left w:val="single" w:sz="4" w:space="0" w:color="000000"/>
              <w:bottom w:val="single" w:sz="6" w:space="0" w:color="FFFFFF"/>
              <w:right w:val="single" w:sz="4" w:space="0" w:color="000000"/>
            </w:tcBorders>
            <w:shd w:val="clear" w:color="auto" w:fill="D3D3D3"/>
          </w:tcPr>
          <w:p>
            <w:pPr/>
          </w:p>
        </w:tc>
        <w:tc>
          <w:tcPr>
            <w:tcW w:w="1200"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7"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1098"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1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2173" w:type="dxa"/>
            <w:vMerge w:val="restart"/>
            <w:tcBorders>
              <w:top w:val="single" w:sz="6" w:space="0" w:color="FFFFFF"/>
              <w:left w:val="single" w:sz="4" w:space="0" w:color="000000"/>
              <w:right w:val="single" w:sz="4" w:space="0" w:color="000000"/>
            </w:tcBorders>
            <w:shd w:val="clear" w:color="auto" w:fill="D3D3D3"/>
          </w:tcPr>
          <w:p>
            <w:pPr/>
          </w:p>
        </w:tc>
        <w:tc>
          <w:tcPr>
            <w:tcW w:w="1200"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7"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7"/>
              <w:ind w:right="6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8"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7"/>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r>
      <w:tr>
        <w:trPr>
          <w:trHeight w:val="161" w:hRule="exact"/>
        </w:trPr>
        <w:tc>
          <w:tcPr>
            <w:tcW w:w="2173"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1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坏账准备的应收账款</w:t>
            </w:r>
          </w:p>
        </w:tc>
        <w:tc>
          <w:tcPr>
            <w:tcW w:w="1200" w:type="dxa"/>
            <w:tcBorders>
              <w:top w:val="single" w:sz="4" w:space="0" w:color="000000"/>
              <w:left w:val="single" w:sz="10" w:space="0" w:color="D3D3D3"/>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4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623,926,482.68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18,563,963.32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809,897,247.03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20,827,023.32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合并范围内的关联方组合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35,789,653.01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w:t>
            </w:r>
          </w:p>
        </w:tc>
        <w:tc>
          <w:tcPr>
            <w:tcW w:w="1098"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28,141,181.72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c>
          <w:tcPr>
            <w:tcW w:w="111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659,716,135.69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18,563,963.32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838,038,428.75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20,827,023.32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w:t>
            </w:r>
          </w:p>
        </w:tc>
      </w:tr>
      <w:tr>
        <w:trPr>
          <w:trHeight w:val="714"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计提坏账准备的应收账款</w:t>
            </w:r>
          </w:p>
        </w:tc>
        <w:tc>
          <w:tcPr>
            <w:tcW w:w="120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659,716,135.69</w:t>
            </w:r>
          </w:p>
        </w:tc>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18,563,963.32</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838,038,428.75</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20,827,023.32</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line="307" w:lineRule="auto" w:before="26"/>
        <w:ind w:left="294" w:right="385" w:firstLine="0"/>
        <w:jc w:val="left"/>
        <w:rPr>
          <w:rFonts w:ascii="宋体" w:hAnsi="宋体" w:cs="宋体" w:eastAsia="宋体" w:hint="default"/>
          <w:sz w:val="21"/>
          <w:szCs w:val="21"/>
        </w:rPr>
      </w:pPr>
      <w:r>
        <w:rPr>
          <w:rFonts w:ascii="宋体" w:hAnsi="宋体" w:cs="宋体" w:eastAsia="宋体" w:hint="default"/>
          <w:sz w:val="21"/>
          <w:szCs w:val="21"/>
        </w:rPr>
        <w:t>应收账款种类的说明：详见本附注（四）10。 </w:t>
      </w:r>
      <w:r>
        <w:rPr>
          <w:rFonts w:ascii="宋体" w:hAnsi="宋体" w:cs="宋体" w:eastAsia="宋体" w:hint="default"/>
          <w:spacing w:val="-1"/>
          <w:sz w:val="21"/>
          <w:szCs w:val="21"/>
        </w:rPr>
        <w:t>期末没有单项金额重大并单项计提坏账准备的应收账款。</w:t>
      </w:r>
      <w:r>
        <w:rPr>
          <w:rFonts w:ascii="宋体" w:hAnsi="宋体" w:cs="宋体" w:eastAsia="宋体" w:hint="default"/>
          <w:spacing w:val="-1"/>
          <w:sz w:val="21"/>
          <w:szCs w:val="21"/>
        </w:rPr>
        <w:t> </w:t>
      </w:r>
      <w:r>
        <w:rPr>
          <w:rFonts w:ascii="宋体" w:hAnsi="宋体" w:cs="宋体" w:eastAsia="宋体" w:hint="default"/>
          <w:sz w:val="21"/>
          <w:szCs w:val="21"/>
        </w:rPr>
        <w:t>组合中，采用账龄分析法计提坏账准备的应收账款</w:t>
      </w:r>
    </w:p>
    <w:p>
      <w:pPr>
        <w:spacing w:line="240" w:lineRule="auto" w:before="7"/>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1412"/>
        <w:gridCol w:w="1646"/>
        <w:gridCol w:w="665"/>
        <w:gridCol w:w="1462"/>
        <w:gridCol w:w="2126"/>
        <w:gridCol w:w="664"/>
        <w:gridCol w:w="1594"/>
      </w:tblGrid>
      <w:tr>
        <w:trPr>
          <w:trHeight w:val="402" w:hRule="exact"/>
        </w:trPr>
        <w:tc>
          <w:tcPr>
            <w:tcW w:w="14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12" w:type="dxa"/>
            <w:vMerge/>
            <w:tcBorders>
              <w:left w:val="single" w:sz="4" w:space="0" w:color="000000"/>
              <w:right w:val="single" w:sz="4" w:space="0" w:color="000000"/>
            </w:tcBorders>
            <w:shd w:val="clear" w:color="auto" w:fill="D3D3D3"/>
          </w:tcPr>
          <w:p>
            <w:pPr/>
          </w:p>
        </w:tc>
        <w:tc>
          <w:tcPr>
            <w:tcW w:w="23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412" w:type="dxa"/>
            <w:vMerge/>
            <w:tcBorders>
              <w:left w:val="single" w:sz="4" w:space="0" w:color="000000"/>
              <w:bottom w:val="single" w:sz="4" w:space="0" w:color="000000"/>
              <w:right w:val="single" w:sz="4" w:space="0" w:color="000000"/>
            </w:tcBorders>
            <w:shd w:val="clear" w:color="auto" w:fill="D3D3D3"/>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406,606,055.53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2,033,030.29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654,609,572.86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3,273,047.86</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406,606,055.53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2,033,030.29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654,609,572.86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3,273,047.86</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170,519,721.24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8,525,986.06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87,728,556.73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4,386,427.84</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34,330,877.04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3,433,087.70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35,880,617.76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3,588,061.78</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12,469,828.87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4,571,859.27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31,678,499.68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9,579,485.84</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8,315,275.81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2,494,582.74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31,570,019.77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9,471,005.93</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4,154,553.06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2,077,276.53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108,479.91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108,479.91</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623,926,482.68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18,563,963.32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809,897,247.03</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20,827,023.32</w:t>
            </w:r>
          </w:p>
        </w:tc>
      </w:tr>
    </w:tbl>
    <w:p>
      <w:pPr>
        <w:spacing w:before="26"/>
        <w:ind w:left="294" w:right="385" w:firstLine="0"/>
        <w:jc w:val="left"/>
        <w:rPr>
          <w:rFonts w:ascii="宋体" w:hAnsi="宋体" w:cs="宋体" w:eastAsia="宋体" w:hint="default"/>
          <w:sz w:val="21"/>
          <w:szCs w:val="21"/>
        </w:rPr>
      </w:pPr>
      <w:r>
        <w:rPr>
          <w:rFonts w:ascii="宋体" w:hAnsi="宋体" w:cs="宋体" w:eastAsia="宋体" w:hint="default"/>
          <w:sz w:val="21"/>
          <w:szCs w:val="21"/>
        </w:rPr>
        <w:t>期末没有单项金额虽不重大但单项计提坏账准备的应收账款</w:t>
      </w:r>
    </w:p>
    <w:p>
      <w:pPr>
        <w:spacing w:after="0"/>
        <w:jc w:val="left"/>
        <w:rPr>
          <w:rFonts w:ascii="宋体" w:hAnsi="宋体" w:cs="宋体" w:eastAsia="宋体" w:hint="default"/>
          <w:sz w:val="21"/>
          <w:szCs w:val="21"/>
        </w:rPr>
        <w:sectPr>
          <w:pgSz w:w="11910" w:h="16840"/>
          <w:pgMar w:header="747" w:footer="982" w:top="1060" w:bottom="1180" w:left="84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）本报告期没有转回或收回的应收账款情况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7"/>
        <w:gridCol w:w="992"/>
        <w:gridCol w:w="1842"/>
        <w:gridCol w:w="1418"/>
        <w:gridCol w:w="1276"/>
        <w:gridCol w:w="1061"/>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应收账款性 质</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3"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中国农业银行股份有限公司福建省分 行营业部鼓楼支行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8,298.91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中国农业银行上林县支行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湖南常德市农业银行科技部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陕西省榆林市榆阳区农行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湖北罗田农行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四川恒迪装饰工程有限公司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北京汇恩泽易科技有限公司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中国银行宁夏分行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农行广元分行苍溪支行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中国光大银行股份有限公司青岛分行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交通银行股份有限公司杭州分行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中国建设银行股份有限公司江西分行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6,798.76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洛阳市西工区农村信用合作联社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675,999.67</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line="334" w:lineRule="exact" w:before="0"/>
        <w:ind w:left="154"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1559"/>
        <w:gridCol w:w="1700"/>
        <w:gridCol w:w="1277"/>
        <w:gridCol w:w="1348"/>
      </w:tblGrid>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37"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易程</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新技术股份有限公司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48,008,738.80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 Banking Equipment (HK) Co.,</w:t>
            </w:r>
            <w:r>
              <w:rPr>
                <w:rFonts w:ascii="Times New Roman"/>
                <w:spacing w:val="-4"/>
                <w:sz w:val="18"/>
              </w:rPr>
              <w:t> </w:t>
            </w:r>
            <w:r>
              <w:rPr>
                <w:rFonts w:ascii="Times New Roman"/>
                <w:sz w:val="18"/>
              </w:rPr>
              <w:t>Limited</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35,789,653.01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中国建设银行股份有限公司总行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29,347,932.95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广州市新科佳都科技有限公司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20,067,276.38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中国农业银行股份有限公司上海市分行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18,581,259.00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151,794,860.14</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w:t>
            </w:r>
          </w:p>
        </w:tc>
      </w:tr>
    </w:tbl>
    <w:p>
      <w:pPr>
        <w:spacing w:line="240" w:lineRule="auto" w:before="3"/>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2034"/>
        <w:gridCol w:w="243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GRGBankingEquipment(HK)Co.,Limited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35,789,653.01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35,789,653.01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w:t>
            </w:r>
          </w:p>
        </w:tc>
      </w:tr>
    </w:tbl>
    <w:p>
      <w:pPr>
        <w:spacing w:line="240" w:lineRule="auto" w:before="2"/>
        <w:rPr>
          <w:rFonts w:ascii="宋体" w:hAnsi="宋体" w:cs="宋体" w:eastAsia="宋体" w:hint="default"/>
          <w:b/>
          <w:bCs/>
          <w:sz w:val="19"/>
          <w:szCs w:val="19"/>
        </w:rPr>
      </w:pPr>
    </w:p>
    <w:p>
      <w:pPr>
        <w:spacing w:line="334" w:lineRule="exact" w:before="0"/>
        <w:ind w:left="154"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）不符合终止确认条件的应收账款的转移金额为</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0.00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元</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4"/>
          <w:szCs w:val="14"/>
        </w:rPr>
      </w:pPr>
    </w:p>
    <w:p>
      <w:pPr>
        <w:spacing w:before="0"/>
        <w:ind w:left="154"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）期末没有以应收款项为标的进行证券化的情况</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8"/>
          <w:szCs w:val="1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52"/>
        <w:gridCol w:w="1460"/>
        <w:gridCol w:w="812"/>
        <w:gridCol w:w="1042"/>
        <w:gridCol w:w="516"/>
        <w:gridCol w:w="1328"/>
        <w:gridCol w:w="778"/>
        <w:gridCol w:w="945"/>
        <w:gridCol w:w="521"/>
      </w:tblGrid>
      <w:tr>
        <w:trPr>
          <w:trHeight w:val="402" w:hRule="exact"/>
        </w:trPr>
        <w:tc>
          <w:tcPr>
            <w:tcW w:w="2252" w:type="dxa"/>
            <w:vMerge w:val="restart"/>
            <w:tcBorders>
              <w:top w:val="single" w:sz="4" w:space="0" w:color="000000"/>
              <w:left w:val="single" w:sz="4" w:space="0" w:color="000000"/>
              <w:right w:val="single" w:sz="4" w:space="0" w:color="000000"/>
            </w:tcBorders>
            <w:shd w:val="clear" w:color="auto" w:fill="D3D3D3"/>
          </w:tcPr>
          <w:p>
            <w:pP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2252" w:type="dxa"/>
            <w:vMerge/>
            <w:tcBorders>
              <w:left w:val="single" w:sz="4" w:space="0" w:color="000000"/>
              <w:bottom w:val="nil" w:sz="6" w:space="0" w:color="auto"/>
              <w:right w:val="single" w:sz="4" w:space="0" w:color="000000"/>
            </w:tcBorders>
            <w:shd w:val="clear" w:color="auto" w:fill="D3D3D3"/>
          </w:tcPr>
          <w:p>
            <w:pPr/>
          </w:p>
        </w:tc>
        <w:tc>
          <w:tcPr>
            <w:tcW w:w="227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2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2273" w:type="dxa"/>
            <w:gridSpan w:val="2"/>
            <w:vMerge/>
            <w:tcBorders>
              <w:left w:val="single" w:sz="4" w:space="0" w:color="000000"/>
              <w:bottom w:val="single" w:sz="4" w:space="0" w:color="000000"/>
              <w:right w:val="single" w:sz="4" w:space="0" w:color="000000"/>
            </w:tcBorders>
            <w:shd w:val="clear" w:color="auto" w:fill="D3D3D3"/>
          </w:tcPr>
          <w:p>
            <w:pPr/>
          </w:p>
        </w:tc>
        <w:tc>
          <w:tcPr>
            <w:tcW w:w="1558" w:type="dxa"/>
            <w:gridSpan w:val="2"/>
            <w:vMerge/>
            <w:tcBorders>
              <w:left w:val="single" w:sz="4" w:space="0" w:color="000000"/>
              <w:bottom w:val="single" w:sz="4" w:space="0" w:color="000000"/>
              <w:right w:val="single" w:sz="4" w:space="0" w:color="000000"/>
            </w:tcBorders>
            <w:shd w:val="clear" w:color="auto" w:fill="D3D3D3"/>
          </w:tcPr>
          <w:p>
            <w:pPr/>
          </w:p>
        </w:tc>
        <w:tc>
          <w:tcPr>
            <w:tcW w:w="2106" w:type="dxa"/>
            <w:gridSpan w:val="2"/>
            <w:vMerge/>
            <w:tcBorders>
              <w:left w:val="single" w:sz="4" w:space="0" w:color="000000"/>
              <w:bottom w:val="single" w:sz="4" w:space="0" w:color="000000"/>
              <w:right w:val="single" w:sz="4" w:space="0" w:color="000000"/>
            </w:tcBorders>
            <w:shd w:val="clear" w:color="auto" w:fill="D3D3D3"/>
          </w:tcPr>
          <w:p>
            <w:pPr/>
          </w:p>
        </w:tc>
        <w:tc>
          <w:tcPr>
            <w:tcW w:w="1466"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252" w:type="dxa"/>
            <w:vMerge/>
            <w:tcBorders>
              <w:left w:val="single" w:sz="4" w:space="0" w:color="000000"/>
              <w:bottom w:val="single" w:sz="7" w:space="0" w:color="FFFFFF"/>
              <w:right w:val="single" w:sz="4" w:space="0" w:color="000000"/>
            </w:tcBorders>
            <w:shd w:val="clear" w:color="auto" w:fill="D3D3D3"/>
          </w:tcPr>
          <w:p>
            <w:pPr/>
          </w:p>
        </w:tc>
        <w:tc>
          <w:tcPr>
            <w:tcW w:w="1460"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81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104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8"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778" w:type="dxa"/>
            <w:tcBorders>
              <w:top w:val="single" w:sz="4" w:space="0" w:color="000000"/>
              <w:left w:val="single" w:sz="4" w:space="0" w:color="000000"/>
              <w:bottom w:val="nil" w:sz="6" w:space="0" w:color="auto"/>
              <w:right w:val="single" w:sz="4" w:space="0" w:color="000000"/>
            </w:tcBorders>
            <w:shd w:val="clear" w:color="auto" w:fill="D3D3D3"/>
          </w:tcPr>
          <w:p>
            <w:pPr/>
          </w:p>
        </w:tc>
        <w:tc>
          <w:tcPr>
            <w:tcW w:w="945" w:type="dxa"/>
            <w:tcBorders>
              <w:top w:val="single" w:sz="4" w:space="0" w:color="000000"/>
              <w:left w:val="single" w:sz="4" w:space="0" w:color="000000"/>
              <w:bottom w:val="nil" w:sz="6" w:space="0" w:color="auto"/>
              <w:right w:val="single" w:sz="4" w:space="0" w:color="000000"/>
            </w:tcBorders>
            <w:shd w:val="clear" w:color="auto" w:fill="D3D3D3"/>
          </w:tcPr>
          <w:p>
            <w:pPr/>
          </w:p>
        </w:tc>
        <w:tc>
          <w:tcPr>
            <w:tcW w:w="5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17"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252" w:type="dxa"/>
            <w:vMerge w:val="restart"/>
            <w:tcBorders>
              <w:top w:val="single" w:sz="7" w:space="0" w:color="FFFFFF"/>
              <w:left w:val="single" w:sz="4" w:space="0" w:color="000000"/>
              <w:right w:val="single" w:sz="4" w:space="0" w:color="000000"/>
            </w:tcBorders>
            <w:shd w:val="clear" w:color="auto" w:fill="D3D3D3"/>
          </w:tcPr>
          <w:p>
            <w:pPr/>
          </w:p>
        </w:tc>
        <w:tc>
          <w:tcPr>
            <w:tcW w:w="1460"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6"/>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2"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6"/>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42"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6"/>
              <w:ind w:left="3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right="67"/>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4"/>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3D3D3"/>
          </w:tcPr>
          <w:p>
            <w:pPr/>
          </w:p>
        </w:tc>
      </w:tr>
      <w:tr>
        <w:trPr>
          <w:trHeight w:val="162" w:hRule="exact"/>
        </w:trPr>
        <w:tc>
          <w:tcPr>
            <w:tcW w:w="2252"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2"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778" w:type="dxa"/>
            <w:tcBorders>
              <w:top w:val="nil" w:sz="6" w:space="0" w:color="auto"/>
              <w:left w:val="single" w:sz="4" w:space="0" w:color="000000"/>
              <w:bottom w:val="single" w:sz="4" w:space="0" w:color="000000"/>
              <w:right w:val="single" w:sz="4" w:space="0" w:color="000000"/>
            </w:tcBorders>
            <w:shd w:val="clear" w:color="auto" w:fill="D3D3D3"/>
          </w:tcPr>
          <w:p>
            <w:pPr/>
          </w:p>
        </w:tc>
        <w:tc>
          <w:tcPr>
            <w:tcW w:w="945" w:type="dxa"/>
            <w:tcBorders>
              <w:top w:val="nil" w:sz="6" w:space="0" w:color="auto"/>
              <w:left w:val="single" w:sz="4" w:space="0" w:color="000000"/>
              <w:bottom w:val="single" w:sz="4" w:space="0" w:color="000000"/>
              <w:right w:val="single" w:sz="4" w:space="0" w:color="000000"/>
            </w:tcBorders>
            <w:shd w:val="clear" w:color="auto" w:fill="D3D3D3"/>
          </w:tcPr>
          <w:p>
            <w:pPr/>
          </w:p>
        </w:tc>
        <w:tc>
          <w:tcPr>
            <w:tcW w:w="52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460" w:type="dxa"/>
            <w:tcBorders>
              <w:top w:val="single" w:sz="4" w:space="0" w:color="000000"/>
              <w:left w:val="single" w:sz="10" w:space="0" w:color="D3D3D3"/>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55"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13,844,380.49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87,487.66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12,487,905.27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83.34%</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94,038.20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应收补贴款组合</w:t>
            </w:r>
          </w:p>
        </w:tc>
        <w:tc>
          <w:tcPr>
            <w:tcW w:w="146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2,495,551.19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16.66%</w:t>
            </w:r>
          </w:p>
        </w:tc>
        <w:tc>
          <w:tcPr>
            <w:tcW w:w="945"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13,844,380.49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87,487.66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14,983,456.46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94,038.20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0.63%</w:t>
            </w:r>
          </w:p>
        </w:tc>
      </w:tr>
      <w:tr>
        <w:trPr>
          <w:trHeight w:val="714"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46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13,844,380.49</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87,487.66</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14,983,456.46</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94,038.20</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line="307" w:lineRule="auto" w:before="26"/>
        <w:ind w:left="153" w:right="4311"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其他应收款种类的说明：详见本附注（四）10。 期末没有单项金额重大并单项计提坏账准备的其他应收款。 组合中，采用账龄分析法计提坏账准备的其他应收款</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13,814,030.49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69,070.16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12,076,823.58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96.71%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60,384.12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13,814,030.49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69,070.16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12,076,823.58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96.71%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60,384.12</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387,081.69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3.10%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0.06%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0.13%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0.02%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0.03%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center"/>
              <w:rPr>
                <w:rFonts w:ascii="Times New Roman" w:hAnsi="Times New Roman" w:cs="Times New Roman" w:eastAsia="Times New Roman" w:hint="default"/>
                <w:sz w:val="18"/>
                <w:szCs w:val="18"/>
              </w:rPr>
            </w:pPr>
            <w:r>
              <w:rPr>
                <w:rFonts w:ascii="Times New Roman"/>
                <w:sz w:val="18"/>
              </w:rPr>
              <w:t>0.08%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13,844,380.49</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87,487.66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12,487,905.27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94,038.20</w:t>
            </w:r>
          </w:p>
        </w:tc>
      </w:tr>
    </w:tbl>
    <w:p>
      <w:pPr>
        <w:spacing w:before="26"/>
        <w:ind w:left="154" w:right="0" w:firstLine="0"/>
        <w:jc w:val="left"/>
        <w:rPr>
          <w:rFonts w:ascii="宋体" w:hAnsi="宋体" w:cs="宋体" w:eastAsia="宋体" w:hint="default"/>
          <w:sz w:val="21"/>
          <w:szCs w:val="21"/>
        </w:rPr>
      </w:pPr>
      <w:r>
        <w:rPr>
          <w:rFonts w:ascii="宋体" w:hAnsi="宋体" w:cs="宋体" w:eastAsia="宋体" w:hint="default"/>
          <w:sz w:val="21"/>
          <w:szCs w:val="21"/>
        </w:rPr>
        <w:t>期末没有单项金额虽不重大但单项计提坏账准备的其他应收款。</w:t>
      </w:r>
    </w:p>
    <w:p>
      <w:pPr>
        <w:spacing w:before="78"/>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）本期没有转回或收回其他应收款情况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）本报告期没有实际核销的其他应收款情况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83"/>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141.00</w:t>
            </w:r>
          </w:p>
        </w:tc>
      </w:tr>
      <w:tr>
        <w:trPr>
          <w:trHeight w:val="402"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3" w:space="0" w:color="D3D3D3"/>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141.00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彭文丹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1,868,010.16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王成昆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698,195.82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周玲</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4,556,255.98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32.91%</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）期末其他应收款中没有应收关联方账款情况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）期末没有未全部终止确认的被转移的其他应收款情况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）期末没有以其他应收款为标的进行证券化的情况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599"/>
        <w:gridCol w:w="798"/>
        <w:gridCol w:w="798"/>
        <w:gridCol w:w="798"/>
        <w:gridCol w:w="798"/>
        <w:gridCol w:w="798"/>
        <w:gridCol w:w="798"/>
        <w:gridCol w:w="798"/>
        <w:gridCol w:w="798"/>
        <w:gridCol w:w="798"/>
        <w:gridCol w:w="798"/>
      </w:tblGrid>
      <w:tr>
        <w:trPr>
          <w:trHeight w:val="196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广州市龙源 环保科技有 限公司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167,462,1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19.40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-8,145,47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159,316,6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46.47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深圳广电银 通金融电子 科技有限公 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96,479,29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95,532,44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95,532,44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广州穗通金 融服务有限 公司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1,372,443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w:t>
            </w:r>
          </w:p>
          <w:p>
            <w:pPr>
              <w:pStyle w:val="TableParagraph"/>
              <w:spacing w:line="362" w:lineRule="auto" w:before="104"/>
              <w:ind w:left="22" w:right="37"/>
              <w:jc w:val="left"/>
              <w:rPr>
                <w:rFonts w:ascii="Times New Roman" w:hAnsi="Times New Roman" w:cs="Times New Roman" w:eastAsia="Times New Roman" w:hint="default"/>
                <w:sz w:val="18"/>
                <w:szCs w:val="18"/>
              </w:rPr>
            </w:pPr>
            <w:r>
              <w:rPr>
                <w:rFonts w:ascii="Times New Roman"/>
                <w:sz w:val="18"/>
              </w:rPr>
              <w:t>Banking Equipment( HK)Co.,Lim ited</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20,268,54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20,268,54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20,268,54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广州支点创 业投资有限 公司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广州中智融 通金融科技 有限公司</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400,047,8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348,563,1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41,854,52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390,417,6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29.21</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1,372,443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r>
    </w:tbl>
    <w:p>
      <w:pPr>
        <w:spacing w:line="374" w:lineRule="auto" w:before="65"/>
        <w:ind w:left="574" w:right="0" w:hanging="420"/>
        <w:jc w:val="left"/>
        <w:rPr>
          <w:rFonts w:ascii="宋体" w:hAnsi="宋体" w:cs="宋体" w:eastAsia="宋体" w:hint="default"/>
          <w:sz w:val="21"/>
          <w:szCs w:val="21"/>
        </w:rPr>
      </w:pPr>
      <w:r>
        <w:rPr>
          <w:rFonts w:ascii="宋体" w:hAnsi="宋体" w:cs="宋体" w:eastAsia="宋体" w:hint="default"/>
          <w:sz w:val="21"/>
          <w:szCs w:val="21"/>
        </w:rPr>
        <w:t>长期股权投资的说明： 注1：深圳广电银通电子科技有限公司，经深圳市对外贸易经济合作局深外经贸资复[2004]0128号文</w:t>
      </w:r>
    </w:p>
    <w:p>
      <w:pPr>
        <w:spacing w:line="340" w:lineRule="auto" w:before="0"/>
        <w:ind w:left="153" w:right="147" w:firstLine="0"/>
        <w:jc w:val="both"/>
        <w:rPr>
          <w:rFonts w:ascii="宋体" w:hAnsi="宋体" w:cs="宋体" w:eastAsia="宋体" w:hint="default"/>
          <w:sz w:val="21"/>
          <w:szCs w:val="21"/>
        </w:rPr>
      </w:pPr>
      <w:r>
        <w:rPr>
          <w:rFonts w:ascii="宋体" w:hAnsi="宋体" w:cs="宋体" w:eastAsia="宋体" w:hint="default"/>
          <w:spacing w:val="-2"/>
          <w:sz w:val="21"/>
          <w:szCs w:val="21"/>
        </w:rPr>
        <w:t>批准，由TECHELITEHOLDINGSLIMITED、广州无线电集团有限公司、本公司共同投资成立，注册资本1000万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美元，出资比例分别为，51%、25%、24%，于2004年2月27日成立，并取得深圳市工商行政管理局企合粤深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总字第110562号企业法人营业执照。2005年12月24日TECHELITEHOLDINGSLIMITED持有的51%股权全部转让</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给本公司，企业性质由合资企业变更为内资企业，取得了深圳市工商行政管理局核发的4403011199600号</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企业法人营业执照，注册资本为8000万人民币。2006年4月公司注册资本由8000万元人民币减少至4000万</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
          <w:sz w:val="21"/>
          <w:szCs w:val="21"/>
        </w:rPr>
        <w:t>元人民币。2006年5月广州无线电集团有限公司将所持有的25%的股权转让给本公司，股权转让后本公司持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有该公司100%股权。2007年9月本公司增资5,527.14万元，其中2,500.00万元用于增加实收资本，于2007</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年10月16日办理了工商变更登记，取得深圳市工商行政管理局440301102895058号企业法人营业执照。经</w:t>
      </w:r>
    </w:p>
    <w:p>
      <w:pPr>
        <w:spacing w:after="0" w:line="340"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7"/>
          <w:szCs w:val="27"/>
        </w:rPr>
      </w:pPr>
    </w:p>
    <w:p>
      <w:pPr>
        <w:spacing w:line="340" w:lineRule="auto" w:before="35"/>
        <w:ind w:left="154" w:right="101" w:firstLine="0"/>
        <w:jc w:val="left"/>
        <w:rPr>
          <w:rFonts w:ascii="宋体" w:hAnsi="宋体" w:cs="宋体" w:eastAsia="宋体" w:hint="default"/>
          <w:sz w:val="21"/>
          <w:szCs w:val="21"/>
        </w:rPr>
      </w:pPr>
      <w:r>
        <w:rPr>
          <w:rFonts w:ascii="宋体" w:hAnsi="宋体" w:cs="宋体" w:eastAsia="宋体" w:hint="default"/>
          <w:spacing w:val="-3"/>
          <w:sz w:val="21"/>
          <w:szCs w:val="21"/>
        </w:rPr>
        <w:t>营范围：研发、生产经营金融电子设备；计算机软件开发，计算机系统集成，计算机设备、金融电子设备、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办公设备、税控设备的技术开发、技术咨询、技术服务及租赁；货物及技术进出口；接受合法委托对现金</w:t>
      </w:r>
      <w:r>
        <w:rPr>
          <w:rFonts w:ascii="宋体" w:hAnsi="宋体" w:cs="宋体" w:eastAsia="宋体" w:hint="default"/>
          <w:sz w:val="21"/>
          <w:szCs w:val="21"/>
        </w:rPr>
        <w:t> 及有价证券提供清分处理服务。</w:t>
      </w:r>
    </w:p>
    <w:p>
      <w:pPr>
        <w:spacing w:line="340" w:lineRule="auto" w:before="27"/>
        <w:ind w:left="154" w:right="95" w:firstLine="420"/>
        <w:jc w:val="left"/>
        <w:rPr>
          <w:rFonts w:ascii="宋体" w:hAnsi="宋体" w:cs="宋体" w:eastAsia="宋体" w:hint="default"/>
          <w:sz w:val="21"/>
          <w:szCs w:val="21"/>
        </w:rPr>
      </w:pPr>
      <w:r>
        <w:rPr>
          <w:rFonts w:ascii="宋体" w:hAnsi="宋体" w:cs="宋体" w:eastAsia="宋体" w:hint="default"/>
          <w:spacing w:val="3"/>
          <w:sz w:val="21"/>
          <w:szCs w:val="21"/>
        </w:rPr>
        <w:t>注2：广州穗通金融服务有限公司于2008年12月30日成立，注册资本为3,000万元，其中本公司出资</w:t>
      </w:r>
      <w:r>
        <w:rPr>
          <w:rFonts w:ascii="宋体" w:hAnsi="宋体" w:cs="宋体" w:eastAsia="宋体" w:hint="default"/>
          <w:spacing w:val="4"/>
          <w:sz w:val="21"/>
          <w:szCs w:val="21"/>
        </w:rPr>
        <w:t> </w:t>
      </w:r>
      <w:r>
        <w:rPr>
          <w:rFonts w:ascii="宋体" w:hAnsi="宋体" w:cs="宋体" w:eastAsia="宋体" w:hint="default"/>
          <w:sz w:val="21"/>
          <w:szCs w:val="21"/>
        </w:rPr>
        <w:t>1,530万元，占51％股权；广州汇卓出资870万元，占29％股权；广州东亚出资360万元，占12％股权；广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州穗保出资240万元，占8％股权。注册地址为广州市天河区黄埔大道西平云路163号通讯车间大楼七楼东</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面，法定代表人为赵友永，取得广州市工商行政管理局核发注册号为4401011112159的企业法人营业执照，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经营范围为：受银行委托对自动柜员机进行维护及管理，对现金及有价证券提供清分处理服务。</w:t>
      </w:r>
    </w:p>
    <w:p>
      <w:pPr>
        <w:spacing w:line="340" w:lineRule="auto" w:before="27"/>
        <w:ind w:left="154" w:right="104" w:firstLine="420"/>
        <w:jc w:val="left"/>
        <w:rPr>
          <w:rFonts w:ascii="宋体" w:hAnsi="宋体" w:cs="宋体" w:eastAsia="宋体" w:hint="default"/>
          <w:sz w:val="21"/>
          <w:szCs w:val="21"/>
        </w:rPr>
      </w:pPr>
      <w:r>
        <w:rPr>
          <w:rFonts w:ascii="宋体" w:hAnsi="宋体" w:cs="宋体" w:eastAsia="宋体" w:hint="default"/>
          <w:sz w:val="21"/>
          <w:szCs w:val="21"/>
        </w:rPr>
        <w:t>注3：GRG Banking</w:t>
      </w:r>
      <w:r>
        <w:rPr>
          <w:rFonts w:ascii="宋体" w:hAnsi="宋体" w:cs="宋体" w:eastAsia="宋体" w:hint="default"/>
          <w:spacing w:val="-43"/>
          <w:sz w:val="21"/>
          <w:szCs w:val="21"/>
        </w:rPr>
        <w:t> </w:t>
      </w:r>
      <w:r>
        <w:rPr>
          <w:rFonts w:ascii="宋体" w:hAnsi="宋体" w:cs="宋体" w:eastAsia="宋体" w:hint="default"/>
          <w:sz w:val="21"/>
          <w:szCs w:val="21"/>
        </w:rPr>
        <w:t>Equipment(HK)Co.,Limited成立于2008年10月27日，注册资本为美元300.00万元，</w:t>
      </w:r>
      <w:r>
        <w:rPr>
          <w:rFonts w:ascii="宋体" w:hAnsi="宋体" w:cs="宋体" w:eastAsia="宋体" w:hint="default"/>
          <w:sz w:val="21"/>
          <w:szCs w:val="21"/>
        </w:rPr>
        <w:t> </w:t>
      </w:r>
      <w:r>
        <w:rPr>
          <w:rFonts w:ascii="宋体" w:hAnsi="宋体" w:cs="宋体" w:eastAsia="宋体" w:hint="default"/>
          <w:spacing w:val="2"/>
          <w:sz w:val="21"/>
          <w:szCs w:val="21"/>
        </w:rPr>
        <w:t>投资总额美元300.00万元。其中本公司出资美元300.00万元，占100%股权，截至报表日止，已投资美元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300.00万元。注册地址为香港上环德辅道中248号东协商业大厦17楼1702室，取得香港公司注册处签发注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册号为39935822-000-10-08-4的公司注册证书，经营范围为：投资和贸易。</w:t>
      </w:r>
    </w:p>
    <w:p>
      <w:pPr>
        <w:spacing w:line="340" w:lineRule="auto" w:before="27"/>
        <w:ind w:left="153" w:right="206" w:firstLine="420"/>
        <w:jc w:val="both"/>
        <w:rPr>
          <w:rFonts w:ascii="宋体" w:hAnsi="宋体" w:cs="宋体" w:eastAsia="宋体" w:hint="default"/>
          <w:sz w:val="21"/>
          <w:szCs w:val="21"/>
        </w:rPr>
      </w:pPr>
      <w:r>
        <w:rPr>
          <w:rFonts w:ascii="宋体" w:hAnsi="宋体" w:cs="宋体" w:eastAsia="宋体" w:hint="default"/>
          <w:spacing w:val="-5"/>
          <w:sz w:val="21"/>
          <w:szCs w:val="21"/>
        </w:rPr>
        <w:t>注4：广州支点创业投资有限公司于2011年7月13日成立，注册资本为5,000万元，其中本公司出资5,000</w:t>
      </w:r>
      <w:r>
        <w:rPr>
          <w:rFonts w:ascii="宋体" w:hAnsi="宋体" w:cs="宋体" w:eastAsia="宋体" w:hint="default"/>
          <w:sz w:val="21"/>
          <w:szCs w:val="21"/>
        </w:rPr>
        <w:t> </w:t>
      </w:r>
      <w:r>
        <w:rPr>
          <w:rFonts w:ascii="宋体" w:hAnsi="宋体" w:cs="宋体" w:eastAsia="宋体" w:hint="default"/>
          <w:spacing w:val="-1"/>
          <w:sz w:val="21"/>
          <w:szCs w:val="21"/>
        </w:rPr>
        <w:t>万元，占100％股权。注册地址为广州市萝岗区科学城科林路9号，法定代表人为叶子瑜，取得广州市工商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行政管理局核发注册号为4401000171268的企业法人营业执照，经营范围为：创业投资服务；代理其他创</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
          <w:sz w:val="21"/>
          <w:szCs w:val="21"/>
        </w:rPr>
        <w:t>业投资企业等机构或个人的创业投资业务；创业投资咨询业务；为创业企业提供创业管理服务业务；参与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设立创业投资企业与创业投资管理顾问机构。</w:t>
      </w:r>
    </w:p>
    <w:p>
      <w:pPr>
        <w:spacing w:line="340" w:lineRule="auto" w:before="27"/>
        <w:ind w:left="153" w:right="206" w:firstLine="420"/>
        <w:jc w:val="both"/>
        <w:rPr>
          <w:rFonts w:ascii="宋体" w:hAnsi="宋体" w:cs="宋体" w:eastAsia="宋体" w:hint="default"/>
          <w:sz w:val="21"/>
          <w:szCs w:val="21"/>
        </w:rPr>
      </w:pPr>
      <w:r>
        <w:rPr>
          <w:rFonts w:ascii="宋体" w:hAnsi="宋体" w:cs="宋体" w:eastAsia="宋体" w:hint="default"/>
          <w:sz w:val="21"/>
          <w:szCs w:val="21"/>
        </w:rPr>
        <w:t>注5：广州中智融通金融科技有限公司于2012年12月1日成立，注册资本为5,000万元，其中本公司出 资5,000万元，占100％股权。注册地址为广州市高新技术产业开发区科学城科林路9号，法定代表人为叶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子瑜，取得广州市工商行政管理局核发注册号为440101000220051的企业法人营业执照，经营范围为：研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究、生产、销售、租赁：金融电子设备、货币类自助设备、税务应用设备、计算机软硬件，及相关的技术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开发、技术咨询和技术服务；计算机系统集成开发、销售及技术服务；接受合法委托对纸币清分机提供日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常维护与管理服务、对现金及有价证券提供清分处理服务（涉及金融服务的项目除外）；货物及技术进出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口（法律、行政法规禁止的除外；法律、行政法规限制的须取得许可后方可经营）。</w:t>
      </w:r>
    </w:p>
    <w:p>
      <w:pPr>
        <w:spacing w:line="340" w:lineRule="auto" w:before="27"/>
        <w:ind w:left="153" w:right="95" w:firstLine="420"/>
        <w:jc w:val="left"/>
        <w:rPr>
          <w:rFonts w:ascii="宋体" w:hAnsi="宋体" w:cs="宋体" w:eastAsia="宋体" w:hint="default"/>
          <w:sz w:val="21"/>
          <w:szCs w:val="21"/>
        </w:rPr>
      </w:pPr>
      <w:r>
        <w:rPr>
          <w:rFonts w:ascii="宋体" w:hAnsi="宋体" w:cs="宋体" w:eastAsia="宋体" w:hint="default"/>
          <w:sz w:val="21"/>
          <w:szCs w:val="21"/>
        </w:rPr>
        <w:t>注6：广州市龙源环保科技有限公司，由李海花、秦婵、丘山和丘星初共同投资成立，注册资本30万</w:t>
      </w:r>
      <w:r>
        <w:rPr>
          <w:rFonts w:ascii="宋体" w:hAnsi="宋体" w:cs="宋体" w:eastAsia="宋体" w:hint="default"/>
          <w:spacing w:val="2"/>
          <w:sz w:val="21"/>
          <w:szCs w:val="21"/>
        </w:rPr>
        <w:t> </w:t>
      </w:r>
      <w:r>
        <w:rPr>
          <w:rFonts w:ascii="宋体" w:hAnsi="宋体" w:cs="宋体" w:eastAsia="宋体" w:hint="default"/>
          <w:sz w:val="21"/>
          <w:szCs w:val="21"/>
        </w:rPr>
        <w:t>元人民币，出资比例分别为，25%、25%、25%、25%，于2006年5月12日成立。2010年3月2日，李海花、秦</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婵各自将其持有的25%股权全部转让给张伟询，丘山将其持有的10%股权转让给张伟询、</w:t>
      </w:r>
      <w:r>
        <w:rPr>
          <w:rFonts w:ascii="宋体" w:hAnsi="宋体" w:cs="宋体" w:eastAsia="宋体" w:hint="default"/>
          <w:spacing w:val="-19"/>
          <w:sz w:val="21"/>
          <w:szCs w:val="21"/>
        </w:rPr>
        <w:t> </w:t>
      </w:r>
      <w:r>
        <w:rPr>
          <w:rFonts w:ascii="宋体" w:hAnsi="宋体" w:cs="宋体" w:eastAsia="宋体" w:hint="default"/>
          <w:sz w:val="21"/>
          <w:szCs w:val="21"/>
        </w:rPr>
        <w:t>15%股权转让给蔡</w:t>
      </w:r>
      <w:r>
        <w:rPr>
          <w:rFonts w:ascii="宋体" w:hAnsi="宋体" w:cs="宋体" w:eastAsia="宋体" w:hint="default"/>
          <w:sz w:val="21"/>
          <w:szCs w:val="21"/>
        </w:rPr>
        <w:t> 永恒，丘星初将其持有的25%股权全部转让给蔡永恒，注册资本不变。2010年4月28日公司注册资本由30万 元人民币增加至2,400万元人民币。其中：张伟询出资1,440万元，占注册资本60%，蔡永恒出资960万元， 占注册资本40%。2011年11月张伟询和蔡永恒将其持有的股份转让给方容波、谢志耀和江健辉；同时本公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司向该公司增资168,000,000.00元，其中增资款107,031,373.00元用于增加实收资本，并于2011年12月2</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日办理了工商变更登记，取得广州市工商行政管理局440126000066296号企业法人营业执照。股权转让及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
          <w:sz w:val="21"/>
          <w:szCs w:val="21"/>
        </w:rPr>
        <w:t>增资扩股后张伟询出资6,600.45万元，占注册资本30.22%，方容波出资1,810.25万元，占注册资本8.29%，</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谢志耀出资919.05万元，占注册资本4.20%，江健辉出资1,810.25万元，占注册资本8.29%，本公司出资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10,703.14万元，占注册资本49%。经营范围：环境污染防治专用设备生产技术的研究、开发；销售：环境</w:t>
      </w:r>
    </w:p>
    <w:p>
      <w:pPr>
        <w:spacing w:after="0" w:line="340"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7"/>
          <w:szCs w:val="27"/>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污染防治专用设备。</w:t>
      </w:r>
    </w:p>
    <w:p>
      <w:pPr>
        <w:spacing w:line="240" w:lineRule="auto" w:before="10"/>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1,936,158,461.19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1,862,690,135.53</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
        </w:tc>
        <w:tc>
          <w:tcPr>
            <w:tcW w:w="3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1,936,158,461.19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1,862,690,135.53</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946,879,145.69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965,616,813.58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①制造业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1,832,063,256.07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889,818,740.86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1,750,147,222.41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904,569,432.89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②材料</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95,948,719.66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57,060,404.83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108,133,185.03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61,047,380.69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③服务费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8,146,485.46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4,409,728.09</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1,936,158,461.19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946,879,145.69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1,862,690,135.53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965,616,813.58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①</w:t>
            </w:r>
            <w:r>
              <w:rPr>
                <w:rFonts w:ascii="Times New Roman" w:hAnsi="Times New Roman" w:cs="Times New Roman" w:eastAsia="Times New Roman" w:hint="default"/>
                <w:spacing w:val="-6"/>
                <w:sz w:val="18"/>
                <w:szCs w:val="18"/>
              </w:rPr>
              <w:t>ATM</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1,800,625,041.74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866,850,306.35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1,617,084,731.06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817,324,792.10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AFC</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31,438,214.33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22,968,434.51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133,062,491.35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87,244,640.79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③材料</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95,948,719.66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57,060,404.83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108,133,185.03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61,047,380.69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④</w:t>
            </w:r>
            <w:r>
              <w:rPr>
                <w:rFonts w:ascii="Times New Roman" w:hAnsi="Times New Roman" w:cs="Times New Roman" w:eastAsia="Times New Roman" w:hint="default"/>
                <w:spacing w:val="-6"/>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8,146,485.46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4,409,728.09</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1,936,158,461.19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946,879,145.69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1,862,690,135.53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965,616,813.58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1,836,517,690.53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882,135,362.48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1,506,220,217.55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742,816,441.89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99,640,770.66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64,743,783.21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356,469,917.98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222,800,371.69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1,936,158,461.19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946,879,145.69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1,862,690,135.53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965,616,813.58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585,840,008.99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151,510,220.71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119,665,290.56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87,865,555.42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GRG Banking Equipment(HK)</w:t>
            </w:r>
            <w:r>
              <w:rPr>
                <w:rFonts w:ascii="Times New Roman"/>
                <w:spacing w:val="-2"/>
                <w:sz w:val="18"/>
              </w:rPr>
              <w:t> </w:t>
            </w:r>
            <w:r>
              <w:rPr>
                <w:rFonts w:ascii="Times New Roman"/>
                <w:sz w:val="18"/>
              </w:rPr>
              <w:t>Co.,Limited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83,261,378.06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1,028,142,453.74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53.11%</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1,372,443.65</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-8,145,472.93</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-6,773,029.28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49,462,119.40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子公司本期未分红</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1,372,443.65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子公司本期分红</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1,372,443.65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73"/>
              <w:jc w:val="righ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-8,145,472.93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3"/>
              <w:jc w:val="righ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月起计提投资收益</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-8,145,472.93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-537,880.60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5040"/>
        <w:gridCol w:w="2247"/>
        <w:gridCol w:w="2258"/>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47" w:type="dxa"/>
            <w:tcBorders>
              <w:top w:val="single" w:sz="5" w:space="0" w:color="000000"/>
              <w:left w:val="single" w:sz="10" w:space="0" w:color="D3D3D3"/>
              <w:bottom w:val="single" w:sz="4" w:space="0" w:color="000000"/>
              <w:right w:val="single" w:sz="4" w:space="0" w:color="000000"/>
            </w:tcBorders>
          </w:tcPr>
          <w:p>
            <w:pPr>
              <w:pStyle w:val="TableParagraph"/>
              <w:spacing w:line="240" w:lineRule="auto" w:before="90"/>
              <w:ind w:left="1093" w:right="0"/>
              <w:jc w:val="left"/>
              <w:rPr>
                <w:rFonts w:ascii="Times New Roman" w:hAnsi="Times New Roman" w:cs="Times New Roman" w:eastAsia="Times New Roman" w:hint="default"/>
                <w:sz w:val="18"/>
                <w:szCs w:val="18"/>
              </w:rPr>
            </w:pPr>
            <w:r>
              <w:rPr>
                <w:rFonts w:ascii="Times New Roman"/>
                <w:sz w:val="18"/>
              </w:rPr>
              <w:t>535,789,251.19</w:t>
            </w:r>
          </w:p>
        </w:tc>
        <w:tc>
          <w:tcPr>
            <w:tcW w:w="225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0"/>
              <w:ind w:left="1112" w:right="0"/>
              <w:jc w:val="left"/>
              <w:rPr>
                <w:rFonts w:ascii="Times New Roman" w:hAnsi="Times New Roman" w:cs="Times New Roman" w:eastAsia="Times New Roman" w:hint="default"/>
                <w:sz w:val="18"/>
                <w:szCs w:val="18"/>
              </w:rPr>
            </w:pPr>
            <w:r>
              <w:rPr>
                <w:rFonts w:ascii="Times New Roman"/>
                <w:sz w:val="18"/>
              </w:rPr>
              <w:t>510,034,778.85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-1,593,610.87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5,909,639.35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17,752,529.14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15,495,593.37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702,520.86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627,673.31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48,497.60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-39,610.58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-273,476.92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6,950,493.97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6,773,029.28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-49,462,119.40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-5,764,109.21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-6,514,475.50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-106,104,374.11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-249,241,976.29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184,693,853.57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151,498,276.40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169,496,257.23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64,640,519.95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801,520,367.76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449,898,793.43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1,703,848,033.38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1,011,513,794.80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1,011,513,794.80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896,508,639.42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692,334,238.58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115,005,155.38</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十五、补充资料</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7"/>
        <w:gridCol w:w="2179"/>
        <w:gridCol w:w="1913"/>
        <w:gridCol w:w="1927"/>
      </w:tblGrid>
      <w:tr>
        <w:trPr>
          <w:trHeight w:val="200"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tcBorders>
              <w:left w:val="single" w:sz="4" w:space="0" w:color="000000"/>
              <w:right w:val="single" w:sz="4" w:space="0" w:color="000000"/>
            </w:tcBorders>
            <w:shd w:val="clear" w:color="auto" w:fill="D3D3D3"/>
          </w:tcPr>
          <w:p>
            <w:pPr/>
          </w:p>
        </w:tc>
        <w:tc>
          <w:tcPr>
            <w:tcW w:w="3840"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9"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2"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9"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9"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z w:val="18"/>
              </w:rPr>
              <w:t>21.46%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27"/>
        <w:gridCol w:w="2190"/>
        <w:gridCol w:w="1914"/>
        <w:gridCol w:w="1938"/>
      </w:tblGrid>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841"/>
        <w:gridCol w:w="1820"/>
        <w:gridCol w:w="1819"/>
        <w:gridCol w:w="1260"/>
        <w:gridCol w:w="2981"/>
      </w:tblGrid>
      <w:tr>
        <w:trPr>
          <w:trHeight w:val="323" w:hRule="exact"/>
        </w:trPr>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9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2" w:hRule="exact"/>
        </w:trPr>
        <w:tc>
          <w:tcPr>
            <w:tcW w:w="1841" w:type="dxa"/>
            <w:vMerge/>
            <w:tcBorders>
              <w:left w:val="single" w:sz="4" w:space="0" w:color="000000"/>
              <w:bottom w:val="single" w:sz="4" w:space="0" w:color="000000"/>
              <w:right w:val="single" w:sz="4" w:space="0" w:color="000000"/>
            </w:tcBorders>
            <w:shd w:val="clear" w:color="auto" w:fill="D3D3D3"/>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（或本期金额）</w:t>
            </w:r>
          </w:p>
        </w:tc>
        <w:tc>
          <w:tcPr>
            <w:tcW w:w="1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（或上期金额）</w:t>
            </w:r>
          </w:p>
        </w:tc>
        <w:tc>
          <w:tcPr>
            <w:tcW w:w="1260" w:type="dxa"/>
            <w:vMerge/>
            <w:tcBorders>
              <w:left w:val="single" w:sz="4" w:space="0" w:color="000000"/>
              <w:bottom w:val="single" w:sz="4" w:space="0" w:color="000000"/>
              <w:right w:val="single" w:sz="4" w:space="0" w:color="000000"/>
            </w:tcBorders>
            <w:shd w:val="clear" w:color="auto" w:fill="D3D3D3"/>
          </w:tcPr>
          <w:p>
            <w:pPr/>
          </w:p>
        </w:tc>
        <w:tc>
          <w:tcPr>
            <w:tcW w:w="2981"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2,003,540,034.34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1,319,600,830.71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51.83%</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货款及时回笼</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1,987,100.00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4,697,525.00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-57.70%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收到的银行承兑票据及时背书转让</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644,263,001.21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832,957,390.58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-22.65%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货款及时回笼</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49,453,209.32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21,913,046.96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125.68%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预付办公场地费</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769,594,720.41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648,598,335.04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18.66%</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期末备货大</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2,616,656.28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1,834,436.31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42.64%</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科学城三期项目的投入</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34,688,770.64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25,264,530.02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37.30%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可抵扣暂时性差异增加</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107,660,636.84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贸易融资借款减少</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81,861,323.25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143,409,767.45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-42.92%</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开具汇票减少</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269,248,409.78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75,514,431.56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256.55%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合同预收款增加</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122,073,093.91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85,065,251.04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43.51%</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应付工资增加</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76,800,149.37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46,056,357.85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66.75%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应付技术服务费增加</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39,553,301.46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29,278,708.33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35.09%</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收到政府补助的项目研发经费</w:t>
            </w:r>
          </w:p>
        </w:tc>
      </w:tr>
      <w:tr>
        <w:trPr>
          <w:trHeight w:val="63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622,697,755.00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444,784,111.00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实施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年度利润分配方案，资本</w:t>
            </w:r>
            <w:r>
              <w:rPr>
                <w:rFonts w:ascii="宋体" w:hAnsi="宋体" w:cs="宋体" w:eastAsia="宋体" w:hint="default"/>
                <w:sz w:val="18"/>
                <w:szCs w:val="18"/>
              </w:rPr>
              <w:t> 公积转增股本</w:t>
            </w:r>
          </w:p>
        </w:tc>
      </w:tr>
      <w:tr>
        <w:trPr>
          <w:trHeight w:val="63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178,647,184.24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359,057,056.10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-50.25%</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jc w:val="left"/>
              <w:rPr>
                <w:rFonts w:ascii="宋体" w:hAnsi="宋体" w:cs="宋体" w:eastAsia="宋体" w:hint="default"/>
                <w:sz w:val="18"/>
                <w:szCs w:val="18"/>
              </w:rPr>
            </w:pPr>
            <w:r>
              <w:rPr>
                <w:rFonts w:ascii="宋体" w:hAnsi="宋体" w:cs="宋体" w:eastAsia="宋体" w:hint="default"/>
                <w:sz w:val="18"/>
                <w:szCs w:val="18"/>
              </w:rPr>
              <w:t>资本公积转增股本，可供出售金融 资产公允价值下降</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1,911,456,422.49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1,430,881,774.72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33.59%</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本期经营利润增加</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-1,237,162.55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-939,775.32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-31.64%</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人民币汇率升值</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2,168,409,553.00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2,089,467,431.67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3.78%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销量增加</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-11,576,546.45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-1,549,121.64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-647.30%</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存款利息收入及汇兑收益增加</w:t>
            </w:r>
          </w:p>
        </w:tc>
      </w:tr>
      <w:tr>
        <w:trPr>
          <w:trHeight w:val="32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-1,252,368.99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5,970,518.47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-120.98%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货款及时回笼，坏帐准备计提减少</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141,735,190.75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93,195,691.12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52.08%</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政府补助增加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1"/>
        <w:ind w:left="3286" w:right="0" w:firstLine="0"/>
        <w:jc w:val="left"/>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9"/>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7"/>
        <w:rPr>
          <w:rFonts w:ascii="宋体" w:hAnsi="宋体" w:cs="宋体" w:eastAsia="宋体" w:hint="default"/>
          <w:b/>
          <w:bCs/>
          <w:sz w:val="40"/>
          <w:szCs w:val="40"/>
        </w:rPr>
      </w:pPr>
    </w:p>
    <w:p>
      <w:pPr>
        <w:spacing w:line="266" w:lineRule="auto" w:before="0"/>
        <w:ind w:left="489" w:right="0" w:firstLine="0"/>
        <w:jc w:val="left"/>
        <w:rPr>
          <w:rFonts w:ascii="宋体" w:hAnsi="宋体" w:cs="宋体" w:eastAsia="宋体" w:hint="default"/>
          <w:sz w:val="21"/>
          <w:szCs w:val="21"/>
        </w:rPr>
      </w:pPr>
      <w:r>
        <w:rPr>
          <w:rFonts w:ascii="宋体" w:hAnsi="宋体" w:cs="宋体" w:eastAsia="宋体" w:hint="default"/>
          <w:sz w:val="21"/>
          <w:szCs w:val="21"/>
        </w:rPr>
        <w:t>一、载有董事长签名的</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年年度报告全文； 二、载有法定代表人、主管会计工作负责人、会计机构负责人签名并盖章的财务报表； 三、载有会计师事务所盖章、注册会计师签名并盖章的审计报告原件； 四、报告期内，公司在《证券时报》和巨潮资讯网（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）上公开披露过的所有公司文</w:t>
      </w:r>
    </w:p>
    <w:p>
      <w:pPr>
        <w:spacing w:line="273" w:lineRule="auto" w:before="0"/>
        <w:ind w:left="574" w:right="6200" w:hanging="420"/>
        <w:jc w:val="left"/>
        <w:rPr>
          <w:rFonts w:ascii="宋体" w:hAnsi="宋体" w:cs="宋体" w:eastAsia="宋体" w:hint="default"/>
          <w:sz w:val="21"/>
          <w:szCs w:val="21"/>
        </w:rPr>
      </w:pPr>
      <w:r>
        <w:rPr>
          <w:rFonts w:ascii="宋体" w:hAnsi="宋体" w:cs="宋体" w:eastAsia="宋体" w:hint="default"/>
          <w:sz w:val="21"/>
          <w:szCs w:val="21"/>
        </w:rPr>
        <w:t>件的正本及公告的原稿。 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408" w:lineRule="auto" w:before="0"/>
        <w:ind w:left="7410" w:right="132" w:hanging="978"/>
        <w:jc w:val="left"/>
        <w:rPr>
          <w:rFonts w:ascii="宋体" w:hAnsi="宋体" w:cs="宋体" w:eastAsia="宋体" w:hint="default"/>
          <w:sz w:val="21"/>
          <w:szCs w:val="21"/>
        </w:rPr>
      </w:pPr>
      <w:r>
        <w:rPr>
          <w:rFonts w:ascii="宋体" w:hAnsi="宋体" w:cs="宋体" w:eastAsia="宋体" w:hint="default"/>
          <w:sz w:val="21"/>
          <w:szCs w:val="21"/>
        </w:rPr>
        <w:t>广州广电运通金融电子股份有限公司 董事长：赵友永 </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05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05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05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059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05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106008" type="#_x0000_t202" filled="false" stroked="false">
          <v:textbox inset="0,0,0,0">
            <w:txbxContent>
              <w:p>
                <w:pPr>
                  <w:pStyle w:val="BodyText"/>
                  <w:spacing w:line="214" w:lineRule="exact"/>
                  <w:ind w:left="20" w:right="0"/>
                  <w:jc w:val="left"/>
                </w:pPr>
                <w:r>
                  <w:rPr/>
                  <w:t>广州广电运通金融电子股份有限公司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3"/>
      <w:ind w:left="258"/>
      <w:outlineLvl w:val="4"/>
    </w:pPr>
    <w:rPr>
      <w:rFonts w:ascii="宋体" w:hAnsi="宋体" w:eastAsia="宋体"/>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grgbanking.com/" TargetMode="External"/><Relationship Id="rId10" Type="http://schemas.openxmlformats.org/officeDocument/2006/relationships/hyperlink" Target="mailto:securities@grgbanking.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wying2</dc:creator>
  <dc:title>&lt;4D6963726F736F667420576F7264202D20B9E3B5E7D4CBCDA832303132C4EAC4EAB6C8B1A8B8E62E646F63&gt;</dc:title>
  <dcterms:created xsi:type="dcterms:W3CDTF">2020-05-04T00:18:12Z</dcterms:created>
  <dcterms:modified xsi:type="dcterms:W3CDTF">2020-05-04T00:18:12Z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PScript5.dll Version 5.2.2</vt:lpwstr>
  </property>
  <property fmtid="{D5CDD505-2E9C-101B-9397-08002B2CF9AE}" pid="4" name="LastSaved">
    <vt:filetime>2020-05-03T00:00:00Z</vt:filetime>
  </property>
</Properties>
</file>