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022" w:right="973" w:bottom="988" w:left="1107" w:header="0" w:footer="3" w:gutter="0"/>
          <w:pgNumType w:start="1"/>
          <w:cols w:space="720"/>
          <w:noEndnote/>
          <w:titlePg/>
          <w:rtlGutter w:val="0"/>
          <w:docGrid w:linePitch="360"/>
        </w:sectPr>
      </w:pPr>
    </w:p>
    <w:p>
      <w:pPr>
        <w:pStyle w:val="Style6"/>
        <w:keepNext/>
        <w:keepLines/>
        <w:framePr w:w="1186" w:h="619" w:wrap="none" w:vAnchor="text" w:hAnchor="page" w:x="4770" w:y="21"/>
        <w:widowControl w:val="0"/>
        <w:pBdr>
          <w:top w:val="single" w:sz="0" w:space="0" w:color="2979B6"/>
          <w:left w:val="single" w:sz="0" w:space="0" w:color="2979B6"/>
          <w:bottom w:val="single" w:sz="0" w:space="0" w:color="2979B6"/>
          <w:right w:val="single" w:sz="0" w:space="0" w:color="2979B6"/>
        </w:pBdr>
        <w:shd w:val="clear" w:color="auto" w:fill="2979B6"/>
        <w:bidi w:val="0"/>
        <w:spacing w:before="0" w:after="0" w:line="240" w:lineRule="auto"/>
        <w:ind w:left="0" w:right="0" w:firstLine="0"/>
        <w:jc w:val="left"/>
      </w:pPr>
      <w:bookmarkStart w:id="0" w:name="bookmark0"/>
      <w:bookmarkStart w:id="1" w:name="bookmark1"/>
      <w:bookmarkStart w:id="2" w:name="bookmark2"/>
      <w:r>
        <w:rPr>
          <w:color w:val="FFFFFF"/>
          <w:spacing w:val="0"/>
          <w:w w:val="100"/>
          <w:position w:val="0"/>
        </w:rPr>
        <w:t>CRC</w:t>
      </w:r>
      <w:bookmarkEnd w:id="0"/>
      <w:bookmarkEnd w:id="1"/>
      <w:bookmarkEnd w:id="2"/>
    </w:p>
    <w:p>
      <w:pPr>
        <w:pStyle w:val="Style8"/>
        <w:keepNext/>
        <w:keepLines/>
        <w:framePr w:w="2131" w:h="816" w:wrap="none" w:vAnchor="text" w:hAnchor="page" w:x="5730" w:y="39"/>
        <w:widowControl w:val="0"/>
        <w:shd w:val="clear" w:color="auto" w:fill="auto"/>
        <w:bidi w:val="0"/>
        <w:spacing w:before="0" w:after="0" w:line="240" w:lineRule="auto"/>
        <w:ind w:left="0" w:right="0"/>
        <w:jc w:val="left"/>
      </w:pPr>
      <w:bookmarkStart w:id="3" w:name="bookmark3"/>
      <w:bookmarkStart w:id="4" w:name="bookmark4"/>
      <w:bookmarkStart w:id="5" w:name="bookmark5"/>
      <w:r>
        <w:rPr>
          <w:color w:val="000000"/>
          <w:spacing w:val="0"/>
          <w:w w:val="100"/>
          <w:position w:val="0"/>
        </w:rPr>
        <w:t>Banking</w:t>
      </w:r>
      <w:bookmarkEnd w:id="3"/>
      <w:bookmarkEnd w:id="4"/>
      <w:bookmarkEnd w:id="5"/>
    </w:p>
    <w:p>
      <w:pPr>
        <w:pStyle w:val="Style10"/>
        <w:keepNext w:val="0"/>
        <w:keepLines w:val="0"/>
        <w:framePr w:w="2131" w:h="816" w:wrap="none" w:vAnchor="text" w:hAnchor="page" w:x="5730" w:y="39"/>
        <w:widowControl w:val="0"/>
        <w:shd w:val="clear" w:color="auto" w:fill="auto"/>
        <w:bidi w:val="0"/>
        <w:spacing w:before="0" w:after="0" w:line="240" w:lineRule="auto"/>
        <w:ind w:left="0" w:right="0" w:firstLine="0"/>
        <w:jc w:val="left"/>
      </w:pPr>
      <w:r>
        <w:rPr>
          <w:spacing w:val="0"/>
          <w:w w:val="100"/>
          <w:position w:val="0"/>
        </w:rPr>
        <w:t>，广电运通</w:t>
      </w: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022" w:right="973" w:bottom="988" w:left="110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844" w:right="0" w:bottom="2468" w:left="0" w:header="0" w:footer="3" w:gutter="0"/>
          <w:cols w:space="720"/>
          <w:noEndnote/>
          <w:rtlGutter w:val="0"/>
          <w:docGrid w:linePitch="360"/>
        </w:sectPr>
      </w:pPr>
    </w:p>
    <w:p>
      <w:pPr>
        <w:pStyle w:val="Style14"/>
        <w:keepNext/>
        <w:keepLines/>
        <w:widowControl w:val="0"/>
        <w:shd w:val="clear" w:color="auto" w:fill="auto"/>
        <w:bidi w:val="0"/>
        <w:spacing w:before="0" w:after="400" w:line="240" w:lineRule="auto"/>
        <w:ind w:left="0" w:right="0" w:firstLine="0"/>
        <w:jc w:val="center"/>
      </w:pPr>
      <w:bookmarkStart w:id="6" w:name="bookmark6"/>
      <w:bookmarkStart w:id="7" w:name="bookmark7"/>
      <w:bookmarkStart w:id="8" w:name="bookmark8"/>
      <w:r>
        <w:rPr>
          <w:color w:val="000000"/>
          <w:spacing w:val="0"/>
          <w:w w:val="100"/>
          <w:position w:val="0"/>
        </w:rPr>
        <w:t>广州广电运通金融电子股份有限公司</w:t>
      </w:r>
      <w:bookmarkEnd w:id="6"/>
      <w:bookmarkEnd w:id="7"/>
      <w:bookmarkEnd w:id="8"/>
    </w:p>
    <w:p>
      <w:pPr>
        <w:pStyle w:val="Style12"/>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二。一四年三月</w:t>
      </w:r>
    </w:p>
    <w:p>
      <w:pPr>
        <w:pStyle w:val="Style17"/>
        <w:keepNext w:val="0"/>
        <w:keepLines w:val="0"/>
        <w:widowControl w:val="0"/>
        <w:shd w:val="clear" w:color="auto" w:fill="auto"/>
        <w:bidi w:val="0"/>
        <w:spacing w:before="0" w:after="0" w:line="240" w:lineRule="auto"/>
        <w:ind w:right="0" w:firstLine="0"/>
        <w:jc w:val="left"/>
      </w:pPr>
      <w:r>
        <mc:AlternateContent>
          <mc:Choice Requires="wps">
            <w:drawing>
              <wp:anchor distT="0" distB="0" distL="114300" distR="114300" simplePos="0" relativeHeight="125829378" behindDoc="0" locked="0" layoutInCell="1" allowOverlap="1">
                <wp:simplePos x="0" y="0"/>
                <wp:positionH relativeFrom="page">
                  <wp:posOffset>705485</wp:posOffset>
                </wp:positionH>
                <wp:positionV relativeFrom="paragraph">
                  <wp:posOffset>38100</wp:posOffset>
                </wp:positionV>
                <wp:extent cx="1865630" cy="252730"/>
                <wp:wrapSquare wrapText="right"/>
                <wp:docPr id="11" name="Shape 11"/>
                <a:graphic xmlns:a="http://schemas.openxmlformats.org/drawingml/2006/main">
                  <a:graphicData uri="http://schemas.microsoft.com/office/word/2010/wordprocessingShape">
                    <wps:wsp>
                      <wps:cNvSpPr txBox="1"/>
                      <wps:spPr>
                        <a:xfrm>
                          <a:ext cx="1865630" cy="2527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证券简称：广电运通</w:t>
                            </w:r>
                          </w:p>
                        </w:txbxContent>
                      </wps:txbx>
                      <wps:bodyPr wrap="none" lIns="0" tIns="0" rIns="0" bIns="0">
                        <a:noAutoFit/>
                      </wps:bodyPr>
                    </wps:wsp>
                  </a:graphicData>
                </a:graphic>
              </wp:anchor>
            </w:drawing>
          </mc:Choice>
          <mc:Fallback>
            <w:pict>
              <v:shape id="_x0000_s1037" type="#_x0000_t202" style="position:absolute;margin-left:55.550000000000004pt;margin-top:3.pt;width:146.90000000000001pt;height:19.900000000000002pt;z-index:-12582937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证券简称：广电运通</w:t>
                      </w:r>
                    </w:p>
                  </w:txbxContent>
                </v:textbox>
                <w10:wrap type="square" side="right" anchorx="page"/>
              </v:shape>
            </w:pict>
          </mc:Fallback>
        </mc:AlternateContent>
      </w:r>
      <w:r>
        <w:rPr>
          <w:rFonts w:ascii="SimSun" w:eastAsia="SimSun" w:hAnsi="SimSun" w:cs="SimSun"/>
          <w:color w:val="000000"/>
          <w:spacing w:val="0"/>
          <w:w w:val="100"/>
          <w:position w:val="0"/>
        </w:rPr>
        <w:t>证券代码：</w:t>
      </w:r>
      <w:r>
        <w:rPr>
          <w:color w:val="000000"/>
          <w:spacing w:val="0"/>
          <w:w w:val="100"/>
          <w:position w:val="0"/>
        </w:rPr>
        <w:t>002152</w:t>
      </w:r>
    </w:p>
    <w:p>
      <w:pPr>
        <w:pStyle w:val="Style20"/>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22"/>
        <w:keepNext w:val="0"/>
        <w:keepLines w:val="0"/>
        <w:widowControl w:val="0"/>
        <w:shd w:val="clear" w:color="auto" w:fill="auto"/>
        <w:bidi w:val="0"/>
        <w:spacing w:before="0" w:after="60" w:line="629" w:lineRule="exact"/>
        <w:ind w:left="0" w:right="0"/>
        <w:jc w:val="both"/>
      </w:pPr>
      <w:bookmarkStart w:id="12" w:name="bookmark12"/>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12"/>
    </w:p>
    <w:p>
      <w:pPr>
        <w:pStyle w:val="Style2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2"/>
        <w:keepNext w:val="0"/>
        <w:keepLines w:val="0"/>
        <w:widowControl w:val="0"/>
        <w:shd w:val="clear" w:color="auto" w:fill="auto"/>
        <w:bidi w:val="0"/>
        <w:spacing w:before="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w:t>
      </w:r>
      <w:r>
        <w:rPr>
          <w:rFonts w:ascii="Times New Roman" w:eastAsia="Times New Roman" w:hAnsi="Times New Roman" w:cs="Times New Roman"/>
          <w:color w:val="000000"/>
          <w:spacing w:val="0"/>
          <w:w w:val="100"/>
          <w:position w:val="0"/>
        </w:rPr>
        <w:t>747,237,306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 送红股</w:t>
      </w:r>
      <w:r>
        <w:rPr>
          <w:rFonts w:ascii="Times New Roman" w:eastAsia="Times New Roman" w:hAnsi="Times New Roman" w:cs="Times New Roman"/>
          <w:color w:val="000000"/>
          <w:spacing w:val="0"/>
          <w:w w:val="100"/>
          <w:position w:val="0"/>
        </w:rPr>
        <w:t>2</w:t>
      </w:r>
      <w:r>
        <w:rPr>
          <w:color w:val="000000"/>
          <w:spacing w:val="0"/>
          <w:w w:val="100"/>
          <w:position w:val="0"/>
        </w:rPr>
        <w:t>股（含税），不以公积金转增股本。</w:t>
      </w:r>
    </w:p>
    <w:p>
      <w:pPr>
        <w:pStyle w:val="Style22"/>
        <w:keepNext w:val="0"/>
        <w:keepLines w:val="0"/>
        <w:widowControl w:val="0"/>
        <w:shd w:val="clear" w:color="auto" w:fill="auto"/>
        <w:bidi w:val="0"/>
        <w:spacing w:before="0" w:line="634" w:lineRule="exact"/>
        <w:ind w:left="0" w:right="0"/>
        <w:jc w:val="both"/>
      </w:pPr>
      <w:r>
        <w:rPr>
          <w:color w:val="000000"/>
          <w:spacing w:val="0"/>
          <w:w w:val="100"/>
          <w:position w:val="0"/>
        </w:rPr>
        <w:t>公司负责人赵友永、主管会计工作负责人蒋春晨及会计机构负责人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惠小绒声明：保证年度报告中财务报告的真实、准确、完整。</w:t>
      </w:r>
    </w:p>
    <w:p>
      <w:pPr>
        <w:pStyle w:val="Style22"/>
        <w:keepNext w:val="0"/>
        <w:keepLines w:val="0"/>
        <w:widowControl w:val="0"/>
        <w:shd w:val="clear" w:color="auto" w:fill="auto"/>
        <w:bidi w:val="0"/>
        <w:spacing w:before="0" w:line="624" w:lineRule="exact"/>
        <w:ind w:left="0" w:right="0"/>
        <w:jc w:val="both"/>
        <w:sectPr>
          <w:footnotePr>
            <w:pos w:val="pageBottom"/>
            <w:numFmt w:val="decimal"/>
            <w:numRestart w:val="continuous"/>
          </w:footnotePr>
          <w:type w:val="continuous"/>
          <w:pgSz w:w="11900" w:h="16840"/>
          <w:pgMar w:top="1844" w:right="973" w:bottom="2468" w:left="1107" w:header="0" w:footer="3" w:gutter="0"/>
          <w:cols w:space="720"/>
          <w:noEndnote/>
          <w:rtlGutter w:val="0"/>
          <w:docGrid w:linePitch="360"/>
        </w:sectPr>
      </w:pPr>
      <w:r>
        <w:rPr>
          <w:color w:val="000000"/>
          <w:spacing w:val="0"/>
          <w:w w:val="100"/>
          <w:position w:val="0"/>
        </w:rPr>
        <w:t>本年度报告涉及未来计划等前瞻性陈述，不构成本公司对投资者的实质承 诺，请投资者注意投资风险。</w:t>
      </w:r>
    </w:p>
    <w:p>
      <w:pPr>
        <w:pStyle w:val="Style14"/>
        <w:keepNext/>
        <w:keepLines/>
        <w:widowControl w:val="0"/>
        <w:shd w:val="clear" w:color="auto" w:fill="auto"/>
        <w:bidi w:val="0"/>
        <w:spacing w:before="120" w:after="1480" w:line="240" w:lineRule="auto"/>
        <w:ind w:left="0" w:right="0" w:firstLine="0"/>
        <w:jc w:val="center"/>
      </w:pPr>
      <w:bookmarkStart w:id="13" w:name="bookmark13"/>
      <w:bookmarkStart w:id="14" w:name="bookmark14"/>
      <w:bookmarkStart w:id="15" w:name="bookmark15"/>
      <w:r>
        <w:rPr>
          <w:color w:val="000000"/>
          <w:spacing w:val="0"/>
          <w:w w:val="100"/>
          <w:position w:val="0"/>
        </w:rPr>
        <w:t>目 录</w:t>
      </w:r>
      <w:bookmarkEnd w:id="13"/>
      <w:bookmarkEnd w:id="14"/>
      <w:bookmarkEnd w:id="15"/>
    </w:p>
    <w:p>
      <w:pPr>
        <w:pStyle w:val="Style25"/>
        <w:keepNext w:val="0"/>
        <w:keepLines w:val="0"/>
        <w:widowControl w:val="0"/>
        <w:shd w:val="clear" w:color="auto" w:fill="auto"/>
        <w:tabs>
          <w:tab w:leader="dot" w:pos="9608" w:val="right"/>
        </w:tabs>
        <w:bidi w:val="0"/>
        <w:spacing w:before="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w:t>
      </w:r>
    </w:p>
    <w:p>
      <w:pPr>
        <w:pStyle w:val="Style25"/>
        <w:keepNext w:val="0"/>
        <w:keepLines w:val="0"/>
        <w:widowControl w:val="0"/>
        <w:shd w:val="clear" w:color="auto" w:fill="auto"/>
        <w:tabs>
          <w:tab w:pos="522" w:val="left"/>
          <w:tab w:leader="dot" w:pos="9608" w:val="right"/>
        </w:tabs>
        <w:bidi w:val="0"/>
        <w:spacing w:before="0" w:line="240" w:lineRule="auto"/>
        <w:ind w:left="0" w:right="0" w:firstLine="0"/>
        <w:jc w:val="both"/>
      </w:pPr>
      <w:hyperlink w:anchor="bookmark10" w:tooltip="Current Document">
        <w:bookmarkStart w:id="16" w:name="bookmark16"/>
        <w:r>
          <w:rPr>
            <w:color w:val="000000"/>
            <w:spacing w:val="0"/>
            <w:w w:val="100"/>
            <w:position w:val="0"/>
            <w:sz w:val="24"/>
            <w:szCs w:val="24"/>
          </w:rPr>
          <w:t>一</w:t>
        </w:r>
        <w:bookmarkEnd w:id="16"/>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5"/>
        <w:keepNext w:val="0"/>
        <w:keepLines w:val="0"/>
        <w:widowControl w:val="0"/>
        <w:shd w:val="clear" w:color="auto" w:fill="auto"/>
        <w:tabs>
          <w:tab w:pos="522" w:val="left"/>
          <w:tab w:leader="dot" w:pos="9608" w:val="right"/>
        </w:tabs>
        <w:bidi w:val="0"/>
        <w:spacing w:before="0" w:line="240" w:lineRule="auto"/>
        <w:ind w:left="0" w:right="0" w:firstLine="0"/>
        <w:jc w:val="both"/>
      </w:pPr>
      <w:bookmarkStart w:id="17" w:name="bookmark17"/>
      <w:r>
        <w:rPr>
          <w:color w:val="000000"/>
          <w:spacing w:val="0"/>
          <w:w w:val="100"/>
          <w:position w:val="0"/>
          <w:sz w:val="24"/>
          <w:szCs w:val="24"/>
        </w:rPr>
        <w:t>二</w:t>
      </w:r>
      <w:bookmarkEnd w:id="17"/>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hyperlink w:anchor="bookmark56" w:tooltip="Current Document">
        <w:bookmarkStart w:id="18" w:name="bookmark18"/>
        <w:r>
          <w:rPr>
            <w:color w:val="000000"/>
            <w:spacing w:val="0"/>
            <w:w w:val="100"/>
            <w:position w:val="0"/>
            <w:sz w:val="24"/>
            <w:szCs w:val="24"/>
          </w:rPr>
          <w:t>三</w:t>
        </w:r>
        <w:bookmarkEnd w:id="18"/>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bookmarkStart w:id="19" w:name="bookmark19"/>
      <w:r>
        <w:rPr>
          <w:color w:val="000000"/>
          <w:spacing w:val="0"/>
          <w:w w:val="100"/>
          <w:position w:val="0"/>
          <w:sz w:val="24"/>
          <w:szCs w:val="24"/>
        </w:rPr>
        <w:t>四</w:t>
      </w:r>
      <w:bookmarkEnd w:id="19"/>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bookmarkStart w:id="20" w:name="bookmark20"/>
      <w:r>
        <w:rPr>
          <w:color w:val="000000"/>
          <w:spacing w:val="0"/>
          <w:w w:val="100"/>
          <w:position w:val="0"/>
          <w:sz w:val="24"/>
          <w:szCs w:val="24"/>
        </w:rPr>
        <w:t>五</w:t>
      </w:r>
      <w:bookmarkEnd w:id="20"/>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hyperlink w:anchor="bookmark411" w:tooltip="Current Document">
        <w:bookmarkStart w:id="21" w:name="bookmark21"/>
        <w:r>
          <w:rPr>
            <w:color w:val="000000"/>
            <w:spacing w:val="0"/>
            <w:w w:val="100"/>
            <w:position w:val="0"/>
            <w:sz w:val="24"/>
            <w:szCs w:val="24"/>
          </w:rPr>
          <w:t>六</w:t>
        </w:r>
        <w:bookmarkEnd w:id="21"/>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hyperlink w:anchor="bookmark456" w:tooltip="Current Document">
        <w:bookmarkStart w:id="22" w:name="bookmark22"/>
        <w:r>
          <w:rPr>
            <w:color w:val="000000"/>
            <w:spacing w:val="0"/>
            <w:w w:val="100"/>
            <w:position w:val="0"/>
            <w:sz w:val="24"/>
            <w:szCs w:val="24"/>
          </w:rPr>
          <w:t>七</w:t>
        </w:r>
        <w:bookmarkEnd w:id="22"/>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bookmarkStart w:id="23" w:name="bookmark23"/>
      <w:r>
        <w:rPr>
          <w:color w:val="000000"/>
          <w:spacing w:val="0"/>
          <w:w w:val="100"/>
          <w:position w:val="0"/>
          <w:sz w:val="24"/>
          <w:szCs w:val="24"/>
        </w:rPr>
        <w:t>八</w:t>
      </w:r>
      <w:bookmarkEnd w:id="23"/>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p>
    <w:p>
      <w:pPr>
        <w:pStyle w:val="Style25"/>
        <w:keepNext w:val="0"/>
        <w:keepLines w:val="0"/>
        <w:widowControl w:val="0"/>
        <w:shd w:val="clear" w:color="auto" w:fill="auto"/>
        <w:tabs>
          <w:tab w:pos="526" w:val="left"/>
          <w:tab w:leader="dot" w:pos="9608" w:val="right"/>
        </w:tabs>
        <w:bidi w:val="0"/>
        <w:spacing w:before="0" w:line="240" w:lineRule="auto"/>
        <w:ind w:left="0" w:right="0" w:firstLine="0"/>
        <w:jc w:val="both"/>
      </w:pPr>
      <w:bookmarkStart w:id="24" w:name="bookmark24"/>
      <w:r>
        <w:rPr>
          <w:color w:val="000000"/>
          <w:spacing w:val="0"/>
          <w:w w:val="100"/>
          <w:position w:val="0"/>
          <w:sz w:val="24"/>
          <w:szCs w:val="24"/>
        </w:rPr>
        <w:t>九</w:t>
      </w:r>
      <w:bookmarkEnd w:id="24"/>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p>
    <w:p>
      <w:pPr>
        <w:pStyle w:val="Style25"/>
        <w:keepNext w:val="0"/>
        <w:keepLines w:val="0"/>
        <w:widowControl w:val="0"/>
        <w:shd w:val="clear" w:color="auto" w:fill="auto"/>
        <w:tabs>
          <w:tab w:leader="dot" w:pos="9608" w:val="right"/>
        </w:tabs>
        <w:bidi w:val="0"/>
        <w:spacing w:before="0" w:line="240" w:lineRule="auto"/>
        <w:ind w:left="0" w:right="0" w:firstLine="0"/>
        <w:jc w:val="both"/>
      </w:pPr>
      <w:hyperlink w:anchor="bookmark588"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5"/>
        <w:keepNext w:val="0"/>
        <w:keepLines w:val="0"/>
        <w:widowControl w:val="0"/>
        <w:shd w:val="clear" w:color="auto" w:fill="auto"/>
        <w:tabs>
          <w:tab w:leader="dot" w:pos="9608" w:val="right"/>
        </w:tabs>
        <w:bidi w:val="0"/>
        <w:spacing w:before="0" w:line="240" w:lineRule="auto"/>
        <w:ind w:left="0" w:right="0" w:firstLine="0"/>
        <w:jc w:val="both"/>
      </w:pPr>
      <w:hyperlink w:anchor="bookmark1495"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185</w:t>
        </w:r>
      </w:hyperlink>
      <w:r>
        <w:br w:type="page"/>
      </w:r>
      <w:r>
        <w:fldChar w:fldCharType="end"/>
      </w:r>
    </w:p>
    <w:p>
      <w:pPr>
        <w:pStyle w:val="Style20"/>
        <w:keepNext/>
        <w:keepLines/>
        <w:widowControl w:val="0"/>
        <w:shd w:val="clear" w:color="auto" w:fill="auto"/>
        <w:bidi w:val="0"/>
        <w:spacing w:before="0" w:after="200" w:line="240" w:lineRule="auto"/>
        <w:ind w:left="0" w:right="0" w:firstLine="0"/>
        <w:jc w:val="center"/>
      </w:pPr>
      <w:bookmarkStart w:id="25" w:name="bookmark25"/>
      <w:bookmarkStart w:id="26" w:name="bookmark26"/>
      <w:bookmarkStart w:id="27" w:name="bookmark27"/>
      <w:r>
        <w:rPr>
          <w:color w:val="000000"/>
          <w:spacing w:val="0"/>
          <w:w w:val="100"/>
          <w:position w:val="0"/>
        </w:rPr>
        <w:t>释义</w:t>
      </w:r>
      <w:bookmarkEnd w:id="25"/>
      <w:bookmarkEnd w:id="26"/>
      <w:bookmarkEnd w:id="27"/>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r>
              <w:rPr>
                <w:color w:val="000000"/>
                <w:spacing w:val="0"/>
                <w:w w:val="100"/>
                <w:position w:val="0"/>
              </w:rPr>
              <w:t>/</w:t>
            </w:r>
            <w:r>
              <w:rPr>
                <w:rFonts w:ascii="SimSun" w:eastAsia="SimSun" w:hAnsi="SimSun" w:cs="SimSun"/>
                <w:color w:val="000000"/>
                <w:spacing w:val="0"/>
                <w:w w:val="100"/>
                <w:position w:val="0"/>
              </w:rPr>
              <w:t>本公司</w:t>
            </w:r>
            <w:r>
              <w:rPr>
                <w:color w:val="000000"/>
                <w:spacing w:val="0"/>
                <w:w w:val="100"/>
                <w:position w:val="0"/>
              </w:rPr>
              <w:t>/</w:t>
            </w:r>
            <w:r>
              <w:rPr>
                <w:rFonts w:ascii="SimSun" w:eastAsia="SimSun" w:hAnsi="SimSun" w:cs="SimSun"/>
                <w:color w:val="000000"/>
                <w:spacing w:val="0"/>
                <w:w w:val="100"/>
                <w:position w:val="0"/>
              </w:rPr>
              <w:t>公司</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运通电子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广电集团</w:t>
            </w:r>
            <w:r>
              <w:rPr>
                <w:color w:val="000000"/>
                <w:spacing w:val="0"/>
                <w:w w:val="100"/>
                <w:position w:val="0"/>
              </w:rPr>
              <w:t>/</w:t>
            </w:r>
            <w:r>
              <w:rPr>
                <w:rFonts w:ascii="SimSun" w:eastAsia="SimSun" w:hAnsi="SimSun" w:cs="SimSun"/>
                <w:color w:val="000000"/>
                <w:spacing w:val="0"/>
                <w:w w:val="100"/>
                <w:position w:val="0"/>
              </w:rPr>
              <w:t>控股股东</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广州市国资委</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广州市人民政府国有资产监督管理委员会</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深圳银通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运通国际</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(HK) Co.,Limited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广电运通国际有限公司)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支点投资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中智融通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广电汇通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运通信息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龙源环保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广百小额贷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GRGI</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INTERNATIONAL LTD</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深圳鹏通金融服务有限公司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江苏保通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江苏保通金融外包服务有限公司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石家庄银通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石家庄市银通金融服务有限公司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上海欣辰通金融电子科技有限公司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云南云通金融外包服务有限公司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海格通信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海格机械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广州海格机械有限公司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广电房地产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广州广电房地产开发集团股份有限公司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盈富创投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盈富泰克创业投资有限公司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广电物业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鑫广电物业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广州鑫广电物业服务有限公司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广电计量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海华电子企业（中国）有限公司</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证监会</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中国证券监督管理委员会</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深交所</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《广州广电运通金融电子股份有限公司章程》</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银行自动柜员机(</w:t>
            </w:r>
            <w:r>
              <w:rPr>
                <w:color w:val="000000"/>
                <w:spacing w:val="0"/>
                <w:w w:val="100"/>
                <w:position w:val="0"/>
              </w:rPr>
              <w:t>Automatic Teller Machine</w:t>
            </w:r>
            <w:r>
              <w:rPr>
                <w:rFonts w:ascii="SimSun" w:eastAsia="SimSun" w:hAnsi="SimSun" w:cs="SimSu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AFC</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地铁、轻轨、铁道、高铁等轨道交通票卡处理设备(</w:t>
            </w:r>
            <w:r>
              <w:rPr>
                <w:color w:val="000000"/>
                <w:spacing w:val="0"/>
                <w:w w:val="100"/>
                <w:position w:val="0"/>
              </w:rPr>
              <w:t>Automatic Fare</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Collection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，主要包括</w:t>
            </w:r>
            <w:r>
              <w:rPr>
                <w:color w:val="000000"/>
                <w:spacing w:val="0"/>
                <w:w w:val="100"/>
                <w:position w:val="0"/>
              </w:rPr>
              <w:t>TVM</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自动检票机、自动验票机等设备</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VTM</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远程视频柜员机</w:t>
            </w:r>
            <w:r>
              <w:rPr>
                <w:color w:val="000000"/>
                <w:spacing w:val="0"/>
                <w:w w:val="100"/>
                <w:position w:val="0"/>
              </w:rPr>
              <w:t>(</w:t>
            </w:r>
            <w:r>
              <w:rPr>
                <w:color w:val="000000"/>
                <w:spacing w:val="0"/>
                <w:w w:val="100"/>
                <w:position w:val="0"/>
              </w:rPr>
              <w:t>Virtual Teller Machine)</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widowControl w:val="0"/>
        <w:spacing w:after="1219" w:line="1" w:lineRule="exact"/>
      </w:pPr>
    </w:p>
    <w:p>
      <w:pPr>
        <w:pStyle w:val="Style20"/>
        <w:keepNext/>
        <w:keepLines/>
        <w:widowControl w:val="0"/>
        <w:shd w:val="clear" w:color="auto" w:fill="auto"/>
        <w:bidi w:val="0"/>
        <w:spacing w:before="0" w:after="60" w:line="240" w:lineRule="auto"/>
        <w:ind w:left="0" w:right="0" w:firstLine="0"/>
        <w:jc w:val="center"/>
      </w:pPr>
      <w:bookmarkStart w:id="28" w:name="bookmark28"/>
      <w:bookmarkStart w:id="29" w:name="bookmark29"/>
      <w:bookmarkStart w:id="30" w:name="bookmark30"/>
      <w:r>
        <w:rPr>
          <w:color w:val="000000"/>
          <w:spacing w:val="0"/>
          <w:w w:val="100"/>
          <w:position w:val="0"/>
        </w:rPr>
        <w:t>重大风险提示</w:t>
      </w:r>
      <w:bookmarkEnd w:id="28"/>
      <w:bookmarkEnd w:id="29"/>
      <w:bookmarkEnd w:id="30"/>
    </w:p>
    <w:p>
      <w:pPr>
        <w:pStyle w:val="Style22"/>
        <w:keepNext w:val="0"/>
        <w:keepLines w:val="0"/>
        <w:widowControl w:val="0"/>
        <w:shd w:val="clear" w:color="auto" w:fill="auto"/>
        <w:bidi w:val="0"/>
        <w:spacing w:before="0" w:after="640"/>
        <w:ind w:left="0" w:right="0"/>
        <w:jc w:val="both"/>
        <w:sectPr>
          <w:footnotePr>
            <w:pos w:val="pageBottom"/>
            <w:numFmt w:val="decimal"/>
            <w:numRestart w:val="continuous"/>
          </w:footnotePr>
          <w:pgSz w:w="11900" w:h="16840"/>
          <w:pgMar w:top="1441" w:right="1125" w:bottom="1801" w:left="1098" w:header="0" w:footer="3" w:gutter="0"/>
          <w:cols w:space="720"/>
          <w:noEndnote/>
          <w:rtlGutter w:val="0"/>
          <w:docGrid w:linePitch="360"/>
        </w:sectPr>
      </w:pPr>
      <w:r>
        <w:rPr>
          <w:color w:val="000000"/>
          <w:spacing w:val="0"/>
          <w:w w:val="100"/>
          <w:position w:val="0"/>
        </w:rPr>
        <w:t>公司存在市场竞争加剧、产品价格下降风险，清分机、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等新产品市场 推广风险，经营管理风险，人力资源风险等，敬请广大投资者注意投资风险。 详细内容见本报告“第四节八、(五)风险因素”。</w:t>
      </w:r>
    </w:p>
    <w:p>
      <w:pPr>
        <w:pStyle w:val="Style20"/>
        <w:keepNext/>
        <w:keepLines/>
        <w:widowControl w:val="0"/>
        <w:shd w:val="clear" w:color="auto" w:fill="auto"/>
        <w:bidi w:val="0"/>
        <w:spacing w:before="460" w:after="560" w:line="240" w:lineRule="auto"/>
        <w:ind w:left="0" w:right="0" w:firstLine="0"/>
        <w:jc w:val="center"/>
      </w:pPr>
      <w:bookmarkStart w:id="31" w:name="bookmark31"/>
      <w:bookmarkStart w:id="32" w:name="bookmark32"/>
      <w:bookmarkStart w:id="33" w:name="bookmark33"/>
      <w:r>
        <w:rPr>
          <w:color w:val="000000"/>
          <w:spacing w:val="0"/>
          <w:w w:val="100"/>
          <w:position w:val="0"/>
        </w:rPr>
        <w:t>第二节公司简介</w:t>
      </w:r>
      <w:bookmarkEnd w:id="31"/>
      <w:bookmarkEnd w:id="32"/>
      <w:bookmarkEnd w:id="33"/>
    </w:p>
    <w:p>
      <w:pPr>
        <w:pStyle w:val="Style31"/>
        <w:keepNext/>
        <w:keepLines/>
        <w:widowControl w:val="0"/>
        <w:shd w:val="clear" w:color="auto" w:fill="auto"/>
        <w:bidi w:val="0"/>
        <w:spacing w:before="0" w:after="300" w:line="240" w:lineRule="auto"/>
        <w:ind w:left="0" w:right="0" w:firstLine="0"/>
        <w:jc w:val="left"/>
      </w:pPr>
      <w:bookmarkStart w:id="34" w:name="bookmark34"/>
      <w:bookmarkStart w:id="35" w:name="bookmark35"/>
      <w:bookmarkStart w:id="36" w:name="bookmark36"/>
      <w:bookmarkStart w:id="37" w:name="bookmark37"/>
      <w:bookmarkStart w:id="38" w:name="bookmark38"/>
      <w:r>
        <w:rPr>
          <w:color w:val="000000"/>
          <w:spacing w:val="0"/>
          <w:w w:val="100"/>
          <w:position w:val="0"/>
          <w:sz w:val="24"/>
          <w:szCs w:val="24"/>
        </w:rPr>
        <w:t>一</w:t>
      </w:r>
      <w:bookmarkEnd w:id="37"/>
      <w:r>
        <w:rPr>
          <w:color w:val="000000"/>
          <w:spacing w:val="0"/>
          <w:w w:val="100"/>
          <w:position w:val="0"/>
          <w:sz w:val="24"/>
          <w:szCs w:val="24"/>
        </w:rPr>
        <w:t>、公司信息</w:t>
      </w:r>
      <w:bookmarkEnd w:id="35"/>
      <w:bookmarkEnd w:id="36"/>
      <w:bookmarkEnd w:id="38"/>
      <w:bookmarkEnd w:id="34"/>
    </w:p>
    <w:tbl>
      <w:tblPr>
        <w:tblOverlap w:val="never"/>
        <w:jc w:val="center"/>
        <w:tblLayout w:type="fixed"/>
      </w:tblPr>
      <w:tblGrid>
        <w:gridCol w:w="3245"/>
        <w:gridCol w:w="2352"/>
        <w:gridCol w:w="1786"/>
        <w:gridCol w:w="21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Co.,Ltd.</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广州市萝岗区科学城科林路</w:t>
            </w:r>
            <w:r>
              <w:rPr>
                <w:color w:val="000000"/>
                <w:spacing w:val="0"/>
                <w:w w:val="100"/>
                <w:position w:val="0"/>
              </w:rPr>
              <w:t>9</w:t>
            </w:r>
            <w:r>
              <w:rPr>
                <w:rFonts w:ascii="SimSun" w:eastAsia="SimSun" w:hAnsi="SimSun" w:cs="SimSun"/>
                <w:color w:val="000000"/>
                <w:spacing w:val="0"/>
                <w:w w:val="100"/>
                <w:position w:val="0"/>
              </w:rPr>
              <w:t>号</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广州市萝岗区科学城科林路</w:t>
            </w:r>
            <w:r>
              <w:rPr>
                <w:color w:val="000000"/>
                <w:spacing w:val="0"/>
                <w:w w:val="100"/>
                <w:position w:val="0"/>
              </w:rPr>
              <w:t>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"http://www.grgbanking.com" </w:instrText>
            </w:r>
            <w:r>
              <w:fldChar w:fldCharType="separate"/>
            </w:r>
            <w:r>
              <w:rPr>
                <w:color w:val="000000"/>
                <w:spacing w:val="0"/>
                <w:w w:val="100"/>
                <w:position w:val="0"/>
              </w:rPr>
              <w:t>www.grgbanking.com</w:t>
            </w:r>
            <w:r>
              <w:fldChar w:fldCharType="end"/>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二</w:t>
      </w:r>
      <w:bookmarkEnd w:id="41"/>
      <w:r>
        <w:rPr>
          <w:color w:val="000000"/>
          <w:spacing w:val="0"/>
          <w:w w:val="100"/>
          <w:position w:val="0"/>
          <w:sz w:val="24"/>
          <w:szCs w:val="24"/>
        </w:rPr>
        <w:t>、联系人和联系方式</w:t>
      </w:r>
      <w:bookmarkEnd w:id="39"/>
      <w:bookmarkEnd w:id="40"/>
      <w:bookmarkEnd w:id="42"/>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任斌</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王英</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广州市萝岗区科学城科林路</w:t>
            </w:r>
            <w:r>
              <w:rPr>
                <w:color w:val="000000"/>
                <w:spacing w:val="0"/>
                <w:w w:val="100"/>
                <w:position w:val="0"/>
              </w:rPr>
              <w:t>9</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广州市萝岗区科学城科林路</w:t>
            </w:r>
            <w:r>
              <w:rPr>
                <w:color w:val="000000"/>
                <w:spacing w:val="0"/>
                <w:w w:val="100"/>
                <w:position w:val="0"/>
              </w:rPr>
              <w:t>9</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020-82188517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020-82188900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020-82188517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020-82188517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"mailto:securities@grgbanking.com" </w:instrText>
            </w:r>
            <w:r>
              <w:fldChar w:fldCharType="separate"/>
            </w:r>
            <w:r>
              <w:rPr>
                <w:color w:val="000000"/>
                <w:spacing w:val="0"/>
                <w:w w:val="100"/>
                <w:position w:val="0"/>
              </w:rPr>
              <w:t>securities@grgbanking.com</w:t>
            </w:r>
            <w:r>
              <w:fldChar w:fldCharType="end"/>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三</w:t>
      </w:r>
      <w:bookmarkEnd w:id="45"/>
      <w:r>
        <w:rPr>
          <w:color w:val="000000"/>
          <w:spacing w:val="0"/>
          <w:w w:val="100"/>
          <w:position w:val="0"/>
          <w:sz w:val="24"/>
          <w:szCs w:val="24"/>
        </w:rPr>
        <w:t>、信息披露及备置地点</w:t>
      </w:r>
      <w:bookmarkEnd w:id="43"/>
      <w:bookmarkEnd w:id="44"/>
      <w:bookmarkEnd w:id="46"/>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四</w:t>
      </w:r>
      <w:bookmarkEnd w:id="49"/>
      <w:r>
        <w:rPr>
          <w:color w:val="000000"/>
          <w:spacing w:val="0"/>
          <w:w w:val="100"/>
          <w:position w:val="0"/>
          <w:sz w:val="24"/>
          <w:szCs w:val="24"/>
        </w:rPr>
        <w:t>、注册变更情况</w:t>
      </w:r>
      <w:bookmarkEnd w:id="47"/>
      <w:bookmarkEnd w:id="48"/>
      <w:bookmarkEnd w:id="50"/>
    </w:p>
    <w:tbl>
      <w:tblPr>
        <w:tblOverlap w:val="never"/>
        <w:jc w:val="center"/>
        <w:tblLayout w:type="fixed"/>
      </w:tblPr>
      <w:tblGrid>
        <w:gridCol w:w="1320"/>
        <w:gridCol w:w="1594"/>
        <w:gridCol w:w="2026"/>
        <w:gridCol w:w="1627"/>
        <w:gridCol w:w="158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企业法人营业执照 注册号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广州市天河区黄埔大道</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西平云路</w:t>
            </w:r>
            <w:r>
              <w:rPr>
                <w:color w:val="000000"/>
                <w:spacing w:val="0"/>
                <w:w w:val="100"/>
                <w:position w:val="0"/>
              </w:rPr>
              <w:t>163</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4401011103795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440106716340473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71634047-3</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报告期末注册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广州市萝岗区科学城科 林路</w:t>
            </w:r>
            <w:r>
              <w:rPr>
                <w:color w:val="000000"/>
                <w:spacing w:val="0"/>
                <w:w w:val="100"/>
                <w:position w:val="0"/>
              </w:rPr>
              <w:t>9</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440101000000880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440106716340473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71634047-3</w:t>
            </w:r>
          </w:p>
        </w:tc>
      </w:tr>
      <w:tr>
        <w:trPr>
          <w:trHeight w:val="71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公司上市以来主营业务的变化情况</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公司于</w:t>
            </w: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月在广州市工商行政管理局变更登记，公司经营范围增加了</w:t>
            </w:r>
            <w:r>
              <w:rPr>
                <w:color w:val="000000"/>
                <w:spacing w:val="0"/>
                <w:w w:val="100"/>
                <w:position w:val="0"/>
              </w:rPr>
              <w:t>“</w:t>
            </w:r>
            <w:r>
              <w:rPr>
                <w:rFonts w:ascii="SimSun" w:eastAsia="SimSun" w:hAnsi="SimSun" w:cs="SimSun"/>
                <w:color w:val="000000"/>
                <w:spacing w:val="0"/>
                <w:w w:val="100"/>
                <w:position w:val="0"/>
              </w:rPr>
              <w:t>对自 动柜员机提供日常维护与管理服务；对现金及有价证券提供清分处理服务。</w:t>
            </w:r>
            <w:r>
              <w:rPr>
                <w:color w:val="000000"/>
                <w:spacing w:val="0"/>
                <w:w w:val="100"/>
                <w:position w:val="0"/>
              </w:rPr>
              <w:t>”</w:t>
            </w:r>
          </w:p>
        </w:tc>
      </w:tr>
      <w:tr>
        <w:trPr>
          <w:trHeight w:val="41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五</w:t>
      </w:r>
      <w:bookmarkEnd w:id="53"/>
      <w:r>
        <w:rPr>
          <w:color w:val="000000"/>
          <w:spacing w:val="0"/>
          <w:w w:val="100"/>
          <w:position w:val="0"/>
          <w:sz w:val="24"/>
          <w:szCs w:val="24"/>
        </w:rPr>
        <w:t>、其他有关资料</w:t>
      </w:r>
      <w:bookmarkEnd w:id="51"/>
      <w:bookmarkEnd w:id="52"/>
      <w:bookmarkEnd w:id="5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885"/>
        <w:gridCol w:w="669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上海市黄埔区南京东路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王建民、蔡洁瑜</w:t>
            </w:r>
          </w:p>
        </w:tc>
      </w:tr>
    </w:tbl>
    <w:p>
      <w:pPr>
        <w:pStyle w:val="Style3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val="0"/>
        <w:keepLines w:val="0"/>
        <w:widowControl w:val="0"/>
        <w:shd w:val="clear" w:color="auto" w:fill="auto"/>
        <w:bidi w:val="0"/>
        <w:spacing w:before="0" w:after="32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0"/>
        <w:keepNext/>
        <w:keepLines/>
        <w:widowControl w:val="0"/>
        <w:shd w:val="clear" w:color="auto" w:fill="auto"/>
        <w:bidi w:val="0"/>
        <w:spacing w:before="0" w:after="540" w:line="240" w:lineRule="auto"/>
        <w:ind w:left="0" w:right="0" w:firstLine="0"/>
        <w:jc w:val="center"/>
      </w:pPr>
      <w:bookmarkStart w:id="55" w:name="bookmark55"/>
      <w:bookmarkStart w:id="56" w:name="bookmark56"/>
      <w:bookmarkStart w:id="57" w:name="bookmark57"/>
      <w:r>
        <w:rPr>
          <w:color w:val="000000"/>
          <w:spacing w:val="0"/>
          <w:w w:val="100"/>
          <w:position w:val="0"/>
        </w:rPr>
        <w:t>第三节会计数据和财务指标摘要</w:t>
      </w:r>
      <w:bookmarkEnd w:id="55"/>
      <w:bookmarkEnd w:id="56"/>
      <w:bookmarkEnd w:id="57"/>
    </w:p>
    <w:p>
      <w:pPr>
        <w:pStyle w:val="Style31"/>
        <w:keepNext/>
        <w:keepLines/>
        <w:widowControl w:val="0"/>
        <w:shd w:val="clear" w:color="auto" w:fill="auto"/>
        <w:bidi w:val="0"/>
        <w:spacing w:before="0" w:after="240" w:line="240" w:lineRule="auto"/>
        <w:ind w:left="0" w:right="0" w:firstLine="260"/>
        <w:jc w:val="left"/>
      </w:pPr>
      <w:bookmarkStart w:id="58" w:name="bookmark58"/>
      <w:bookmarkStart w:id="59" w:name="bookmark59"/>
      <w:bookmarkStart w:id="60" w:name="bookmark60"/>
      <w:bookmarkStart w:id="61" w:name="bookmark61"/>
      <w:r>
        <w:rPr>
          <w:color w:val="000000"/>
          <w:spacing w:val="0"/>
          <w:w w:val="100"/>
          <w:position w:val="0"/>
          <w:sz w:val="24"/>
          <w:szCs w:val="24"/>
        </w:rPr>
        <w:t>、主要会计数据和财务指标</w:t>
      </w:r>
      <w:bookmarkEnd w:id="59"/>
      <w:bookmarkEnd w:id="60"/>
      <w:bookmarkEnd w:id="61"/>
      <w:bookmarkEnd w:id="58"/>
    </w:p>
    <w:p>
      <w:pPr>
        <w:pStyle w:val="Style35"/>
        <w:keepNext w:val="0"/>
        <w:keepLines w:val="0"/>
        <w:widowControl w:val="0"/>
        <w:shd w:val="clear" w:color="auto" w:fill="auto"/>
        <w:bidi w:val="0"/>
        <w:spacing w:before="0" w:after="6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1"/>
        <w:gridCol w:w="1738"/>
        <w:gridCol w:w="1738"/>
        <w:gridCol w:w="1742"/>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2,515,897,353.80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2,168,409,553.00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2,089,467,431.67</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120" w:line="240" w:lineRule="auto"/>
              <w:ind w:left="0" w:right="0" w:firstLine="0"/>
              <w:jc w:val="both"/>
            </w:pPr>
            <w:r>
              <w:rPr>
                <w:rFonts w:ascii="SimSun" w:eastAsia="SimSun" w:hAnsi="SimSun" w:cs="SimSun"/>
                <w:color w:val="000000"/>
                <w:spacing w:val="0"/>
                <w:w w:val="100"/>
                <w:position w:val="0"/>
              </w:rPr>
              <w:t>归属于上市公司股东的净利润</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705,076,417.95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578,631,983.99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21.85%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506,533,839.64</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归属于上市公司股东的扣除非经</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常性损益的净利润（元）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634,057,715.23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558,026,987.53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488,890,094.73</w:t>
            </w:r>
          </w:p>
        </w:tc>
      </w:tr>
      <w:tr>
        <w:trPr>
          <w:trHeight w:val="71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120" w:line="240" w:lineRule="auto"/>
              <w:ind w:left="0" w:right="0" w:firstLine="0"/>
              <w:jc w:val="both"/>
            </w:pPr>
            <w:r>
              <w:rPr>
                <w:rFonts w:ascii="SimSun" w:eastAsia="SimSun" w:hAnsi="SimSun" w:cs="SimSun"/>
                <w:color w:val="000000"/>
                <w:spacing w:val="0"/>
                <w:w w:val="100"/>
                <w:position w:val="0"/>
              </w:rPr>
              <w:t>经营活动产生的现金流量净额</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715,293,502.00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856,899,247.74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498,188,459.43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r>
      <w:tr>
        <w:trPr>
          <w:trHeight w:val="403"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净资产收益率（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21.95%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21.46%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22.80%</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本年末比上年末增减</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5,055,167,431.33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4,020,427,291.24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25.74%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3,377,610,273.95</w:t>
            </w:r>
          </w:p>
        </w:tc>
      </w:tr>
      <w:tr>
        <w:trPr>
          <w:trHeight w:val="1037"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归属于上市公司股东的净资产 （归属于上市公司股东的所有者 权益）（元）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3,485,408,686.27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2,968,241,852.43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17.42%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2,436,881,894.63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59" w:line="1" w:lineRule="exact"/>
      </w:pPr>
    </w:p>
    <w:tbl>
      <w:tblPr>
        <w:tblOverlap w:val="never"/>
        <w:jc w:val="center"/>
        <w:tblLayout w:type="fixed"/>
      </w:tblPr>
      <w:tblGrid>
        <w:gridCol w:w="4661"/>
        <w:gridCol w:w="4920"/>
      </w:tblGrid>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747,237,306</w:t>
            </w:r>
          </w:p>
        </w:tc>
      </w:tr>
    </w:tbl>
    <w:p>
      <w:pPr>
        <w:pStyle w:val="Style35"/>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5"/>
        <w:keepNext w:val="0"/>
        <w:keepLines w:val="0"/>
        <w:widowControl w:val="0"/>
        <w:shd w:val="clear" w:color="auto" w:fill="auto"/>
        <w:bidi w:val="0"/>
        <w:spacing w:before="0" w:line="317" w:lineRule="exact"/>
        <w:ind w:left="0" w:right="0" w:firstLine="0"/>
        <w:jc w:val="left"/>
      </w:pPr>
      <w:r>
        <w:rPr>
          <w:color w:val="000000"/>
          <w:spacing w:val="0"/>
          <w:w w:val="100"/>
          <w:position w:val="0"/>
        </w:rPr>
        <w:t>是否存在公司债</w:t>
      </w:r>
    </w:p>
    <w:p>
      <w:pPr>
        <w:pStyle w:val="Style35"/>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5"/>
        <w:keepNext w:val="0"/>
        <w:keepLines w:val="0"/>
        <w:widowControl w:val="0"/>
        <w:shd w:val="clear" w:color="auto" w:fill="auto"/>
        <w:bidi w:val="0"/>
        <w:spacing w:before="0" w:line="317" w:lineRule="exact"/>
        <w:ind w:left="0" w:right="0" w:firstLine="0"/>
        <w:jc w:val="left"/>
      </w:pPr>
      <w:r>
        <w:rPr>
          <w:color w:val="000000"/>
          <w:spacing w:val="0"/>
          <w:w w:val="100"/>
          <w:position w:val="0"/>
        </w:rPr>
        <w:t>公司是否存在最近两年连续亏损的情形</w:t>
      </w:r>
    </w:p>
    <w:p>
      <w:pPr>
        <w:pStyle w:val="Style35"/>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62" w:name="bookmark62"/>
      <w:bookmarkStart w:id="63" w:name="bookmark63"/>
      <w:bookmarkStart w:id="64" w:name="bookmark64"/>
      <w:bookmarkStart w:id="65" w:name="bookmark65"/>
      <w:r>
        <w:rPr>
          <w:color w:val="000000"/>
          <w:spacing w:val="0"/>
          <w:w w:val="100"/>
          <w:position w:val="0"/>
          <w:sz w:val="24"/>
          <w:szCs w:val="24"/>
        </w:rPr>
        <w:t>二</w:t>
      </w:r>
      <w:bookmarkEnd w:id="64"/>
      <w:r>
        <w:rPr>
          <w:color w:val="000000"/>
          <w:spacing w:val="0"/>
          <w:w w:val="100"/>
          <w:position w:val="0"/>
          <w:sz w:val="24"/>
          <w:szCs w:val="24"/>
        </w:rPr>
        <w:t>、境内外会计准则下会计数据差异</w:t>
      </w:r>
      <w:bookmarkEnd w:id="62"/>
      <w:bookmarkEnd w:id="63"/>
      <w:bookmarkEnd w:id="65"/>
    </w:p>
    <w:p>
      <w:pPr>
        <w:pStyle w:val="Style35"/>
        <w:keepNext w:val="0"/>
        <w:keepLines w:val="0"/>
        <w:widowControl w:val="0"/>
        <w:shd w:val="clear" w:color="auto" w:fill="auto"/>
        <w:bidi w:val="0"/>
        <w:spacing w:before="0" w:after="180"/>
        <w:ind w:left="0" w:right="0" w:firstLine="0"/>
        <w:jc w:val="left"/>
      </w:pPr>
      <w:bookmarkStart w:id="66" w:name="bookmark66"/>
      <w:r>
        <w:rPr>
          <w:rFonts w:ascii="Times New Roman" w:eastAsia="Times New Roman" w:hAnsi="Times New Roman" w:cs="Times New Roman"/>
          <w:b/>
          <w:bCs/>
          <w:color w:val="000000"/>
          <w:spacing w:val="0"/>
          <w:w w:val="100"/>
          <w:position w:val="0"/>
        </w:rPr>
        <w:t>1</w:t>
      </w:r>
      <w:bookmarkEnd w:id="66"/>
      <w:r>
        <w:rPr>
          <w:b/>
          <w:bCs/>
          <w:color w:val="000000"/>
          <w:spacing w:val="0"/>
          <w:w w:val="100"/>
          <w:position w:val="0"/>
        </w:rPr>
        <w:t>、同时按照国际会计准则与按中国会计准则披露的财务报告中净利润和净资产差异情况</w:t>
      </w:r>
      <w:r>
        <w:br w:type="page"/>
      </w:r>
    </w:p>
    <w:p>
      <w:pPr>
        <w:pStyle w:val="Style35"/>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705,076,417.95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578,631,983.99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3,485,408,686.27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2,968,241,852.43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bl>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、同时按照境外会计准则与按中国会计准则披露的财务报告中净利润和净资产差异情况</w:t>
      </w:r>
    </w:p>
    <w:p>
      <w:pPr>
        <w:widowControl w:val="0"/>
        <w:spacing w:after="159" w:line="1" w:lineRule="exact"/>
      </w:pPr>
    </w:p>
    <w:p>
      <w:pPr>
        <w:pStyle w:val="Style35"/>
        <w:keepNext w:val="0"/>
        <w:keepLines w:val="0"/>
        <w:widowControl w:val="0"/>
        <w:shd w:val="clear" w:color="auto" w:fill="auto"/>
        <w:bidi w:val="0"/>
        <w:spacing w:before="0" w:after="160" w:line="240" w:lineRule="auto"/>
        <w:ind w:left="8940" w:right="0" w:firstLine="0"/>
        <w:jc w:val="lef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705,076,417.95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578,631,983.99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3,485,408,686.27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2,968,241,852.43</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widowControl w:val="0"/>
        <w:spacing w:after="159" w:line="1" w:lineRule="exact"/>
      </w:pPr>
    </w:p>
    <w:p>
      <w:pPr>
        <w:pStyle w:val="Style35"/>
        <w:keepNext w:val="0"/>
        <w:keepLines w:val="0"/>
        <w:widowControl w:val="0"/>
        <w:shd w:val="clear" w:color="auto" w:fill="auto"/>
        <w:bidi w:val="0"/>
        <w:spacing w:before="0" w:after="160" w:line="240" w:lineRule="auto"/>
        <w:ind w:left="0" w:right="0" w:firstLine="0"/>
        <w:jc w:val="both"/>
      </w:pPr>
      <w:bookmarkStart w:id="67" w:name="bookmark67"/>
      <w:r>
        <w:rPr>
          <w:rFonts w:ascii="Times New Roman" w:eastAsia="Times New Roman" w:hAnsi="Times New Roman" w:cs="Times New Roman"/>
          <w:b/>
          <w:bCs/>
          <w:color w:val="000000"/>
          <w:spacing w:val="0"/>
          <w:w w:val="100"/>
          <w:position w:val="0"/>
        </w:rPr>
        <w:t>3</w:t>
      </w:r>
      <w:bookmarkEnd w:id="67"/>
      <w:r>
        <w:rPr>
          <w:b/>
          <w:bCs/>
          <w:color w:val="000000"/>
          <w:spacing w:val="0"/>
          <w:w w:val="100"/>
          <w:position w:val="0"/>
        </w:rPr>
        <w:t>、境内外会计准则下会计数据差异原因说明</w:t>
      </w:r>
    </w:p>
    <w:p>
      <w:pPr>
        <w:pStyle w:val="Style3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、非经常性损益项目及金额</w:t>
      </w:r>
      <w:bookmarkEnd w:id="68"/>
      <w:bookmarkEnd w:id="69"/>
      <w:bookmarkEnd w:id="7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2"/>
        <w:gridCol w:w="1522"/>
        <w:gridCol w:w="1522"/>
        <w:gridCol w:w="1718"/>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506,352.73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-465,475.26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-1,055,763.49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28,975,621.78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22,702,826.74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17,274,305.59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17,885,990.85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86,401.43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667,244.28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4,601,511.50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28,190,029.87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国家规划布局内重点 软件企业</w:t>
            </w:r>
            <w:r>
              <w:rPr>
                <w:color w:val="000000"/>
                <w:spacing w:val="0"/>
                <w:w w:val="100"/>
                <w:position w:val="0"/>
              </w:rPr>
              <w:t>2011</w:t>
            </w:r>
            <w:r>
              <w:rPr>
                <w:rFonts w:ascii="SimSun" w:eastAsia="SimSun" w:hAnsi="SimSun" w:cs="SimSun"/>
                <w:color w:val="000000"/>
                <w:spacing w:val="0"/>
                <w:w w:val="100"/>
                <w:position w:val="0"/>
              </w:rPr>
              <w:t>年度 企业所得税退税款</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4,905,515.37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2,388,303.92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3,170,320.67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-279,821.43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-88,704.62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71,018,702.72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20,604,996.46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17,643,744.91</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5"/>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5"/>
        <w:keepNext w:val="0"/>
        <w:keepLines w:val="0"/>
        <w:widowControl w:val="0"/>
        <w:shd w:val="clear" w:color="auto" w:fill="auto"/>
        <w:bidi w:val="0"/>
        <w:spacing w:before="0" w:after="1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540" w:line="240" w:lineRule="auto"/>
        <w:ind w:left="0" w:right="0" w:firstLine="0"/>
        <w:jc w:val="center"/>
      </w:pPr>
      <w:bookmarkStart w:id="72" w:name="bookmark72"/>
      <w:bookmarkStart w:id="73" w:name="bookmark73"/>
      <w:bookmarkStart w:id="74" w:name="bookmark74"/>
      <w:r>
        <w:rPr>
          <w:color w:val="000000"/>
          <w:spacing w:val="0"/>
          <w:w w:val="100"/>
          <w:position w:val="0"/>
        </w:rPr>
        <w:t>第四节董事会报告</w:t>
      </w:r>
      <w:bookmarkEnd w:id="72"/>
      <w:bookmarkEnd w:id="73"/>
      <w:bookmarkEnd w:id="74"/>
    </w:p>
    <w:p>
      <w:pPr>
        <w:pStyle w:val="Style31"/>
        <w:keepNext/>
        <w:keepLines/>
        <w:widowControl w:val="0"/>
        <w:shd w:val="clear" w:color="auto" w:fill="auto"/>
        <w:bidi w:val="0"/>
        <w:spacing w:before="0" w:after="240" w:line="240" w:lineRule="auto"/>
        <w:ind w:left="0" w:right="0" w:firstLine="0"/>
        <w:jc w:val="both"/>
      </w:pPr>
      <w:bookmarkStart w:id="75" w:name="bookmark75"/>
      <w:bookmarkStart w:id="76" w:name="bookmark76"/>
      <w:bookmarkStart w:id="77" w:name="bookmark77"/>
      <w:bookmarkStart w:id="78" w:name="bookmark78"/>
      <w:bookmarkStart w:id="79" w:name="bookmark79"/>
      <w:r>
        <w:rPr>
          <w:color w:val="000000"/>
          <w:spacing w:val="0"/>
          <w:w w:val="100"/>
          <w:position w:val="0"/>
          <w:sz w:val="24"/>
          <w:szCs w:val="24"/>
        </w:rPr>
        <w:t>一</w:t>
      </w:r>
      <w:bookmarkEnd w:id="78"/>
      <w:r>
        <w:rPr>
          <w:color w:val="000000"/>
          <w:spacing w:val="0"/>
          <w:w w:val="100"/>
          <w:position w:val="0"/>
          <w:sz w:val="24"/>
          <w:szCs w:val="24"/>
        </w:rPr>
        <w:t>、概述</w:t>
      </w:r>
      <w:bookmarkEnd w:id="76"/>
      <w:bookmarkEnd w:id="77"/>
      <w:bookmarkEnd w:id="79"/>
      <w:bookmarkEnd w:id="75"/>
    </w:p>
    <w:p>
      <w:pPr>
        <w:pStyle w:val="Style35"/>
        <w:keepNext w:val="0"/>
        <w:keepLines w:val="0"/>
        <w:widowControl w:val="0"/>
        <w:shd w:val="clear" w:color="auto" w:fill="auto"/>
        <w:bidi w:val="0"/>
        <w:spacing w:before="0" w:after="240" w:line="314"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年，公司继续秉承</w:t>
      </w:r>
      <w:r>
        <w:rPr>
          <w:rFonts w:ascii="Times New Roman" w:eastAsia="Times New Roman" w:hAnsi="Times New Roman" w:cs="Times New Roman"/>
          <w:color w:val="000000"/>
          <w:spacing w:val="0"/>
          <w:w w:val="100"/>
          <w:position w:val="0"/>
        </w:rPr>
        <w:t>“</w:t>
      </w:r>
      <w:r>
        <w:rPr>
          <w:color w:val="000000"/>
          <w:spacing w:val="0"/>
          <w:w w:val="100"/>
          <w:position w:val="0"/>
        </w:rPr>
        <w:t>快速应变</w:t>
      </w:r>
      <w:r>
        <w:rPr>
          <w:rFonts w:ascii="Times New Roman" w:eastAsia="Times New Roman" w:hAnsi="Times New Roman" w:cs="Times New Roman"/>
          <w:color w:val="000000"/>
          <w:spacing w:val="0"/>
          <w:w w:val="100"/>
          <w:position w:val="0"/>
        </w:rPr>
        <w:t>•</w:t>
      </w:r>
      <w:r>
        <w:rPr>
          <w:color w:val="000000"/>
          <w:spacing w:val="0"/>
          <w:w w:val="100"/>
          <w:position w:val="0"/>
        </w:rPr>
        <w:t>引领未来</w:t>
      </w:r>
      <w:r>
        <w:rPr>
          <w:rFonts w:ascii="Times New Roman" w:eastAsia="Times New Roman" w:hAnsi="Times New Roman" w:cs="Times New Roman"/>
          <w:color w:val="000000"/>
          <w:spacing w:val="0"/>
          <w:w w:val="100"/>
          <w:position w:val="0"/>
        </w:rPr>
        <w:t>”</w:t>
      </w:r>
      <w:r>
        <w:rPr>
          <w:color w:val="000000"/>
          <w:spacing w:val="0"/>
          <w:w w:val="100"/>
          <w:position w:val="0"/>
        </w:rPr>
        <w:t>的品牌理念，紧紧围绕</w:t>
      </w:r>
      <w:r>
        <w:rPr>
          <w:rFonts w:ascii="Times New Roman" w:eastAsia="Times New Roman" w:hAnsi="Times New Roman" w:cs="Times New Roman"/>
          <w:color w:val="000000"/>
          <w:spacing w:val="0"/>
          <w:w w:val="100"/>
          <w:position w:val="0"/>
        </w:rPr>
        <w:t>“</w:t>
      </w:r>
      <w:r>
        <w:rPr>
          <w:color w:val="000000"/>
          <w:spacing w:val="0"/>
          <w:w w:val="100"/>
          <w:position w:val="0"/>
        </w:rPr>
        <w:t>讲方法</w:t>
      </w:r>
      <w:r>
        <w:rPr>
          <w:rFonts w:ascii="Times New Roman" w:eastAsia="Times New Roman" w:hAnsi="Times New Roman" w:cs="Times New Roman"/>
          <w:color w:val="000000"/>
          <w:spacing w:val="0"/>
          <w:w w:val="100"/>
          <w:position w:val="0"/>
        </w:rPr>
        <w:t>•</w:t>
      </w:r>
      <w:r>
        <w:rPr>
          <w:color w:val="000000"/>
          <w:spacing w:val="0"/>
          <w:w w:val="100"/>
          <w:position w:val="0"/>
        </w:rPr>
        <w:t>重实效</w:t>
      </w:r>
      <w:r>
        <w:rPr>
          <w:rFonts w:ascii="Times New Roman" w:eastAsia="Times New Roman" w:hAnsi="Times New Roman" w:cs="Times New Roman"/>
          <w:color w:val="000000"/>
          <w:spacing w:val="0"/>
          <w:w w:val="100"/>
          <w:position w:val="0"/>
        </w:rPr>
        <w:t>•</w:t>
      </w:r>
      <w:r>
        <w:rPr>
          <w:color w:val="000000"/>
          <w:spacing w:val="0"/>
          <w:w w:val="100"/>
          <w:position w:val="0"/>
        </w:rPr>
        <w:t>敢担当，开创增长新局面</w:t>
      </w:r>
      <w:r>
        <w:rPr>
          <w:rFonts w:ascii="Times New Roman" w:eastAsia="Times New Roman" w:hAnsi="Times New Roman" w:cs="Times New Roman"/>
          <w:color w:val="000000"/>
          <w:spacing w:val="0"/>
          <w:w w:val="100"/>
          <w:position w:val="0"/>
        </w:rPr>
        <w:t>”</w:t>
      </w:r>
      <w:r>
        <w:rPr>
          <w:color w:val="000000"/>
          <w:spacing w:val="0"/>
          <w:w w:val="100"/>
          <w:position w:val="0"/>
        </w:rPr>
        <w:t>的经营主 题，结合国内银行业转型升级的浪潮，以注重市场价值为导向，以建设企业核心竞争力为基础，不断完善核心技术体系建设, 创新培育新型增长业务，优化高端制造与高端服务两大板块布局，国内</w:t>
      </w:r>
      <w:r>
        <w:rPr>
          <w:rFonts w:ascii="Times New Roman" w:eastAsia="Times New Roman" w:hAnsi="Times New Roman" w:cs="Times New Roman"/>
          <w:color w:val="000000"/>
          <w:spacing w:val="0"/>
          <w:w w:val="100"/>
          <w:position w:val="0"/>
        </w:rPr>
        <w:t>ATM</w:t>
      </w:r>
      <w:r>
        <w:rPr>
          <w:color w:val="000000"/>
          <w:spacing w:val="0"/>
          <w:w w:val="100"/>
          <w:position w:val="0"/>
        </w:rPr>
        <w:t>、</w:t>
      </w:r>
      <w:r>
        <w:rPr>
          <w:rFonts w:ascii="Times New Roman" w:eastAsia="Times New Roman" w:hAnsi="Times New Roman" w:cs="Times New Roman"/>
          <w:color w:val="000000"/>
          <w:spacing w:val="0"/>
          <w:w w:val="100"/>
          <w:position w:val="0"/>
        </w:rPr>
        <w:t>AFC</w:t>
      </w:r>
      <w:r>
        <w:rPr>
          <w:color w:val="000000"/>
          <w:spacing w:val="0"/>
          <w:w w:val="100"/>
          <w:position w:val="0"/>
        </w:rPr>
        <w:t>市场地位得以巩固和深化，海外市场实 现恢复性增长，清分机、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等新产品推广成效显著，金融服务业务市场发展态势良好，公司整体经营在严峻的竞争环境 中保持了稳健增长的态势。</w:t>
      </w:r>
    </w:p>
    <w:p>
      <w:pPr>
        <w:pStyle w:val="Style35"/>
        <w:keepNext w:val="0"/>
        <w:keepLines w:val="0"/>
        <w:widowControl w:val="0"/>
        <w:shd w:val="clear" w:color="auto" w:fill="auto"/>
        <w:tabs>
          <w:tab w:pos="654" w:val="left"/>
        </w:tabs>
        <w:bidi w:val="0"/>
        <w:spacing w:before="0" w:after="40"/>
        <w:ind w:left="0" w:right="0"/>
        <w:jc w:val="both"/>
      </w:pPr>
      <w:bookmarkStart w:id="80" w:name="bookmark80"/>
      <w:r>
        <w:rPr>
          <w:rFonts w:ascii="Times New Roman" w:eastAsia="Times New Roman" w:hAnsi="Times New Roman" w:cs="Times New Roman"/>
          <w:color w:val="000000"/>
          <w:spacing w:val="0"/>
          <w:w w:val="100"/>
          <w:position w:val="0"/>
        </w:rPr>
        <w:t>1</w:t>
      </w:r>
      <w:bookmarkEnd w:id="80"/>
      <w:r>
        <w:rPr>
          <w:color w:val="000000"/>
          <w:spacing w:val="0"/>
          <w:w w:val="100"/>
          <w:position w:val="0"/>
        </w:rPr>
        <w:t>、</w:t>
        <w:tab/>
        <w:t>制造业</w:t>
      </w:r>
    </w:p>
    <w:p>
      <w:pPr>
        <w:pStyle w:val="Style35"/>
        <w:keepNext w:val="0"/>
        <w:keepLines w:val="0"/>
        <w:widowControl w:val="0"/>
        <w:shd w:val="clear" w:color="auto" w:fill="auto"/>
        <w:bidi w:val="0"/>
        <w:spacing w:before="0" w:after="140" w:line="31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ATM</w:t>
      </w:r>
      <w:r>
        <w:rPr>
          <w:color w:val="000000"/>
          <w:spacing w:val="0"/>
          <w:w w:val="100"/>
          <w:position w:val="0"/>
        </w:rPr>
        <w:t>国内市场上，报告期内，国内经济增速放缓、部分大行采购量缩减，但公司通过进一步细化营销策略，深挖整 合各种业务资源，加强品牌推广策划，全面推广自主核心技术的市场应用，公司在行业内的市场占有率仍然得到了提升。</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年，公司在国有大行、股份制银行、商行、农信等并行发展的多元化市场格局形成：中、农、建、交等国有大行总行项目持 续获得批量采购合同；存取款一体机获得中国邮政集团公司首次统购订单；城商行、农信农商市场继续保持快速增长；股份 制银行市场也取得良好业绩；存取款一体机的订单份额显著提升，公司整体抗风险能力进一步增强。公司全年新增银行客户 </w:t>
      </w:r>
      <w:r>
        <w:rPr>
          <w:rFonts w:ascii="Times New Roman" w:eastAsia="Times New Roman" w:hAnsi="Times New Roman" w:cs="Times New Roman"/>
          <w:color w:val="000000"/>
          <w:spacing w:val="0"/>
          <w:w w:val="100"/>
          <w:position w:val="0"/>
        </w:rPr>
        <w:t>171</w:t>
      </w:r>
      <w:r>
        <w:rPr>
          <w:color w:val="000000"/>
          <w:spacing w:val="0"/>
          <w:w w:val="100"/>
          <w:position w:val="0"/>
        </w:rPr>
        <w:t>家（其中村镇银行</w:t>
      </w:r>
      <w:r>
        <w:rPr>
          <w:rFonts w:ascii="Times New Roman" w:eastAsia="Times New Roman" w:hAnsi="Times New Roman" w:cs="Times New Roman"/>
          <w:color w:val="000000"/>
          <w:spacing w:val="0"/>
          <w:w w:val="100"/>
          <w:position w:val="0"/>
        </w:rPr>
        <w:t>76</w:t>
      </w:r>
      <w:r>
        <w:rPr>
          <w:color w:val="000000"/>
          <w:spacing w:val="0"/>
          <w:w w:val="100"/>
          <w:position w:val="0"/>
        </w:rPr>
        <w:t>家），国内市场</w:t>
      </w:r>
      <w:r>
        <w:rPr>
          <w:rFonts w:ascii="Times New Roman" w:eastAsia="Times New Roman" w:hAnsi="Times New Roman" w:cs="Times New Roman"/>
          <w:color w:val="000000"/>
          <w:spacing w:val="0"/>
          <w:w w:val="100"/>
          <w:position w:val="0"/>
        </w:rPr>
        <w:t>ATM</w:t>
      </w:r>
      <w:r>
        <w:rPr>
          <w:color w:val="000000"/>
          <w:spacing w:val="0"/>
          <w:w w:val="100"/>
          <w:position w:val="0"/>
        </w:rPr>
        <w:t>销售再创新高。</w:t>
      </w:r>
    </w:p>
    <w:p>
      <w:pPr>
        <w:pStyle w:val="Style35"/>
        <w:keepNext w:val="0"/>
        <w:keepLines w:val="0"/>
        <w:widowControl w:val="0"/>
        <w:shd w:val="clear" w:color="auto" w:fill="auto"/>
        <w:bidi w:val="0"/>
        <w:spacing w:before="0" w:after="140" w:line="315"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rPr>
        <w:t>ATM</w:t>
      </w:r>
      <w:r>
        <w:rPr>
          <w:color w:val="000000"/>
          <w:spacing w:val="0"/>
          <w:w w:val="100"/>
          <w:position w:val="0"/>
        </w:rPr>
        <w:t>海外市场上，公司围绕年初制定的</w:t>
      </w:r>
      <w:r>
        <w:rPr>
          <w:rFonts w:ascii="Times New Roman" w:eastAsia="Times New Roman" w:hAnsi="Times New Roman" w:cs="Times New Roman"/>
          <w:color w:val="000000"/>
          <w:spacing w:val="0"/>
          <w:w w:val="100"/>
          <w:position w:val="0"/>
        </w:rPr>
        <w:t>“</w:t>
      </w:r>
      <w:r>
        <w:rPr>
          <w:color w:val="000000"/>
          <w:spacing w:val="0"/>
          <w:w w:val="100"/>
          <w:position w:val="0"/>
        </w:rPr>
        <w:t>系统布局，重点突破</w:t>
      </w:r>
      <w:r>
        <w:rPr>
          <w:rFonts w:ascii="Times New Roman" w:eastAsia="Times New Roman" w:hAnsi="Times New Roman" w:cs="Times New Roman"/>
          <w:color w:val="000000"/>
          <w:spacing w:val="0"/>
          <w:w w:val="100"/>
          <w:position w:val="0"/>
        </w:rPr>
        <w:t>”</w:t>
      </w:r>
      <w:r>
        <w:rPr>
          <w:color w:val="000000"/>
          <w:spacing w:val="0"/>
          <w:w w:val="100"/>
          <w:position w:val="0"/>
        </w:rPr>
        <w:t>的工作思路，对各区域市场进行分类，集中优势资源, 对重点市场进行重点投入、重点突破，海外销售实现了恢复性增长。在伊朗、越南等国家获得批量订单；在沙特、南非、苏 丹、赞比亚、厄瓜多尔等国家获得批量突破；在印尼、美国、尼日利亚和德国也取得较好布局和拓展；</w:t>
      </w:r>
      <w:r>
        <w:rPr>
          <w:rFonts w:ascii="Times New Roman" w:eastAsia="Times New Roman" w:hAnsi="Times New Roman" w:cs="Times New Roman"/>
          <w:color w:val="000000"/>
          <w:spacing w:val="0"/>
          <w:w w:val="100"/>
          <w:position w:val="0"/>
        </w:rPr>
        <w:t>OEM</w:t>
      </w:r>
      <w:r>
        <w:rPr>
          <w:color w:val="000000"/>
          <w:spacing w:val="0"/>
          <w:w w:val="100"/>
          <w:position w:val="0"/>
        </w:rPr>
        <w:t>、</w:t>
      </w:r>
      <w:r>
        <w:rPr>
          <w:color w:val="000000"/>
          <w:spacing w:val="0"/>
          <w:w w:val="100"/>
          <w:position w:val="0"/>
        </w:rPr>
        <w:t>备品备件销 售良好。</w:t>
      </w:r>
    </w:p>
    <w:p>
      <w:pPr>
        <w:pStyle w:val="Style35"/>
        <w:keepNext w:val="0"/>
        <w:keepLines w:val="0"/>
        <w:widowControl w:val="0"/>
        <w:shd w:val="clear" w:color="auto" w:fill="auto"/>
        <w:bidi w:val="0"/>
        <w:spacing w:before="0" w:after="140" w:line="315" w:lineRule="exact"/>
        <w:ind w:left="0" w:right="0"/>
        <w:jc w:val="both"/>
      </w:pPr>
      <w:r>
        <w:rPr>
          <w:color w:val="000000"/>
          <w:spacing w:val="0"/>
          <w:w w:val="100"/>
          <w:position w:val="0"/>
        </w:rPr>
        <w:t>在轨道交通市场上，公司继续保持了</w:t>
      </w:r>
      <w:r>
        <w:rPr>
          <w:rFonts w:ascii="Times New Roman" w:eastAsia="Times New Roman" w:hAnsi="Times New Roman" w:cs="Times New Roman"/>
          <w:color w:val="000000"/>
          <w:spacing w:val="0"/>
          <w:w w:val="100"/>
          <w:position w:val="0"/>
        </w:rPr>
        <w:t>AFC</w:t>
      </w:r>
      <w:r>
        <w:rPr>
          <w:color w:val="000000"/>
          <w:spacing w:val="0"/>
          <w:w w:val="100"/>
          <w:position w:val="0"/>
        </w:rPr>
        <w:t>整机设备在国内轨道交通市场上的优势地位；同时，加大</w:t>
      </w:r>
      <w:r>
        <w:rPr>
          <w:rFonts w:ascii="Times New Roman" w:eastAsia="Times New Roman" w:hAnsi="Times New Roman" w:cs="Times New Roman"/>
          <w:color w:val="000000"/>
          <w:spacing w:val="0"/>
          <w:w w:val="100"/>
          <w:position w:val="0"/>
        </w:rPr>
        <w:t>AFC</w:t>
      </w:r>
      <w:r>
        <w:rPr>
          <w:color w:val="000000"/>
          <w:spacing w:val="0"/>
          <w:w w:val="100"/>
          <w:position w:val="0"/>
        </w:rPr>
        <w:t>模块产品的推广 力度，基本形成了以纸币识别、找零、票卡三大核心模块为主的销售格局，尤其在高铁市场形成垄断核心模块的局面。核心 模块在地铁、高铁的市场地位进一步巩固和提升。在海外市场上，港铁项目实施工作进展顺利，客户满意度高，为后续项目 的拓展打下坚实的基础。在新业务市场上，公司推进技术同心多元化，系统集成市场有所突破，主要开展了广州长隆集团金 融币发卡系统、广州长隆动物管理软件系统、珠海长隆项目自动售取票机、电商平台项目，碧桂园、学校闸机项目等；并对 医疗、电力、汽车站等零售市场领域进行了初步探索。</w:t>
      </w:r>
    </w:p>
    <w:p>
      <w:pPr>
        <w:pStyle w:val="Style35"/>
        <w:keepNext w:val="0"/>
        <w:keepLines w:val="0"/>
        <w:widowControl w:val="0"/>
        <w:shd w:val="clear" w:color="auto" w:fill="auto"/>
        <w:bidi w:val="0"/>
        <w:spacing w:before="0" w:after="140" w:line="317" w:lineRule="exact"/>
        <w:ind w:left="0" w:right="0"/>
        <w:jc w:val="both"/>
      </w:pPr>
      <w:r>
        <w:rPr>
          <w:color w:val="000000"/>
          <w:spacing w:val="0"/>
          <w:w w:val="100"/>
          <w:position w:val="0"/>
        </w:rPr>
        <w:t>在清分机市场上，清分机业务规模初显。目前，清分机产品已涵盖</w:t>
      </w:r>
      <w:r>
        <w:rPr>
          <w:rFonts w:ascii="Times New Roman" w:eastAsia="Times New Roman" w:hAnsi="Times New Roman" w:cs="Times New Roman"/>
          <w:color w:val="000000"/>
          <w:spacing w:val="0"/>
          <w:w w:val="100"/>
          <w:position w:val="0"/>
        </w:rPr>
        <w:t>CM100V</w:t>
      </w:r>
      <w:r>
        <w:rPr>
          <w:color w:val="000000"/>
          <w:spacing w:val="0"/>
          <w:w w:val="100"/>
          <w:position w:val="0"/>
        </w:rPr>
        <w:t>、</w:t>
      </w:r>
      <w:r>
        <w:rPr>
          <w:rFonts w:ascii="Times New Roman" w:eastAsia="Times New Roman" w:hAnsi="Times New Roman" w:cs="Times New Roman"/>
          <w:color w:val="000000"/>
          <w:spacing w:val="0"/>
          <w:w w:val="100"/>
          <w:position w:val="0"/>
        </w:rPr>
        <w:t>CM200V</w:t>
      </w:r>
      <w:r>
        <w:rPr>
          <w:color w:val="000000"/>
          <w:spacing w:val="0"/>
          <w:w w:val="100"/>
          <w:position w:val="0"/>
        </w:rPr>
        <w:t>、</w:t>
      </w:r>
      <w:r>
        <w:rPr>
          <w:rFonts w:ascii="Times New Roman" w:eastAsia="Times New Roman" w:hAnsi="Times New Roman" w:cs="Times New Roman"/>
          <w:color w:val="000000"/>
          <w:spacing w:val="0"/>
          <w:w w:val="100"/>
          <w:position w:val="0"/>
        </w:rPr>
        <w:t>CM300</w:t>
      </w:r>
      <w:r>
        <w:rPr>
          <w:color w:val="000000"/>
          <w:spacing w:val="0"/>
          <w:w w:val="100"/>
          <w:position w:val="0"/>
        </w:rPr>
        <w:t>、</w:t>
      </w:r>
      <w:r>
        <w:rPr>
          <w:rFonts w:ascii="Times New Roman" w:eastAsia="Times New Roman" w:hAnsi="Times New Roman" w:cs="Times New Roman"/>
          <w:color w:val="000000"/>
          <w:spacing w:val="0"/>
          <w:w w:val="100"/>
          <w:position w:val="0"/>
        </w:rPr>
        <w:t>CM400</w:t>
      </w:r>
      <w:r>
        <w:rPr>
          <w:color w:val="000000"/>
          <w:spacing w:val="0"/>
          <w:w w:val="100"/>
          <w:position w:val="0"/>
        </w:rPr>
        <w:t>、</w:t>
      </w:r>
      <w:r>
        <w:rPr>
          <w:color w:val="000000"/>
          <w:spacing w:val="0"/>
          <w:w w:val="100"/>
          <w:position w:val="0"/>
        </w:rPr>
        <w:t>智能加钞机 及</w:t>
      </w:r>
      <w:r>
        <w:rPr>
          <w:rFonts w:ascii="Times New Roman" w:eastAsia="Times New Roman" w:hAnsi="Times New Roman" w:cs="Times New Roman"/>
          <w:color w:val="000000"/>
          <w:spacing w:val="0"/>
          <w:w w:val="100"/>
          <w:position w:val="0"/>
        </w:rPr>
        <w:t>CML</w:t>
      </w:r>
      <w:r>
        <w:rPr>
          <w:color w:val="000000"/>
          <w:spacing w:val="0"/>
          <w:w w:val="100"/>
          <w:position w:val="0"/>
        </w:rPr>
        <w:t>纸币清分流水线等多款机型，产品线趋于完整。清分机全年发货约</w:t>
      </w:r>
      <w:r>
        <w:rPr>
          <w:rFonts w:ascii="Times New Roman" w:eastAsia="Times New Roman" w:hAnsi="Times New Roman" w:cs="Times New Roman"/>
          <w:color w:val="000000"/>
          <w:spacing w:val="0"/>
          <w:w w:val="100"/>
          <w:position w:val="0"/>
        </w:rPr>
        <w:t>2,000</w:t>
      </w:r>
      <w:r>
        <w:rPr>
          <w:color w:val="000000"/>
          <w:spacing w:val="0"/>
          <w:w w:val="100"/>
          <w:position w:val="0"/>
        </w:rPr>
        <w:t>台，市场反应良好，已成功进入兴业银行总 行、广发银行总行、中信银行总行以及中国邮政集团公司、部分省级农信联社的清分机选型入围，在部分股份制银行、城商 行、农信社及邮政储蓄省分行实现批量销售。</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在创新业务市场上，国内首创的远程视频柜员机（</w:t>
      </w:r>
      <w:r>
        <w:rPr>
          <w:rFonts w:ascii="Times New Roman" w:eastAsia="Times New Roman" w:hAnsi="Times New Roman" w:cs="Times New Roman"/>
          <w:color w:val="000000"/>
          <w:spacing w:val="0"/>
          <w:w w:val="100"/>
          <w:position w:val="0"/>
        </w:rPr>
        <w:t>VTM</w:t>
      </w:r>
      <w:r>
        <w:rPr>
          <w:color w:val="000000"/>
          <w:spacing w:val="0"/>
          <w:w w:val="100"/>
          <w:position w:val="0"/>
        </w:rPr>
        <w:t>）赢得市场先机，成功进入工行、建行等市场，在交行、广发 实现批量应用，获得香港渣打银行首批订单，在德国实现设备上线，全面形成总行战略布局、商行技术渗透、海外市场突破 的格局；高速现金收纳机</w:t>
      </w:r>
      <w:r>
        <w:rPr>
          <w:rFonts w:ascii="Times New Roman" w:eastAsia="Times New Roman" w:hAnsi="Times New Roman" w:cs="Times New Roman"/>
          <w:color w:val="000000"/>
          <w:spacing w:val="0"/>
          <w:w w:val="100"/>
          <w:position w:val="0"/>
        </w:rPr>
        <w:t>P2801</w:t>
      </w:r>
      <w:r>
        <w:rPr>
          <w:color w:val="000000"/>
          <w:spacing w:val="0"/>
          <w:w w:val="100"/>
          <w:position w:val="0"/>
        </w:rPr>
        <w:t>在湖北、江苏农行获得批量订单，入围华夏总行并远销沙特；自助封包收纳机</w:t>
      </w:r>
      <w:r>
        <w:rPr>
          <w:rFonts w:ascii="Times New Roman" w:eastAsia="Times New Roman" w:hAnsi="Times New Roman" w:cs="Times New Roman"/>
          <w:color w:val="000000"/>
          <w:spacing w:val="0"/>
          <w:w w:val="100"/>
          <w:position w:val="0"/>
        </w:rPr>
        <w:t>H90</w:t>
      </w:r>
      <w:r>
        <w:rPr>
          <w:color w:val="000000"/>
          <w:spacing w:val="0"/>
          <w:w w:val="100"/>
          <w:position w:val="0"/>
        </w:rPr>
        <w:t>入围民生 总行并获得招商银行首次采购；自助外币兑换机</w:t>
      </w:r>
      <w:r>
        <w:rPr>
          <w:rFonts w:ascii="Times New Roman" w:eastAsia="Times New Roman" w:hAnsi="Times New Roman" w:cs="Times New Roman"/>
          <w:color w:val="000000"/>
          <w:spacing w:val="0"/>
          <w:w w:val="100"/>
          <w:position w:val="0"/>
        </w:rPr>
        <w:t>H38N-XDM</w:t>
      </w:r>
      <w:r>
        <w:rPr>
          <w:color w:val="000000"/>
          <w:spacing w:val="0"/>
          <w:w w:val="100"/>
          <w:position w:val="0"/>
        </w:rPr>
        <w:t>A</w:t>
      </w:r>
      <w:r>
        <w:rPr>
          <w:color w:val="000000"/>
          <w:spacing w:val="0"/>
          <w:w w:val="100"/>
          <w:position w:val="0"/>
        </w:rPr>
        <w:t>围浦发总行并获得广东农行订单。</w:t>
      </w:r>
    </w:p>
    <w:p>
      <w:pPr>
        <w:pStyle w:val="Style35"/>
        <w:keepNext w:val="0"/>
        <w:keepLines w:val="0"/>
        <w:widowControl w:val="0"/>
        <w:shd w:val="clear" w:color="auto" w:fill="auto"/>
        <w:tabs>
          <w:tab w:pos="674" w:val="left"/>
        </w:tabs>
        <w:bidi w:val="0"/>
        <w:spacing w:before="0" w:after="40"/>
        <w:ind w:left="0" w:right="0"/>
        <w:jc w:val="both"/>
      </w:pPr>
      <w:bookmarkStart w:id="81" w:name="bookmark81"/>
      <w:r>
        <w:rPr>
          <w:rFonts w:ascii="Times New Roman" w:eastAsia="Times New Roman" w:hAnsi="Times New Roman" w:cs="Times New Roman"/>
          <w:color w:val="000000"/>
          <w:spacing w:val="0"/>
          <w:w w:val="100"/>
          <w:position w:val="0"/>
        </w:rPr>
        <w:t>2</w:t>
      </w:r>
      <w:bookmarkEnd w:id="81"/>
      <w:r>
        <w:rPr>
          <w:color w:val="000000"/>
          <w:spacing w:val="0"/>
          <w:w w:val="100"/>
          <w:position w:val="0"/>
        </w:rPr>
        <w:t>、</w:t>
        <w:tab/>
        <w:t>服务业</w:t>
      </w:r>
    </w:p>
    <w:p>
      <w:pPr>
        <w:pStyle w:val="Style35"/>
        <w:keepNext w:val="0"/>
        <w:keepLines w:val="0"/>
        <w:widowControl w:val="0"/>
        <w:shd w:val="clear" w:color="auto" w:fill="auto"/>
        <w:bidi w:val="0"/>
        <w:spacing w:before="0" w:line="307" w:lineRule="exact"/>
        <w:ind w:left="0" w:right="0"/>
        <w:jc w:val="both"/>
      </w:pPr>
      <w:r>
        <w:rPr>
          <w:color w:val="000000"/>
          <w:spacing w:val="0"/>
          <w:w w:val="100"/>
          <w:position w:val="0"/>
        </w:rPr>
        <w:t>公司一直坚持</w:t>
      </w:r>
      <w:r>
        <w:rPr>
          <w:rFonts w:ascii="Times New Roman" w:eastAsia="Times New Roman" w:hAnsi="Times New Roman" w:cs="Times New Roman"/>
          <w:color w:val="000000"/>
          <w:spacing w:val="0"/>
          <w:w w:val="100"/>
          <w:position w:val="0"/>
        </w:rPr>
        <w:t>“</w:t>
      </w:r>
      <w:r>
        <w:rPr>
          <w:color w:val="000000"/>
          <w:spacing w:val="0"/>
          <w:w w:val="100"/>
          <w:position w:val="0"/>
        </w:rPr>
        <w:t>高端制造</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高端服务</w:t>
      </w:r>
      <w:r>
        <w:rPr>
          <w:rFonts w:ascii="Times New Roman" w:eastAsia="Times New Roman" w:hAnsi="Times New Roman" w:cs="Times New Roman"/>
          <w:color w:val="000000"/>
          <w:spacing w:val="0"/>
          <w:w w:val="100"/>
          <w:position w:val="0"/>
        </w:rPr>
        <w:t>”</w:t>
      </w:r>
      <w:r>
        <w:rPr>
          <w:color w:val="000000"/>
          <w:spacing w:val="0"/>
          <w:w w:val="100"/>
          <w:position w:val="0"/>
        </w:rPr>
        <w:t xml:space="preserve">双轮驱动的战略定位，在坚持高端制造的主营业务前提下，向金融高端服务领域 不断拓展和布局。公司的服务业务主要是设备维保业务及金融服务外包业务。报告期内，公司通过统筹优化业务资源，深化 </w:t>
      </w:r>
      <w:r>
        <w:rPr>
          <w:color w:val="000000"/>
          <w:spacing w:val="0"/>
          <w:w w:val="100"/>
          <w:position w:val="0"/>
        </w:rPr>
        <w:t>分子公司监管，统一服务运作标准，强化信息化管理，整体提升了金融服务专业水平，加快了金融服务重点市场布局。目前， 传统的设备维保服务增长情况良好，高端金融服务外包市场成效显著。</w:t>
      </w:r>
    </w:p>
    <w:p>
      <w:pPr>
        <w:pStyle w:val="Style35"/>
        <w:keepNext w:val="0"/>
        <w:keepLines w:val="0"/>
        <w:widowControl w:val="0"/>
        <w:shd w:val="clear" w:color="auto" w:fill="auto"/>
        <w:bidi w:val="0"/>
        <w:spacing w:before="0" w:after="260" w:line="311" w:lineRule="exact"/>
        <w:ind w:left="0" w:right="0"/>
        <w:jc w:val="both"/>
      </w:pPr>
      <w:r>
        <w:rPr>
          <w:color w:val="000000"/>
          <w:spacing w:val="0"/>
          <w:w w:val="100"/>
          <w:position w:val="0"/>
        </w:rPr>
        <w:t>深圳银通设备维保服务市场快速增长，设备维保规模持续扩大，新建服务网点</w:t>
      </w:r>
      <w:r>
        <w:rPr>
          <w:rFonts w:ascii="Times New Roman" w:eastAsia="Times New Roman" w:hAnsi="Times New Roman" w:cs="Times New Roman"/>
          <w:color w:val="000000"/>
          <w:spacing w:val="0"/>
          <w:w w:val="100"/>
          <w:position w:val="0"/>
        </w:rPr>
        <w:t>104</w:t>
      </w:r>
      <w:r>
        <w:rPr>
          <w:color w:val="000000"/>
          <w:spacing w:val="0"/>
          <w:w w:val="100"/>
          <w:position w:val="0"/>
        </w:rPr>
        <w:t>个，截至本报告期末，服务网点总数 达</w:t>
      </w:r>
      <w:r>
        <w:rPr>
          <w:rFonts w:ascii="Times New Roman" w:eastAsia="Times New Roman" w:hAnsi="Times New Roman" w:cs="Times New Roman"/>
          <w:color w:val="000000"/>
          <w:spacing w:val="0"/>
          <w:w w:val="100"/>
          <w:position w:val="0"/>
        </w:rPr>
        <w:t>547</w:t>
      </w:r>
      <w:r>
        <w:rPr>
          <w:color w:val="000000"/>
          <w:spacing w:val="0"/>
          <w:w w:val="100"/>
          <w:position w:val="0"/>
        </w:rPr>
        <w:t>个。高端金融服务外包业务步入高增长阶段，深圳银通及其子公司金融外包服务覆盖</w:t>
      </w:r>
      <w:r>
        <w:rPr>
          <w:rFonts w:ascii="Times New Roman" w:eastAsia="Times New Roman" w:hAnsi="Times New Roman" w:cs="Times New Roman"/>
          <w:color w:val="000000"/>
          <w:spacing w:val="0"/>
          <w:w w:val="100"/>
          <w:position w:val="0"/>
        </w:rPr>
        <w:t>38</w:t>
      </w:r>
      <w:r>
        <w:rPr>
          <w:color w:val="000000"/>
          <w:spacing w:val="0"/>
          <w:w w:val="100"/>
          <w:position w:val="0"/>
        </w:rPr>
        <w:t>个城市，新增中信总行、交总 行、平安总行等外包服务项目</w:t>
      </w:r>
      <w:r>
        <w:rPr>
          <w:rFonts w:ascii="Times New Roman" w:eastAsia="Times New Roman" w:hAnsi="Times New Roman" w:cs="Times New Roman"/>
          <w:color w:val="000000"/>
          <w:spacing w:val="0"/>
          <w:w w:val="100"/>
          <w:position w:val="0"/>
        </w:rPr>
        <w:t>60</w:t>
      </w:r>
      <w:r>
        <w:rPr>
          <w:color w:val="000000"/>
          <w:spacing w:val="0"/>
          <w:w w:val="100"/>
          <w:position w:val="0"/>
        </w:rPr>
        <w:t>个，全年已开展外包项目达</w:t>
      </w:r>
      <w:r>
        <w:rPr>
          <w:rFonts w:ascii="Times New Roman" w:eastAsia="Times New Roman" w:hAnsi="Times New Roman" w:cs="Times New Roman"/>
          <w:color w:val="000000"/>
          <w:spacing w:val="0"/>
          <w:w w:val="100"/>
          <w:position w:val="0"/>
        </w:rPr>
        <w:t>92</w:t>
      </w:r>
      <w:r>
        <w:rPr>
          <w:color w:val="000000"/>
          <w:spacing w:val="0"/>
          <w:w w:val="100"/>
          <w:position w:val="0"/>
        </w:rPr>
        <w:t>个，累计承接外包服务设备近</w:t>
      </w:r>
      <w:r>
        <w:rPr>
          <w:rFonts w:ascii="Times New Roman" w:eastAsia="Times New Roman" w:hAnsi="Times New Roman" w:cs="Times New Roman"/>
          <w:color w:val="000000"/>
          <w:spacing w:val="0"/>
          <w:w w:val="100"/>
          <w:position w:val="0"/>
        </w:rPr>
        <w:t>4,000</w:t>
      </w:r>
      <w:r>
        <w:rPr>
          <w:color w:val="000000"/>
          <w:spacing w:val="0"/>
          <w:w w:val="100"/>
          <w:position w:val="0"/>
        </w:rPr>
        <w:t>台，外包业务类型涉及现 金清分、清机加钞、驻点营销、大堂经理、上门收款、现金调拨、电子对账、安全巡检、单据递送等多种业务。广州穗通获 得工行、民生在行式设备外包业务，改变了银行只限外包离行设备的观念；成功接入工行等</w:t>
      </w:r>
      <w:r>
        <w:rPr>
          <w:rFonts w:ascii="Times New Roman" w:eastAsia="Times New Roman" w:hAnsi="Times New Roman" w:cs="Times New Roman"/>
          <w:color w:val="000000"/>
          <w:spacing w:val="0"/>
          <w:w w:val="100"/>
          <w:position w:val="0"/>
        </w:rPr>
        <w:t>6</w:t>
      </w:r>
      <w:r>
        <w:rPr>
          <w:color w:val="000000"/>
          <w:spacing w:val="0"/>
          <w:w w:val="100"/>
          <w:position w:val="0"/>
        </w:rPr>
        <w:t>家银行设备监控，获得主动服 务和资源调度的主动权，提高了资源利用率和运营效率；全年累计服务设备共计</w:t>
      </w:r>
      <w:r>
        <w:rPr>
          <w:rFonts w:ascii="Times New Roman" w:eastAsia="Times New Roman" w:hAnsi="Times New Roman" w:cs="Times New Roman"/>
          <w:color w:val="000000"/>
          <w:spacing w:val="0"/>
          <w:w w:val="100"/>
          <w:position w:val="0"/>
        </w:rPr>
        <w:t>2,500</w:t>
      </w:r>
      <w:r>
        <w:rPr>
          <w:color w:val="000000"/>
          <w:spacing w:val="0"/>
          <w:w w:val="100"/>
          <w:position w:val="0"/>
        </w:rPr>
        <w:t>多台，服务客户总数</w:t>
      </w:r>
      <w:r>
        <w:rPr>
          <w:rFonts w:ascii="Times New Roman" w:eastAsia="Times New Roman" w:hAnsi="Times New Roman" w:cs="Times New Roman"/>
          <w:color w:val="000000"/>
          <w:spacing w:val="0"/>
          <w:w w:val="100"/>
          <w:position w:val="0"/>
        </w:rPr>
        <w:t>16</w:t>
      </w:r>
      <w:r>
        <w:rPr>
          <w:color w:val="000000"/>
          <w:spacing w:val="0"/>
          <w:w w:val="100"/>
          <w:position w:val="0"/>
        </w:rPr>
        <w:t>家。</w:t>
      </w:r>
      <w:r>
        <w:rPr>
          <w:rFonts w:ascii="Times New Roman" w:eastAsia="Times New Roman" w:hAnsi="Times New Roman" w:cs="Times New Roman"/>
          <w:color w:val="000000"/>
          <w:spacing w:val="0"/>
          <w:w w:val="100"/>
          <w:position w:val="0"/>
        </w:rPr>
        <w:t>ATM</w:t>
      </w:r>
      <w:r>
        <w:rPr>
          <w:color w:val="000000"/>
          <w:spacing w:val="0"/>
          <w:w w:val="100"/>
          <w:position w:val="0"/>
        </w:rPr>
        <w:t>运营 监控中心</w:t>
      </w:r>
      <w:r>
        <w:rPr>
          <w:color w:val="000000"/>
          <w:spacing w:val="0"/>
          <w:w w:val="100"/>
          <w:position w:val="0"/>
        </w:rPr>
        <w:t>（</w:t>
      </w:r>
      <w:r>
        <w:rPr>
          <w:rFonts w:ascii="Times New Roman" w:eastAsia="Times New Roman" w:hAnsi="Times New Roman" w:cs="Times New Roman"/>
          <w:color w:val="000000"/>
          <w:spacing w:val="0"/>
          <w:w w:val="100"/>
          <w:position w:val="0"/>
        </w:rPr>
        <w:t>AOC</w:t>
      </w:r>
      <w:r>
        <w:rPr>
          <w:color w:val="000000"/>
          <w:spacing w:val="0"/>
          <w:w w:val="100"/>
          <w:position w:val="0"/>
        </w:rPr>
        <w:t>）</w:t>
      </w:r>
      <w:r>
        <w:rPr>
          <w:color w:val="000000"/>
          <w:spacing w:val="0"/>
          <w:w w:val="100"/>
          <w:position w:val="0"/>
        </w:rPr>
        <w:t>推广见成效，更好地助推了公司金融服务外包业务的发展。</w:t>
      </w:r>
    </w:p>
    <w:p>
      <w:pPr>
        <w:pStyle w:val="Style35"/>
        <w:keepNext w:val="0"/>
        <w:keepLines w:val="0"/>
        <w:widowControl w:val="0"/>
        <w:shd w:val="clear" w:color="auto" w:fill="auto"/>
        <w:tabs>
          <w:tab w:pos="664" w:val="left"/>
        </w:tabs>
        <w:bidi w:val="0"/>
        <w:spacing w:before="0" w:after="0"/>
        <w:ind w:left="0" w:right="0"/>
        <w:jc w:val="both"/>
      </w:pPr>
      <w:bookmarkStart w:id="82" w:name="bookmark82"/>
      <w:r>
        <w:rPr>
          <w:rFonts w:ascii="Times New Roman" w:eastAsia="Times New Roman" w:hAnsi="Times New Roman" w:cs="Times New Roman"/>
          <w:color w:val="000000"/>
          <w:spacing w:val="0"/>
          <w:w w:val="100"/>
          <w:position w:val="0"/>
        </w:rPr>
        <w:t>3</w:t>
      </w:r>
      <w:bookmarkEnd w:id="82"/>
      <w:r>
        <w:rPr>
          <w:color w:val="000000"/>
          <w:spacing w:val="0"/>
          <w:w w:val="100"/>
          <w:position w:val="0"/>
        </w:rPr>
        <w:t>、</w:t>
        <w:tab/>
        <w:t>核心技术推广</w:t>
      </w:r>
    </w:p>
    <w:p>
      <w:pPr>
        <w:pStyle w:val="Style35"/>
        <w:keepNext w:val="0"/>
        <w:keepLines w:val="0"/>
        <w:widowControl w:val="0"/>
        <w:shd w:val="clear" w:color="auto" w:fill="auto"/>
        <w:bidi w:val="0"/>
        <w:spacing w:before="0" w:after="260" w:line="313" w:lineRule="exact"/>
        <w:ind w:left="0" w:right="0"/>
        <w:jc w:val="both"/>
      </w:pPr>
      <w:r>
        <w:rPr>
          <w:color w:val="000000"/>
          <w:spacing w:val="0"/>
          <w:w w:val="100"/>
          <w:position w:val="0"/>
        </w:rPr>
        <w:t>公司是国内唯一一家掌握循环机核心技术的厂家。报告期内，公司拥有自主出钞机芯、自主循环机芯的</w:t>
      </w:r>
      <w:r>
        <w:rPr>
          <w:rFonts w:ascii="Times New Roman" w:eastAsia="Times New Roman" w:hAnsi="Times New Roman" w:cs="Times New Roman"/>
          <w:color w:val="000000"/>
          <w:spacing w:val="0"/>
          <w:w w:val="100"/>
          <w:position w:val="0"/>
        </w:rPr>
        <w:t>N</w:t>
      </w:r>
      <w:r>
        <w:rPr>
          <w:color w:val="000000"/>
          <w:spacing w:val="0"/>
          <w:w w:val="100"/>
          <w:position w:val="0"/>
        </w:rPr>
        <w:t>系列产品实现 市场的全面切换，已在国有大行、股份制银行、农信社及地方商业银行等大批量使用，市场反应情况良好，</w:t>
      </w:r>
      <w:r>
        <w:rPr>
          <w:rFonts w:ascii="Times New Roman" w:eastAsia="Times New Roman" w:hAnsi="Times New Roman" w:cs="Times New Roman"/>
          <w:color w:val="000000"/>
          <w:spacing w:val="0"/>
          <w:w w:val="100"/>
          <w:position w:val="0"/>
        </w:rPr>
        <w:t>N</w:t>
      </w:r>
      <w:r>
        <w:rPr>
          <w:color w:val="000000"/>
          <w:spacing w:val="0"/>
          <w:w w:val="100"/>
          <w:position w:val="0"/>
        </w:rPr>
        <w:t>系列产品的发 货量已超过公司</w:t>
      </w:r>
      <w:r>
        <w:rPr>
          <w:rFonts w:ascii="Times New Roman" w:eastAsia="Times New Roman" w:hAnsi="Times New Roman" w:cs="Times New Roman"/>
          <w:color w:val="000000"/>
          <w:spacing w:val="0"/>
          <w:w w:val="100"/>
          <w:position w:val="0"/>
        </w:rPr>
        <w:t>ATM</w:t>
      </w:r>
      <w:r>
        <w:rPr>
          <w:color w:val="000000"/>
          <w:spacing w:val="0"/>
          <w:w w:val="100"/>
          <w:position w:val="0"/>
        </w:rPr>
        <w:t>全年总发货量的</w:t>
      </w:r>
      <w:r>
        <w:rPr>
          <w:rFonts w:ascii="Times New Roman" w:eastAsia="Times New Roman" w:hAnsi="Times New Roman" w:cs="Times New Roman"/>
          <w:color w:val="000000"/>
          <w:spacing w:val="0"/>
          <w:w w:val="100"/>
          <w:position w:val="0"/>
        </w:rPr>
        <w:t>90%</w:t>
      </w:r>
      <w:r>
        <w:rPr>
          <w:color w:val="000000"/>
          <w:spacing w:val="0"/>
          <w:w w:val="100"/>
          <w:position w:val="0"/>
        </w:rPr>
        <w:t>。在工信部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日组织召开的</w:t>
      </w:r>
      <w:r>
        <w:rPr>
          <w:rFonts w:ascii="Times New Roman" w:eastAsia="Times New Roman" w:hAnsi="Times New Roman" w:cs="Times New Roman"/>
          <w:color w:val="000000"/>
          <w:spacing w:val="0"/>
          <w:w w:val="100"/>
          <w:position w:val="0"/>
        </w:rPr>
        <w:t>“</w:t>
      </w:r>
      <w:r>
        <w:rPr>
          <w:color w:val="000000"/>
          <w:spacing w:val="0"/>
          <w:w w:val="100"/>
          <w:position w:val="0"/>
        </w:rPr>
        <w:t>高速钞票识别与处理技术</w:t>
      </w:r>
      <w:r>
        <w:rPr>
          <w:rFonts w:ascii="Times New Roman" w:eastAsia="Times New Roman" w:hAnsi="Times New Roman" w:cs="Times New Roman"/>
          <w:color w:val="000000"/>
          <w:spacing w:val="0"/>
          <w:w w:val="100"/>
          <w:position w:val="0"/>
        </w:rPr>
        <w:t>”</w:t>
      </w:r>
      <w:r>
        <w:rPr>
          <w:color w:val="000000"/>
          <w:spacing w:val="0"/>
          <w:w w:val="100"/>
          <w:position w:val="0"/>
        </w:rPr>
        <w:t>科学成果鉴定会 上，公司自主研发的</w:t>
      </w:r>
      <w:r>
        <w:rPr>
          <w:rFonts w:ascii="Times New Roman" w:eastAsia="Times New Roman" w:hAnsi="Times New Roman" w:cs="Times New Roman"/>
          <w:color w:val="000000"/>
          <w:spacing w:val="0"/>
          <w:w w:val="100"/>
          <w:position w:val="0"/>
        </w:rPr>
        <w:t>“</w:t>
      </w:r>
      <w:r>
        <w:rPr>
          <w:color w:val="000000"/>
          <w:spacing w:val="0"/>
          <w:w w:val="100"/>
          <w:position w:val="0"/>
        </w:rPr>
        <w:t>高速钞票识别与处理技术</w:t>
      </w:r>
      <w:r>
        <w:rPr>
          <w:rFonts w:ascii="Times New Roman" w:eastAsia="Times New Roman" w:hAnsi="Times New Roman" w:cs="Times New Roman"/>
          <w:color w:val="000000"/>
          <w:spacing w:val="0"/>
          <w:w w:val="100"/>
          <w:position w:val="0"/>
        </w:rPr>
        <w:t>”</w:t>
      </w:r>
      <w:r>
        <w:rPr>
          <w:color w:val="000000"/>
          <w:spacing w:val="0"/>
          <w:w w:val="100"/>
          <w:position w:val="0"/>
        </w:rPr>
        <w:t>顺利通过鉴定，同时在此核心技术基础上自主研发的循环机芯和多功能存取 款一体机，被认定达到世界领先水平。</w:t>
      </w:r>
    </w:p>
    <w:p>
      <w:pPr>
        <w:pStyle w:val="Style35"/>
        <w:keepNext w:val="0"/>
        <w:keepLines w:val="0"/>
        <w:widowControl w:val="0"/>
        <w:shd w:val="clear" w:color="auto" w:fill="auto"/>
        <w:tabs>
          <w:tab w:pos="674" w:val="left"/>
        </w:tabs>
        <w:bidi w:val="0"/>
        <w:spacing w:before="0" w:after="0"/>
        <w:ind w:left="0" w:right="0"/>
        <w:jc w:val="both"/>
      </w:pPr>
      <w:bookmarkStart w:id="83" w:name="bookmark83"/>
      <w:r>
        <w:rPr>
          <w:rFonts w:ascii="Times New Roman" w:eastAsia="Times New Roman" w:hAnsi="Times New Roman" w:cs="Times New Roman"/>
          <w:color w:val="000000"/>
          <w:spacing w:val="0"/>
          <w:w w:val="100"/>
          <w:position w:val="0"/>
        </w:rPr>
        <w:t>4</w:t>
      </w:r>
      <w:bookmarkEnd w:id="83"/>
      <w:r>
        <w:rPr>
          <w:color w:val="000000"/>
          <w:spacing w:val="0"/>
          <w:w w:val="100"/>
          <w:position w:val="0"/>
        </w:rPr>
        <w:t>、</w:t>
        <w:tab/>
        <w:t>资质荣誉</w:t>
      </w:r>
    </w:p>
    <w:p>
      <w:pPr>
        <w:pStyle w:val="Style35"/>
        <w:keepNext w:val="0"/>
        <w:keepLines w:val="0"/>
        <w:widowControl w:val="0"/>
        <w:shd w:val="clear" w:color="auto" w:fill="auto"/>
        <w:bidi w:val="0"/>
        <w:spacing w:before="0" w:line="314" w:lineRule="exact"/>
        <w:ind w:left="0" w:right="0"/>
        <w:jc w:val="both"/>
      </w:pPr>
      <w:r>
        <w:rPr>
          <w:color w:val="000000"/>
          <w:spacing w:val="0"/>
          <w:w w:val="100"/>
          <w:position w:val="0"/>
        </w:rPr>
        <w:t>报告期内，公司荣获</w:t>
      </w:r>
      <w:r>
        <w:rPr>
          <w:rFonts w:ascii="Times New Roman" w:eastAsia="Times New Roman" w:hAnsi="Times New Roman" w:cs="Times New Roman"/>
          <w:color w:val="000000"/>
          <w:spacing w:val="0"/>
          <w:w w:val="100"/>
          <w:position w:val="0"/>
        </w:rPr>
        <w:t>2013</w:t>
      </w:r>
      <w:r>
        <w:rPr>
          <w:color w:val="000000"/>
          <w:spacing w:val="0"/>
          <w:w w:val="100"/>
          <w:position w:val="0"/>
        </w:rPr>
        <w:t>年（第十二届）中国软件业务收入前百家企业（第</w:t>
      </w:r>
      <w:r>
        <w:rPr>
          <w:rFonts w:ascii="Times New Roman" w:eastAsia="Times New Roman" w:hAnsi="Times New Roman" w:cs="Times New Roman"/>
          <w:color w:val="000000"/>
          <w:spacing w:val="0"/>
          <w:w w:val="100"/>
          <w:position w:val="0"/>
        </w:rPr>
        <w:t>54</w:t>
      </w:r>
      <w:r>
        <w:rPr>
          <w:color w:val="000000"/>
          <w:spacing w:val="0"/>
          <w:w w:val="100"/>
          <w:position w:val="0"/>
        </w:rPr>
        <w:t>位）、中小板诚信</w:t>
      </w:r>
      <w:r>
        <w:rPr>
          <w:rFonts w:ascii="Times New Roman" w:eastAsia="Times New Roman" w:hAnsi="Times New Roman" w:cs="Times New Roman"/>
          <w:color w:val="000000"/>
          <w:spacing w:val="0"/>
          <w:w w:val="100"/>
          <w:position w:val="0"/>
        </w:rPr>
        <w:t>50</w:t>
      </w:r>
      <w:r>
        <w:rPr>
          <w:color w:val="000000"/>
          <w:spacing w:val="0"/>
          <w:w w:val="100"/>
          <w:position w:val="0"/>
        </w:rPr>
        <w:t>强、</w:t>
      </w:r>
      <w:r>
        <w:rPr>
          <w:rFonts w:ascii="Times New Roman" w:eastAsia="Times New Roman" w:hAnsi="Times New Roman" w:cs="Times New Roman"/>
          <w:color w:val="000000"/>
          <w:spacing w:val="0"/>
          <w:w w:val="100"/>
          <w:position w:val="0"/>
        </w:rPr>
        <w:t>2013-2014</w:t>
      </w:r>
      <w:r>
        <w:rPr>
          <w:color w:val="000000"/>
          <w:spacing w:val="0"/>
          <w:w w:val="100"/>
          <w:position w:val="0"/>
        </w:rPr>
        <w:t>年国 家规划布局内重点软件企业、广东省战略性新兴产业骨干企业、广东省服务外包重点培育企业、</w:t>
      </w:r>
      <w:r>
        <w:rPr>
          <w:rFonts w:ascii="Times New Roman" w:eastAsia="Times New Roman" w:hAnsi="Times New Roman" w:cs="Times New Roman"/>
          <w:color w:val="000000"/>
          <w:spacing w:val="0"/>
          <w:w w:val="100"/>
          <w:position w:val="0"/>
        </w:rPr>
        <w:t>2013-2014</w:t>
      </w:r>
      <w:r>
        <w:rPr>
          <w:color w:val="000000"/>
          <w:spacing w:val="0"/>
          <w:w w:val="100"/>
          <w:position w:val="0"/>
        </w:rPr>
        <w:t>年度广州市重点 培育和发展的自主国际品牌企业及中国软件创新潜力奖等多项荣誉和资质。</w:t>
      </w:r>
      <w:r>
        <w:rPr>
          <w:rFonts w:ascii="Times New Roman" w:eastAsia="Times New Roman" w:hAnsi="Times New Roman" w:cs="Times New Roman"/>
          <w:color w:val="000000"/>
          <w:spacing w:val="0"/>
          <w:w w:val="100"/>
          <w:position w:val="0"/>
        </w:rPr>
        <w:t>“</w:t>
      </w:r>
      <w:r>
        <w:rPr>
          <w:color w:val="000000"/>
          <w:spacing w:val="0"/>
          <w:w w:val="100"/>
          <w:position w:val="0"/>
        </w:rPr>
        <w:t>纸币清分机管理软件</w:t>
      </w:r>
      <w:r>
        <w:rPr>
          <w:rFonts w:ascii="Times New Roman" w:eastAsia="Times New Roman" w:hAnsi="Times New Roman" w:cs="Times New Roman"/>
          <w:color w:val="000000"/>
          <w:spacing w:val="0"/>
          <w:w w:val="100"/>
          <w:position w:val="0"/>
        </w:rPr>
        <w:t>V1.0”</w:t>
      </w:r>
      <w:r>
        <w:rPr>
          <w:color w:val="000000"/>
          <w:spacing w:val="0"/>
          <w:w w:val="100"/>
          <w:position w:val="0"/>
        </w:rPr>
        <w:t>荣获第十七届中国 国际软件博览会金奖、</w:t>
      </w:r>
      <w:r>
        <w:rPr>
          <w:rFonts w:ascii="Times New Roman" w:eastAsia="Times New Roman" w:hAnsi="Times New Roman" w:cs="Times New Roman"/>
          <w:color w:val="000000"/>
          <w:spacing w:val="0"/>
          <w:w w:val="100"/>
          <w:position w:val="0"/>
        </w:rPr>
        <w:t>“</w:t>
      </w:r>
      <w:r>
        <w:rPr>
          <w:color w:val="000000"/>
          <w:spacing w:val="0"/>
          <w:w w:val="100"/>
          <w:position w:val="0"/>
        </w:rPr>
        <w:t>现金循环自动柜员机</w:t>
      </w:r>
      <w:r>
        <w:rPr>
          <w:rFonts w:ascii="Times New Roman" w:eastAsia="Times New Roman" w:hAnsi="Times New Roman" w:cs="Times New Roman"/>
          <w:color w:val="000000"/>
          <w:spacing w:val="0"/>
          <w:w w:val="100"/>
          <w:position w:val="0"/>
        </w:rPr>
        <w:t>H68N（L）”</w:t>
      </w:r>
      <w:r>
        <w:rPr>
          <w:color w:val="000000"/>
          <w:spacing w:val="0"/>
          <w:w w:val="100"/>
          <w:position w:val="0"/>
        </w:rPr>
        <w:t>荣获</w:t>
      </w:r>
      <w:r>
        <w:rPr>
          <w:rFonts w:ascii="Times New Roman" w:eastAsia="Times New Roman" w:hAnsi="Times New Roman" w:cs="Times New Roman"/>
          <w:color w:val="000000"/>
          <w:spacing w:val="0"/>
          <w:w w:val="100"/>
          <w:position w:val="0"/>
        </w:rPr>
        <w:t xml:space="preserve">2013 </w:t>
      </w:r>
      <w:r>
        <w:rPr>
          <w:rFonts w:ascii="Times New Roman" w:eastAsia="Times New Roman" w:hAnsi="Times New Roman" w:cs="Times New Roman"/>
          <w:color w:val="000000"/>
          <w:spacing w:val="0"/>
          <w:w w:val="100"/>
          <w:position w:val="0"/>
        </w:rPr>
        <w:t>CITE</w:t>
      </w:r>
      <w:r>
        <w:rPr>
          <w:color w:val="000000"/>
          <w:spacing w:val="0"/>
          <w:w w:val="100"/>
          <w:position w:val="0"/>
        </w:rPr>
        <w:t>创新产品与应用奖、</w:t>
      </w:r>
      <w:r>
        <w:rPr>
          <w:rFonts w:ascii="Times New Roman" w:eastAsia="Times New Roman" w:hAnsi="Times New Roman" w:cs="Times New Roman"/>
          <w:color w:val="000000"/>
          <w:spacing w:val="0"/>
          <w:w w:val="100"/>
          <w:position w:val="0"/>
        </w:rPr>
        <w:t>“</w:t>
      </w:r>
      <w:r>
        <w:rPr>
          <w:color w:val="000000"/>
          <w:spacing w:val="0"/>
          <w:w w:val="100"/>
          <w:position w:val="0"/>
        </w:rPr>
        <w:t>远程视频银行解决方案</w:t>
      </w:r>
      <w:r>
        <w:rPr>
          <w:rFonts w:ascii="Times New Roman" w:eastAsia="Times New Roman" w:hAnsi="Times New Roman" w:cs="Times New Roman"/>
          <w:color w:val="000000"/>
          <w:spacing w:val="0"/>
          <w:w w:val="100"/>
          <w:position w:val="0"/>
        </w:rPr>
        <w:t>”</w:t>
      </w:r>
      <w:r>
        <w:rPr>
          <w:color w:val="000000"/>
          <w:spacing w:val="0"/>
          <w:w w:val="100"/>
          <w:position w:val="0"/>
        </w:rPr>
        <w:t>荣获</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年亚太信息通讯科技大奖赛</w:t>
      </w:r>
      <w:r>
        <w:rPr>
          <w:rFonts w:ascii="Times New Roman" w:eastAsia="Times New Roman" w:hAnsi="Times New Roman" w:cs="Times New Roman"/>
          <w:color w:val="000000"/>
          <w:spacing w:val="0"/>
          <w:w w:val="100"/>
          <w:position w:val="0"/>
        </w:rPr>
        <w:t>“</w:t>
      </w:r>
      <w:r>
        <w:rPr>
          <w:color w:val="000000"/>
          <w:spacing w:val="0"/>
          <w:w w:val="100"/>
          <w:position w:val="0"/>
        </w:rPr>
        <w:t>金融行业应用类</w:t>
      </w:r>
      <w:r>
        <w:rPr>
          <w:rFonts w:ascii="Times New Roman" w:eastAsia="Times New Roman" w:hAnsi="Times New Roman" w:cs="Times New Roman"/>
          <w:color w:val="000000"/>
          <w:spacing w:val="0"/>
          <w:w w:val="100"/>
          <w:position w:val="0"/>
        </w:rPr>
        <w:t>”</w:t>
      </w:r>
      <w:r>
        <w:rPr>
          <w:color w:val="000000"/>
          <w:spacing w:val="0"/>
          <w:w w:val="100"/>
          <w:position w:val="0"/>
        </w:rPr>
        <w:t>优胜奖、</w:t>
      </w:r>
      <w:r>
        <w:rPr>
          <w:rFonts w:ascii="Times New Roman" w:eastAsia="Times New Roman" w:hAnsi="Times New Roman" w:cs="Times New Roman"/>
          <w:color w:val="000000"/>
          <w:spacing w:val="0"/>
          <w:w w:val="100"/>
          <w:position w:val="0"/>
        </w:rPr>
        <w:t>“</w:t>
      </w:r>
      <w:r>
        <w:rPr>
          <w:color w:val="000000"/>
          <w:spacing w:val="0"/>
          <w:w w:val="100"/>
          <w:position w:val="0"/>
        </w:rPr>
        <w:t>城市轨道交通售检票系统</w:t>
      </w:r>
      <w:r>
        <w:rPr>
          <w:color w:val="000000"/>
          <w:spacing w:val="0"/>
          <w:w w:val="100"/>
          <w:position w:val="0"/>
        </w:rPr>
        <w:t>（</w:t>
      </w:r>
      <w:r>
        <w:rPr>
          <w:rFonts w:ascii="Times New Roman" w:eastAsia="Times New Roman" w:hAnsi="Times New Roman" w:cs="Times New Roman"/>
          <w:color w:val="000000"/>
          <w:spacing w:val="0"/>
          <w:w w:val="100"/>
          <w:position w:val="0"/>
        </w:rPr>
        <w:t>AFC</w:t>
      </w:r>
      <w:r>
        <w:rPr>
          <w:color w:val="000000"/>
          <w:spacing w:val="0"/>
          <w:w w:val="100"/>
          <w:position w:val="0"/>
        </w:rPr>
        <w:t>）</w:t>
      </w:r>
      <w:r>
        <w:rPr>
          <w:color w:val="000000"/>
          <w:spacing w:val="0"/>
          <w:w w:val="100"/>
          <w:position w:val="0"/>
        </w:rPr>
        <w:t>及设备产业化技术</w:t>
      </w:r>
      <w:r>
        <w:rPr>
          <w:rFonts w:ascii="Times New Roman" w:eastAsia="Times New Roman" w:hAnsi="Times New Roman" w:cs="Times New Roman"/>
          <w:color w:val="000000"/>
          <w:spacing w:val="0"/>
          <w:w w:val="100"/>
          <w:position w:val="0"/>
        </w:rPr>
        <w:t>”</w:t>
      </w:r>
      <w:r>
        <w:rPr>
          <w:color w:val="000000"/>
          <w:spacing w:val="0"/>
          <w:w w:val="100"/>
          <w:position w:val="0"/>
        </w:rPr>
        <w:t>荣获广州市科 技进步二等奖、</w:t>
      </w:r>
      <w:r>
        <w:rPr>
          <w:rFonts w:ascii="Times New Roman" w:eastAsia="Times New Roman" w:hAnsi="Times New Roman" w:cs="Times New Roman"/>
          <w:color w:val="000000"/>
          <w:spacing w:val="0"/>
          <w:w w:val="100"/>
          <w:position w:val="0"/>
        </w:rPr>
        <w:t>“</w:t>
      </w:r>
      <w:r>
        <w:rPr>
          <w:color w:val="000000"/>
          <w:spacing w:val="0"/>
          <w:w w:val="100"/>
          <w:position w:val="0"/>
        </w:rPr>
        <w:t>有价文件识别方法及装置</w:t>
      </w:r>
      <w:r>
        <w:rPr>
          <w:rFonts w:ascii="Times New Roman" w:eastAsia="Times New Roman" w:hAnsi="Times New Roman" w:cs="Times New Roman"/>
          <w:color w:val="000000"/>
          <w:spacing w:val="0"/>
          <w:w w:val="100"/>
          <w:position w:val="0"/>
        </w:rPr>
        <w:t>”</w:t>
      </w:r>
      <w:r>
        <w:rPr>
          <w:color w:val="000000"/>
          <w:spacing w:val="0"/>
          <w:w w:val="100"/>
          <w:position w:val="0"/>
        </w:rPr>
        <w:t>荣获广东省科学技术奖三等奖、</w:t>
      </w:r>
      <w:r>
        <w:rPr>
          <w:rFonts w:ascii="Times New Roman" w:eastAsia="Times New Roman" w:hAnsi="Times New Roman" w:cs="Times New Roman"/>
          <w:color w:val="000000"/>
          <w:spacing w:val="0"/>
          <w:w w:val="100"/>
          <w:position w:val="0"/>
        </w:rPr>
        <w:t>“SECOne</w:t>
      </w:r>
      <w:r>
        <w:rPr>
          <w:color w:val="000000"/>
          <w:spacing w:val="0"/>
          <w:w w:val="100"/>
          <w:position w:val="0"/>
        </w:rPr>
        <w:t>端点安全防护系统</w:t>
      </w:r>
      <w:r>
        <w:rPr>
          <w:rFonts w:ascii="Times New Roman" w:eastAsia="Times New Roman" w:hAnsi="Times New Roman" w:cs="Times New Roman"/>
          <w:color w:val="000000"/>
          <w:spacing w:val="0"/>
          <w:w w:val="100"/>
          <w:position w:val="0"/>
        </w:rPr>
        <w:t>”</w:t>
      </w:r>
      <w:r>
        <w:rPr>
          <w:color w:val="000000"/>
          <w:spacing w:val="0"/>
          <w:w w:val="100"/>
          <w:position w:val="0"/>
        </w:rPr>
        <w:t>被认定为广东省高 新技术产品，公司实力得到进一步显现。</w:t>
      </w:r>
    </w:p>
    <w:p>
      <w:pPr>
        <w:pStyle w:val="Style35"/>
        <w:keepNext w:val="0"/>
        <w:keepLines w:val="0"/>
        <w:widowControl w:val="0"/>
        <w:shd w:val="clear" w:color="auto" w:fill="auto"/>
        <w:bidi w:val="0"/>
        <w:spacing w:before="0" w:after="360" w:line="307" w:lineRule="exact"/>
        <w:ind w:left="0" w:right="0"/>
        <w:jc w:val="both"/>
      </w:pPr>
      <w:r>
        <w:rPr>
          <w:color w:val="000000"/>
          <w:spacing w:val="0"/>
          <w:w w:val="100"/>
          <w:position w:val="0"/>
        </w:rPr>
        <w:t>报告期内，公司经营业绩稳步增长，实现营业总收入</w:t>
      </w:r>
      <w:r>
        <w:rPr>
          <w:rFonts w:ascii="Times New Roman" w:eastAsia="Times New Roman" w:hAnsi="Times New Roman" w:cs="Times New Roman"/>
          <w:color w:val="000000"/>
          <w:spacing w:val="0"/>
          <w:w w:val="100"/>
          <w:position w:val="0"/>
        </w:rPr>
        <w:t>251,589.74</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16.03% </w:t>
      </w:r>
      <w:r>
        <w:rPr>
          <w:color w:val="000000"/>
          <w:spacing w:val="0"/>
          <w:w w:val="100"/>
          <w:position w:val="0"/>
        </w:rPr>
        <w:t>；实现利润总额</w:t>
      </w:r>
      <w:r>
        <w:rPr>
          <w:rFonts w:ascii="Times New Roman" w:eastAsia="Times New Roman" w:hAnsi="Times New Roman" w:cs="Times New Roman"/>
          <w:color w:val="000000"/>
          <w:spacing w:val="0"/>
          <w:w w:val="100"/>
          <w:position w:val="0"/>
        </w:rPr>
        <w:t>77,593.74</w:t>
      </w:r>
      <w:r>
        <w:rPr>
          <w:color w:val="000000"/>
          <w:spacing w:val="0"/>
          <w:w w:val="100"/>
          <w:position w:val="0"/>
        </w:rPr>
        <w:t>万元， 同比增长</w:t>
      </w:r>
      <w:r>
        <w:rPr>
          <w:rFonts w:ascii="Times New Roman" w:eastAsia="Times New Roman" w:hAnsi="Times New Roman" w:cs="Times New Roman"/>
          <w:color w:val="000000"/>
          <w:spacing w:val="0"/>
          <w:w w:val="100"/>
          <w:position w:val="0"/>
        </w:rPr>
        <w:t>19.82%</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70,507.64</w:t>
      </w:r>
      <w:r>
        <w:rPr>
          <w:color w:val="000000"/>
          <w:spacing w:val="0"/>
          <w:w w:val="100"/>
          <w:position w:val="0"/>
        </w:rPr>
        <w:t>万元，同比增长</w:t>
      </w:r>
      <w:r>
        <w:rPr>
          <w:rFonts w:ascii="Times New Roman" w:eastAsia="Times New Roman" w:hAnsi="Times New Roman" w:cs="Times New Roman"/>
          <w:color w:val="000000"/>
          <w:spacing w:val="0"/>
          <w:w w:val="100"/>
          <w:position w:val="0"/>
        </w:rPr>
        <w:t>21.85%</w:t>
      </w:r>
      <w:r>
        <w:rPr>
          <w:color w:val="000000"/>
          <w:spacing w:val="0"/>
          <w:w w:val="100"/>
          <w:position w:val="0"/>
        </w:rPr>
        <w:t>。</w:t>
      </w:r>
    </w:p>
    <w:p>
      <w:pPr>
        <w:pStyle w:val="Style31"/>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、主营业务分析</w:t>
      </w:r>
      <w:bookmarkEnd w:id="84"/>
      <w:bookmarkEnd w:id="85"/>
      <w:bookmarkEnd w:id="87"/>
    </w:p>
    <w:p>
      <w:pPr>
        <w:pStyle w:val="Style44"/>
        <w:keepNext/>
        <w:keepLines/>
        <w:widowControl w:val="0"/>
        <w:shd w:val="clear" w:color="auto" w:fill="auto"/>
        <w:bidi w:val="0"/>
        <w:spacing w:before="0" w:after="26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35"/>
        <w:keepNext w:val="0"/>
        <w:keepLines w:val="0"/>
        <w:widowControl w:val="0"/>
        <w:shd w:val="clear" w:color="auto" w:fill="auto"/>
        <w:bidi w:val="0"/>
        <w:spacing w:before="0" w:line="312" w:lineRule="exact"/>
        <w:ind w:left="0" w:right="0"/>
        <w:jc w:val="left"/>
      </w:pPr>
      <w:r>
        <w:rPr>
          <w:color w:val="000000"/>
          <w:spacing w:val="0"/>
          <w:w w:val="100"/>
          <w:position w:val="0"/>
        </w:rPr>
        <w:t>公司经营范围：研制、生产、销售电子计算机设备、货币类自助设备、税务应用设备。电子计算机系统集成及技术服务。 电子计算机软件开发。本企业生产产品的技术咨询和售后服务。货物和技术进出口（国家限定经营或禁止进出口的商品和技 术除外）。对自动柜员机提供日常维修与管理服务。对现金及有价证券提供清分处理服务。</w:t>
      </w:r>
    </w:p>
    <w:p>
      <w:pPr>
        <w:pStyle w:val="Style35"/>
        <w:keepNext w:val="0"/>
        <w:keepLines w:val="0"/>
        <w:widowControl w:val="0"/>
        <w:shd w:val="clear" w:color="auto" w:fill="auto"/>
        <w:bidi w:val="0"/>
        <w:spacing w:before="0" w:after="200" w:line="311" w:lineRule="exact"/>
        <w:ind w:left="0" w:right="0"/>
        <w:jc w:val="left"/>
      </w:pPr>
      <w:r>
        <w:rPr>
          <w:color w:val="000000"/>
          <w:spacing w:val="0"/>
          <w:w w:val="100"/>
          <w:position w:val="0"/>
        </w:rPr>
        <w:t>公司主营业务是货币自动处理设备的生产、销售以及</w:t>
      </w:r>
      <w:r>
        <w:rPr>
          <w:rFonts w:ascii="Times New Roman" w:eastAsia="Times New Roman" w:hAnsi="Times New Roman" w:cs="Times New Roman"/>
          <w:color w:val="000000"/>
          <w:spacing w:val="0"/>
          <w:w w:val="100"/>
          <w:position w:val="0"/>
        </w:rPr>
        <w:t>ATM</w:t>
      </w:r>
      <w:r>
        <w:rPr>
          <w:color w:val="000000"/>
          <w:spacing w:val="0"/>
          <w:w w:val="100"/>
          <w:position w:val="0"/>
        </w:rPr>
        <w:t>营运业务和为相关设备提供服务业务。</w:t>
      </w:r>
      <w:r>
        <w:rPr>
          <w:rFonts w:ascii="Times New Roman" w:eastAsia="Times New Roman" w:hAnsi="Times New Roman" w:cs="Times New Roman"/>
          <w:color w:val="000000"/>
          <w:spacing w:val="0"/>
          <w:w w:val="100"/>
          <w:position w:val="0"/>
        </w:rPr>
        <w:t>2013</w:t>
      </w:r>
      <w:r>
        <w:rPr>
          <w:color w:val="000000"/>
          <w:spacing w:val="0"/>
          <w:w w:val="100"/>
          <w:position w:val="0"/>
        </w:rPr>
        <w:t>年，在传统银行 业不断转型升级、互联网金融创新变革的发展进程中，国内的</w:t>
      </w:r>
      <w:r>
        <w:rPr>
          <w:rFonts w:ascii="Times New Roman" w:eastAsia="Times New Roman" w:hAnsi="Times New Roman" w:cs="Times New Roman"/>
          <w:color w:val="000000"/>
          <w:spacing w:val="0"/>
          <w:w w:val="100"/>
          <w:position w:val="0"/>
        </w:rPr>
        <w:t>ATM</w:t>
      </w:r>
      <w:r>
        <w:rPr>
          <w:color w:val="000000"/>
          <w:spacing w:val="0"/>
          <w:w w:val="100"/>
          <w:position w:val="0"/>
        </w:rPr>
        <w:t>设备市场继续保持了近几年来一贯的繁荣态势，中国已 成为全球最大</w:t>
      </w:r>
      <w:r>
        <w:rPr>
          <w:rFonts w:ascii="Times New Roman" w:eastAsia="Times New Roman" w:hAnsi="Times New Roman" w:cs="Times New Roman"/>
          <w:color w:val="000000"/>
          <w:spacing w:val="0"/>
          <w:w w:val="100"/>
          <w:position w:val="0"/>
        </w:rPr>
        <w:t>ATM</w:t>
      </w:r>
      <w:r>
        <w:rPr>
          <w:color w:val="000000"/>
          <w:spacing w:val="0"/>
          <w:w w:val="100"/>
          <w:position w:val="0"/>
        </w:rPr>
        <w:t>市场。报告期内，公司国内</w:t>
      </w:r>
      <w:r>
        <w:rPr>
          <w:rFonts w:ascii="Times New Roman" w:eastAsia="Times New Roman" w:hAnsi="Times New Roman" w:cs="Times New Roman"/>
          <w:color w:val="000000"/>
          <w:spacing w:val="0"/>
          <w:w w:val="100"/>
          <w:position w:val="0"/>
        </w:rPr>
        <w:t>ATM</w:t>
      </w:r>
      <w:r>
        <w:rPr>
          <w:color w:val="000000"/>
          <w:spacing w:val="0"/>
          <w:w w:val="100"/>
          <w:position w:val="0"/>
        </w:rPr>
        <w:t>设备年度销量连续六年位居中国</w:t>
      </w:r>
      <w:r>
        <w:rPr>
          <w:rFonts w:ascii="Times New Roman" w:eastAsia="Times New Roman" w:hAnsi="Times New Roman" w:cs="Times New Roman"/>
          <w:color w:val="000000"/>
          <w:spacing w:val="0"/>
          <w:w w:val="100"/>
          <w:position w:val="0"/>
        </w:rPr>
        <w:t>ATM</w:t>
      </w:r>
      <w:r>
        <w:rPr>
          <w:color w:val="000000"/>
          <w:spacing w:val="0"/>
          <w:w w:val="100"/>
          <w:position w:val="0"/>
        </w:rPr>
        <w:t>市场销量第一名，自主循环核心技 术优势对市场格局的影响向纵深发展，海外市场也实现恢复性增长；</w:t>
      </w:r>
      <w:r>
        <w:rPr>
          <w:rFonts w:ascii="Times New Roman" w:eastAsia="Times New Roman" w:hAnsi="Times New Roman" w:cs="Times New Roman"/>
          <w:color w:val="000000"/>
          <w:spacing w:val="0"/>
          <w:w w:val="100"/>
          <w:position w:val="0"/>
        </w:rPr>
        <w:t>AFC</w:t>
      </w:r>
      <w:r>
        <w:rPr>
          <w:color w:val="000000"/>
          <w:spacing w:val="0"/>
          <w:w w:val="100"/>
          <w:position w:val="0"/>
        </w:rPr>
        <w:t>市场地位得到巩固和深化，继续领跑国内轨道交通 自助服务终端设备市场；同步应用了冠字号码记录和跟踪技术，公司在清分设备领域提供基于物联网的现金智能管理系统， 迅速帮助银行提升</w:t>
      </w:r>
      <w:r>
        <w:rPr>
          <w:rFonts w:ascii="Times New Roman" w:eastAsia="Times New Roman" w:hAnsi="Times New Roman" w:cs="Times New Roman"/>
          <w:color w:val="000000"/>
          <w:spacing w:val="0"/>
          <w:w w:val="100"/>
          <w:position w:val="0"/>
        </w:rPr>
        <w:t>ATM</w:t>
      </w:r>
      <w:r>
        <w:rPr>
          <w:color w:val="000000"/>
          <w:spacing w:val="0"/>
          <w:w w:val="100"/>
          <w:position w:val="0"/>
        </w:rPr>
        <w:t>及现金使用效率，清分机作为新产品初显市场效果与规模；在更趋市场化、个性定制化及注重用户 体验具有</w:t>
      </w:r>
      <w:r>
        <w:rPr>
          <w:rFonts w:ascii="Times New Roman" w:eastAsia="Times New Roman" w:hAnsi="Times New Roman" w:cs="Times New Roman"/>
          <w:color w:val="000000"/>
          <w:spacing w:val="0"/>
          <w:w w:val="100"/>
          <w:position w:val="0"/>
        </w:rPr>
        <w:t>24</w:t>
      </w:r>
      <w:r>
        <w:rPr>
          <w:color w:val="000000"/>
          <w:spacing w:val="0"/>
          <w:w w:val="100"/>
          <w:position w:val="0"/>
        </w:rPr>
        <w:t>小时全方位金融服务功能的远程智慧银行（</w:t>
      </w:r>
      <w:r>
        <w:rPr>
          <w:rFonts w:ascii="Times New Roman" w:eastAsia="Times New Roman" w:hAnsi="Times New Roman" w:cs="Times New Roman"/>
          <w:color w:val="000000"/>
          <w:spacing w:val="0"/>
          <w:w w:val="100"/>
          <w:position w:val="0"/>
        </w:rPr>
        <w:t>VTM</w:t>
      </w:r>
      <w:r>
        <w:rPr>
          <w:color w:val="000000"/>
          <w:spacing w:val="0"/>
          <w:w w:val="100"/>
          <w:position w:val="0"/>
        </w:rPr>
        <w:t>）市场，公司的</w:t>
      </w:r>
      <w:r>
        <w:rPr>
          <w:rFonts w:ascii="Times New Roman" w:eastAsia="Times New Roman" w:hAnsi="Times New Roman" w:cs="Times New Roman"/>
          <w:color w:val="000000"/>
          <w:spacing w:val="0"/>
          <w:w w:val="100"/>
          <w:position w:val="0"/>
        </w:rPr>
        <w:t>VTM</w:t>
      </w:r>
      <w:r>
        <w:rPr>
          <w:color w:val="000000"/>
          <w:spacing w:val="0"/>
          <w:w w:val="100"/>
          <w:position w:val="0"/>
        </w:rPr>
        <w:t xml:space="preserve">设备已实现了包括交通银行、广发银行在 </w:t>
      </w:r>
      <w:r>
        <w:rPr>
          <w:color w:val="000000"/>
          <w:spacing w:val="0"/>
          <w:w w:val="100"/>
          <w:position w:val="0"/>
        </w:rPr>
        <w:t>内的多家银行的全国批量铺设，目前</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color w:val="000000"/>
          <w:spacing w:val="0"/>
          <w:w w:val="100"/>
          <w:position w:val="0"/>
        </w:rPr>
        <w:t>TM</w:t>
      </w:r>
      <w:r>
        <w:rPr>
          <w:color w:val="000000"/>
          <w:spacing w:val="0"/>
          <w:w w:val="100"/>
          <w:position w:val="0"/>
        </w:rPr>
        <w:t>市场占有率超过</w:t>
      </w:r>
      <w:r>
        <w:rPr>
          <w:rFonts w:ascii="Times New Roman" w:eastAsia="Times New Roman" w:hAnsi="Times New Roman" w:cs="Times New Roman"/>
          <w:color w:val="000000"/>
          <w:spacing w:val="0"/>
          <w:w w:val="100"/>
          <w:position w:val="0"/>
        </w:rPr>
        <w:t>50%</w:t>
      </w:r>
      <w:r>
        <w:rPr>
          <w:color w:val="000000"/>
          <w:spacing w:val="0"/>
          <w:w w:val="100"/>
          <w:position w:val="0"/>
        </w:rPr>
        <w:t>；旗下的金融外包服务商广州穗通，利用现代化技术与手段 承接和整合银行传统业务，打造了业内多项标杆，其业务不断取得突破性进展，金融外包服务业务市场发展趋势良好；在总 体向好的大环境下，公司整体经营状况保持稳健发展态势，业绩持续提升。</w:t>
      </w:r>
      <w:r>
        <w:rPr>
          <w:rFonts w:ascii="Times New Roman" w:eastAsia="Times New Roman" w:hAnsi="Times New Roman" w:cs="Times New Roman"/>
          <w:color w:val="000000"/>
          <w:spacing w:val="0"/>
          <w:w w:val="100"/>
          <w:position w:val="0"/>
        </w:rPr>
        <w:t>2013</w:t>
      </w:r>
      <w:r>
        <w:rPr>
          <w:color w:val="000000"/>
          <w:spacing w:val="0"/>
          <w:w w:val="100"/>
          <w:position w:val="0"/>
        </w:rPr>
        <w:t>年，公司实现营业总收入</w:t>
      </w:r>
      <w:r>
        <w:rPr>
          <w:rFonts w:ascii="Times New Roman" w:eastAsia="Times New Roman" w:hAnsi="Times New Roman" w:cs="Times New Roman"/>
          <w:color w:val="000000"/>
          <w:spacing w:val="0"/>
          <w:w w:val="100"/>
          <w:position w:val="0"/>
        </w:rPr>
        <w:t>251,589.74</w:t>
      </w:r>
      <w:r>
        <w:rPr>
          <w:color w:val="000000"/>
          <w:spacing w:val="0"/>
          <w:w w:val="100"/>
          <w:position w:val="0"/>
        </w:rPr>
        <w:t>万元， 同比增长</w:t>
      </w:r>
      <w:r>
        <w:rPr>
          <w:rFonts w:ascii="Times New Roman" w:eastAsia="Times New Roman" w:hAnsi="Times New Roman" w:cs="Times New Roman"/>
          <w:color w:val="000000"/>
          <w:spacing w:val="0"/>
          <w:w w:val="100"/>
          <w:position w:val="0"/>
        </w:rPr>
        <w:t>16.03%</w:t>
      </w:r>
      <w:r>
        <w:rPr>
          <w:color w:val="000000"/>
          <w:spacing w:val="0"/>
          <w:w w:val="100"/>
          <w:position w:val="0"/>
        </w:rPr>
        <w:t>,其中高端制造业实现收入</w:t>
      </w:r>
      <w:r>
        <w:rPr>
          <w:rFonts w:ascii="Times New Roman" w:eastAsia="Times New Roman" w:hAnsi="Times New Roman" w:cs="Times New Roman"/>
          <w:color w:val="000000"/>
          <w:spacing w:val="0"/>
          <w:w w:val="100"/>
          <w:position w:val="0"/>
        </w:rPr>
        <w:t>215,816.6</w:t>
      </w:r>
      <w:r>
        <w:rPr>
          <w:rFonts w:ascii="Times New Roman" w:eastAsia="Times New Roman" w:hAnsi="Times New Roman" w:cs="Times New Roman"/>
          <w:color w:val="000000"/>
          <w:spacing w:val="0"/>
          <w:w w:val="100"/>
          <w:position w:val="0"/>
        </w:rPr>
        <w:t>2</w:t>
      </w:r>
      <w:r>
        <w:rPr>
          <w:color w:val="000000"/>
          <w:spacing w:val="0"/>
          <w:w w:val="100"/>
          <w:position w:val="0"/>
        </w:rPr>
        <w:t>万元，高端服务业实现收入</w:t>
      </w:r>
      <w:r>
        <w:rPr>
          <w:rFonts w:ascii="Times New Roman" w:eastAsia="Times New Roman" w:hAnsi="Times New Roman" w:cs="Times New Roman"/>
          <w:color w:val="000000"/>
          <w:spacing w:val="0"/>
          <w:w w:val="100"/>
          <w:position w:val="0"/>
        </w:rPr>
        <w:t>35,773.12</w:t>
      </w:r>
      <w:r>
        <w:rPr>
          <w:color w:val="000000"/>
          <w:spacing w:val="0"/>
          <w:w w:val="100"/>
          <w:position w:val="0"/>
        </w:rPr>
        <w:t>万元；实现利润总额</w:t>
      </w:r>
      <w:r>
        <w:rPr>
          <w:rFonts w:ascii="Times New Roman" w:eastAsia="Times New Roman" w:hAnsi="Times New Roman" w:cs="Times New Roman"/>
          <w:color w:val="000000"/>
          <w:spacing w:val="0"/>
          <w:w w:val="100"/>
          <w:position w:val="0"/>
        </w:rPr>
        <w:t>77,593.74</w:t>
      </w:r>
      <w:r>
        <w:rPr>
          <w:color w:val="000000"/>
          <w:spacing w:val="0"/>
          <w:w w:val="100"/>
          <w:position w:val="0"/>
        </w:rPr>
        <w:t>万 元，同比增长</w:t>
      </w:r>
      <w:r>
        <w:rPr>
          <w:rFonts w:ascii="Times New Roman" w:eastAsia="Times New Roman" w:hAnsi="Times New Roman" w:cs="Times New Roman"/>
          <w:color w:val="000000"/>
          <w:spacing w:val="0"/>
          <w:w w:val="100"/>
          <w:position w:val="0"/>
        </w:rPr>
        <w:t>19.82%</w:t>
      </w:r>
      <w:r>
        <w:rPr>
          <w:color w:val="000000"/>
          <w:spacing w:val="0"/>
          <w:w w:val="100"/>
          <w:position w:val="0"/>
        </w:rPr>
        <w:t>；公司被认定为</w:t>
      </w:r>
      <w:r>
        <w:rPr>
          <w:color w:val="000000"/>
          <w:spacing w:val="0"/>
          <w:w w:val="100"/>
          <w:position w:val="0"/>
        </w:rPr>
        <w:t>“</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w:t>
      </w:r>
      <w:r>
        <w:rPr>
          <w:rFonts w:ascii="Times New Roman" w:eastAsia="Times New Roman" w:hAnsi="Times New Roman" w:cs="Times New Roman"/>
          <w:color w:val="000000"/>
          <w:spacing w:val="0"/>
          <w:w w:val="100"/>
          <w:position w:val="0"/>
        </w:rPr>
        <w:t>2013</w:t>
      </w:r>
      <w:r>
        <w:rPr>
          <w:color w:val="000000"/>
          <w:spacing w:val="0"/>
          <w:w w:val="100"/>
          <w:position w:val="0"/>
        </w:rPr>
        <w:t>年享受减按</w:t>
      </w:r>
      <w:r>
        <w:rPr>
          <w:rFonts w:ascii="Times New Roman" w:eastAsia="Times New Roman" w:hAnsi="Times New Roman" w:cs="Times New Roman"/>
          <w:color w:val="000000"/>
          <w:spacing w:val="0"/>
          <w:w w:val="100"/>
          <w:position w:val="0"/>
        </w:rPr>
        <w:t>10%</w:t>
      </w:r>
      <w:r>
        <w:rPr>
          <w:color w:val="000000"/>
          <w:spacing w:val="0"/>
          <w:w w:val="100"/>
          <w:position w:val="0"/>
        </w:rPr>
        <w:t>的税率缴纳企业 所得税，实现归属于上市公司股东的净利润</w:t>
      </w:r>
      <w:r>
        <w:rPr>
          <w:rFonts w:ascii="Times New Roman" w:eastAsia="Times New Roman" w:hAnsi="Times New Roman" w:cs="Times New Roman"/>
          <w:color w:val="000000"/>
          <w:spacing w:val="0"/>
          <w:w w:val="100"/>
          <w:position w:val="0"/>
        </w:rPr>
        <w:t>70,507.64</w:t>
      </w:r>
      <w:r>
        <w:rPr>
          <w:color w:val="000000"/>
          <w:spacing w:val="0"/>
          <w:w w:val="100"/>
          <w:position w:val="0"/>
        </w:rPr>
        <w:t>万元，同比增长</w:t>
      </w:r>
      <w:r>
        <w:rPr>
          <w:rFonts w:ascii="Times New Roman" w:eastAsia="Times New Roman" w:hAnsi="Times New Roman" w:cs="Times New Roman"/>
          <w:color w:val="000000"/>
          <w:spacing w:val="0"/>
          <w:w w:val="100"/>
          <w:position w:val="0"/>
        </w:rPr>
        <w:t>21.85%</w:t>
      </w:r>
      <w:r>
        <w:rPr>
          <w:color w:val="000000"/>
          <w:spacing w:val="0"/>
          <w:w w:val="100"/>
          <w:position w:val="0"/>
        </w:rPr>
        <w:t>。</w:t>
      </w:r>
    </w:p>
    <w:p>
      <w:pPr>
        <w:pStyle w:val="Style44"/>
        <w:keepNext/>
        <w:keepLines/>
        <w:widowControl w:val="0"/>
        <w:shd w:val="clear" w:color="auto" w:fill="auto"/>
        <w:bidi w:val="0"/>
        <w:spacing w:before="0" w:after="100" w:line="240" w:lineRule="auto"/>
        <w:ind w:left="0" w:right="0" w:firstLine="0"/>
        <w:jc w:val="left"/>
      </w:pPr>
      <w:bookmarkStart w:id="92" w:name="bookmark92"/>
      <w:bookmarkStart w:id="93" w:name="bookmark93"/>
      <w:bookmarkStart w:id="94" w:name="bookmark94"/>
      <w:r>
        <w:rPr>
          <w:color w:val="000000"/>
          <w:spacing w:val="0"/>
          <w:w w:val="100"/>
          <w:position w:val="0"/>
        </w:rPr>
        <w:t>公司回顾总结前期披露的发展战略和经营计划在报告期内的进展情况</w:t>
      </w:r>
      <w:bookmarkEnd w:id="92"/>
      <w:bookmarkEnd w:id="93"/>
      <w:bookmarkEnd w:id="94"/>
    </w:p>
    <w:p>
      <w:pPr>
        <w:pStyle w:val="Style35"/>
        <w:keepNext w:val="0"/>
        <w:keepLines w:val="0"/>
        <w:widowControl w:val="0"/>
        <w:shd w:val="clear" w:color="auto" w:fill="auto"/>
        <w:bidi w:val="0"/>
        <w:spacing w:before="0" w:after="140" w:line="331"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年度公司严格实施了</w:t>
      </w:r>
      <w:r>
        <w:rPr>
          <w:rFonts w:ascii="Times New Roman" w:eastAsia="Times New Roman" w:hAnsi="Times New Roman" w:cs="Times New Roman"/>
          <w:color w:val="000000"/>
          <w:spacing w:val="0"/>
          <w:w w:val="100"/>
          <w:position w:val="0"/>
        </w:rPr>
        <w:t>2012</w:t>
      </w:r>
      <w:r>
        <w:rPr>
          <w:color w:val="000000"/>
          <w:spacing w:val="0"/>
          <w:w w:val="100"/>
          <w:position w:val="0"/>
        </w:rPr>
        <w:t>年度报告中披露的发展战略和经营计划，根据年初制定的</w:t>
      </w:r>
      <w:r>
        <w:rPr>
          <w:rFonts w:ascii="Times New Roman" w:eastAsia="Times New Roman" w:hAnsi="Times New Roman" w:cs="Times New Roman"/>
          <w:color w:val="000000"/>
          <w:spacing w:val="0"/>
          <w:w w:val="100"/>
          <w:position w:val="0"/>
        </w:rPr>
        <w:t>2013</w:t>
      </w:r>
      <w:r>
        <w:rPr>
          <w:color w:val="000000"/>
          <w:spacing w:val="0"/>
          <w:w w:val="100"/>
          <w:position w:val="0"/>
        </w:rPr>
        <w:t>年公司经营目标，结合市场 实际情况开展工作，公司整体经营状况保持稳健快速发展态势。</w:t>
      </w:r>
    </w:p>
    <w:p>
      <w:pPr>
        <w:pStyle w:val="Style35"/>
        <w:keepNext w:val="0"/>
        <w:keepLines w:val="0"/>
        <w:widowControl w:val="0"/>
        <w:shd w:val="clear" w:color="auto" w:fill="auto"/>
        <w:bidi w:val="0"/>
        <w:spacing w:before="0" w:after="200" w:line="315" w:lineRule="exact"/>
        <w:ind w:left="0" w:right="0" w:firstLine="480"/>
        <w:jc w:val="both"/>
      </w:pPr>
      <w:r>
        <w:rPr>
          <w:color w:val="000000"/>
          <w:spacing w:val="0"/>
          <w:w w:val="100"/>
          <w:position w:val="0"/>
        </w:rPr>
        <w:t>国内</w:t>
      </w:r>
      <w:r>
        <w:rPr>
          <w:rFonts w:ascii="Times New Roman" w:eastAsia="Times New Roman" w:hAnsi="Times New Roman" w:cs="Times New Roman"/>
          <w:color w:val="000000"/>
          <w:spacing w:val="0"/>
          <w:w w:val="100"/>
          <w:position w:val="0"/>
        </w:rPr>
        <w:t>ATM</w:t>
      </w:r>
      <w:r>
        <w:rPr>
          <w:color w:val="000000"/>
          <w:spacing w:val="0"/>
          <w:w w:val="100"/>
          <w:position w:val="0"/>
        </w:rPr>
        <w:t>传统业务的市场份额得到巩固和提升，国内市场</w:t>
      </w:r>
      <w:r>
        <w:rPr>
          <w:rFonts w:ascii="Times New Roman" w:eastAsia="Times New Roman" w:hAnsi="Times New Roman" w:cs="Times New Roman"/>
          <w:color w:val="000000"/>
          <w:spacing w:val="0"/>
          <w:w w:val="100"/>
          <w:position w:val="0"/>
        </w:rPr>
        <w:t>ATM</w:t>
      </w:r>
      <w:r>
        <w:rPr>
          <w:color w:val="000000"/>
          <w:spacing w:val="0"/>
          <w:w w:val="100"/>
          <w:position w:val="0"/>
        </w:rPr>
        <w:t>销售再创新高，核心技术模块国产化加速，拥有自主出 钞机芯、自主循环机芯的</w:t>
      </w:r>
      <w:r>
        <w:rPr>
          <w:rFonts w:ascii="Times New Roman" w:eastAsia="Times New Roman" w:hAnsi="Times New Roman" w:cs="Times New Roman"/>
          <w:color w:val="000000"/>
          <w:spacing w:val="0"/>
          <w:w w:val="100"/>
          <w:position w:val="0"/>
        </w:rPr>
        <w:t>N</w:t>
      </w:r>
      <w:r>
        <w:rPr>
          <w:color w:val="000000"/>
          <w:spacing w:val="0"/>
          <w:w w:val="100"/>
          <w:position w:val="0"/>
        </w:rPr>
        <w:t>系列产品实现市场的全面切换，促进了对客户持续经营能力的提升及销售目标的突破；</w:t>
      </w:r>
      <w:r>
        <w:rPr>
          <w:rFonts w:ascii="Times New Roman" w:eastAsia="Times New Roman" w:hAnsi="Times New Roman" w:cs="Times New Roman"/>
          <w:color w:val="000000"/>
          <w:spacing w:val="0"/>
          <w:w w:val="100"/>
          <w:position w:val="0"/>
        </w:rPr>
        <w:t>VTM</w:t>
      </w:r>
      <w:r>
        <w:rPr>
          <w:color w:val="000000"/>
          <w:spacing w:val="0"/>
          <w:w w:val="100"/>
          <w:position w:val="0"/>
        </w:rPr>
        <w:t>、</w:t>
      </w:r>
      <w:r>
        <w:rPr>
          <w:color w:val="000000"/>
          <w:spacing w:val="0"/>
          <w:w w:val="100"/>
          <w:position w:val="0"/>
        </w:rPr>
        <w:t>清 分机等新产品市场拓展成效显著，为公司带来了新的利润增长点；</w:t>
      </w:r>
      <w:r>
        <w:rPr>
          <w:rFonts w:ascii="Times New Roman" w:eastAsia="Times New Roman" w:hAnsi="Times New Roman" w:cs="Times New Roman"/>
          <w:color w:val="000000"/>
          <w:spacing w:val="0"/>
          <w:w w:val="100"/>
          <w:position w:val="0"/>
        </w:rPr>
        <w:t>AFC</w:t>
      </w:r>
      <w:r>
        <w:rPr>
          <w:color w:val="000000"/>
          <w:spacing w:val="0"/>
          <w:w w:val="100"/>
          <w:position w:val="0"/>
        </w:rPr>
        <w:t>模块产品的推广力度加大，基本奠定了以纸币识别、 找零、票卡三大核心模块为主的销售格局，尤其在高铁市场形成垄断核心模块的局面，核心竞争力进一步提高；随着公司销 售量的增加及深圳银通服务规模的增大，设备维护收入比去年同期大幅增长，全外包服务业务进程加快，逐渐步入高增长阶 段；海外市场销售呈现恢复性增长。</w:t>
      </w:r>
    </w:p>
    <w:p>
      <w:pPr>
        <w:pStyle w:val="Style44"/>
        <w:keepNext/>
        <w:keepLines/>
        <w:widowControl w:val="0"/>
        <w:shd w:val="clear" w:color="auto" w:fill="auto"/>
        <w:bidi w:val="0"/>
        <w:spacing w:before="0" w:after="100" w:line="240" w:lineRule="auto"/>
        <w:ind w:left="0" w:right="0" w:firstLine="0"/>
        <w:jc w:val="left"/>
      </w:pPr>
      <w:bookmarkStart w:id="95" w:name="bookmark95"/>
      <w:bookmarkStart w:id="96" w:name="bookmark96"/>
      <w:bookmarkStart w:id="97" w:name="bookmark97"/>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bookmarkEnd w:id="95"/>
      <w:bookmarkEnd w:id="96"/>
      <w:bookmarkEnd w:id="97"/>
    </w:p>
    <w:p>
      <w:pPr>
        <w:pStyle w:val="Style35"/>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适用V不适用</w:t>
      </w:r>
    </w:p>
    <w:p>
      <w:pPr>
        <w:pStyle w:val="Style44"/>
        <w:keepNext/>
        <w:keepLines/>
        <w:widowControl w:val="0"/>
        <w:shd w:val="clear" w:color="auto" w:fill="auto"/>
        <w:bidi w:val="0"/>
        <w:spacing w:before="0" w:after="28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w:t>
      </w:r>
      <w:bookmarkEnd w:id="101"/>
      <w:bookmarkEnd w:id="98"/>
      <w:bookmarkEnd w:id="99"/>
    </w:p>
    <w:p>
      <w:pPr>
        <w:pStyle w:val="Style35"/>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w:t>
      </w:r>
    </w:p>
    <w:p>
      <w:pPr>
        <w:pStyle w:val="Style35"/>
        <w:keepNext w:val="0"/>
        <w:keepLines w:val="0"/>
        <w:widowControl w:val="0"/>
        <w:shd w:val="clear" w:color="auto" w:fill="auto"/>
        <w:bidi w:val="0"/>
        <w:spacing w:before="0" w:after="100" w:line="311" w:lineRule="exact"/>
        <w:ind w:left="0" w:right="0" w:firstLine="480"/>
        <w:jc w:val="left"/>
      </w:pPr>
      <w:r>
        <w:rPr>
          <w:color w:val="000000"/>
          <w:spacing w:val="0"/>
          <w:w w:val="100"/>
          <w:position w:val="0"/>
        </w:rPr>
        <w:t>报告期内，在国内经济增速放缓、部分大行采购量缩减和竞争持续加剧的形势下，公司营业收入仍保持稳健增长态势。 国内</w:t>
      </w:r>
      <w:r>
        <w:rPr>
          <w:rFonts w:ascii="Times New Roman" w:eastAsia="Times New Roman" w:hAnsi="Times New Roman" w:cs="Times New Roman"/>
          <w:color w:val="000000"/>
          <w:spacing w:val="0"/>
          <w:w w:val="100"/>
          <w:position w:val="0"/>
        </w:rPr>
        <w:t>ATM</w:t>
      </w:r>
      <w:r>
        <w:rPr>
          <w:color w:val="000000"/>
          <w:spacing w:val="0"/>
          <w:w w:val="100"/>
          <w:position w:val="0"/>
        </w:rPr>
        <w:t>市场地位稳固，首次获得存取款一体机中国邮政集团公司统购订单，市场占有率有效提升；海外市场实现恢复性 增长；</w:t>
      </w:r>
      <w:r>
        <w:rPr>
          <w:rFonts w:ascii="Times New Roman" w:eastAsia="Times New Roman" w:hAnsi="Times New Roman" w:cs="Times New Roman"/>
          <w:color w:val="000000"/>
          <w:spacing w:val="0"/>
          <w:w w:val="100"/>
          <w:position w:val="0"/>
        </w:rPr>
        <w:t>AFC</w:t>
      </w:r>
      <w:r>
        <w:rPr>
          <w:color w:val="000000"/>
          <w:spacing w:val="0"/>
          <w:w w:val="100"/>
          <w:position w:val="0"/>
        </w:rPr>
        <w:t>整机设备在国内轨道交通市场上继续保持优势地位；国内首创的远程视频柜员机（</w:t>
      </w:r>
      <w:r>
        <w:rPr>
          <w:rFonts w:ascii="Times New Roman" w:eastAsia="Times New Roman" w:hAnsi="Times New Roman" w:cs="Times New Roman"/>
          <w:color w:val="000000"/>
          <w:spacing w:val="0"/>
          <w:w w:val="100"/>
          <w:position w:val="0"/>
        </w:rPr>
        <w:t>VTM</w:t>
      </w:r>
      <w:r>
        <w:rPr>
          <w:color w:val="000000"/>
          <w:spacing w:val="0"/>
          <w:w w:val="100"/>
          <w:position w:val="0"/>
        </w:rPr>
        <w:t>）赢得市场先机，在广 发、交行实现批量销售，并成功入围工行、建行等市场；公司自主研发的“高速钞票识别与处理技术”通过鉴定被认定达到 世界领先水平，循环机芯核心技术能力持续增强；不断拓展和布局金融高端服务领域，全外包金融服务业务全面铺开；新产 品清分机业务初显规模。</w:t>
      </w:r>
      <w:r>
        <w:rPr>
          <w:rFonts w:ascii="Times New Roman" w:eastAsia="Times New Roman" w:hAnsi="Times New Roman" w:cs="Times New Roman"/>
          <w:color w:val="000000"/>
          <w:spacing w:val="0"/>
          <w:w w:val="100"/>
          <w:position w:val="0"/>
        </w:rPr>
        <w:t>2013</w:t>
      </w:r>
      <w:r>
        <w:rPr>
          <w:color w:val="000000"/>
          <w:spacing w:val="0"/>
          <w:w w:val="100"/>
          <w:position w:val="0"/>
        </w:rPr>
        <w:t>年，公司以注重市场价值为导向，结合国内银行业转型升级的浪潮，创新培育新型增长业务, 优化高端制造与高端服务两大板块布局，全年新增分行级银行客户</w:t>
      </w:r>
      <w:r>
        <w:rPr>
          <w:rFonts w:ascii="Times New Roman" w:eastAsia="Times New Roman" w:hAnsi="Times New Roman" w:cs="Times New Roman"/>
          <w:color w:val="000000"/>
          <w:spacing w:val="0"/>
          <w:w w:val="100"/>
          <w:position w:val="0"/>
        </w:rPr>
        <w:t>171</w:t>
      </w:r>
      <w:r>
        <w:rPr>
          <w:color w:val="000000"/>
          <w:spacing w:val="0"/>
          <w:w w:val="100"/>
          <w:position w:val="0"/>
        </w:rPr>
        <w:t>家，国内市场</w:t>
      </w:r>
      <w:r>
        <w:rPr>
          <w:rFonts w:ascii="Times New Roman" w:eastAsia="Times New Roman" w:hAnsi="Times New Roman" w:cs="Times New Roman"/>
          <w:color w:val="000000"/>
          <w:spacing w:val="0"/>
          <w:w w:val="100"/>
          <w:position w:val="0"/>
        </w:rPr>
        <w:t>ATM</w:t>
      </w:r>
      <w:r>
        <w:rPr>
          <w:color w:val="000000"/>
          <w:spacing w:val="0"/>
          <w:w w:val="100"/>
          <w:position w:val="0"/>
        </w:rPr>
        <w:t>销售再创佳绩。</w:t>
      </w:r>
    </w:p>
    <w:p>
      <w:pPr>
        <w:pStyle w:val="Style35"/>
        <w:keepNext w:val="0"/>
        <w:keepLines w:val="0"/>
        <w:widowControl w:val="0"/>
        <w:shd w:val="clear" w:color="auto" w:fill="auto"/>
        <w:bidi w:val="0"/>
        <w:spacing w:before="0" w:after="200" w:line="313" w:lineRule="exact"/>
        <w:ind w:left="0" w:right="0" w:firstLine="0"/>
        <w:jc w:val="left"/>
      </w:pPr>
      <w:r>
        <w:rPr>
          <w:color w:val="000000"/>
          <w:spacing w:val="0"/>
          <w:w w:val="100"/>
          <w:position w:val="0"/>
        </w:rPr>
        <w:t>行业分类</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1008"/>
        <w:gridCol w:w="1474"/>
        <w:gridCol w:w="1224"/>
        <w:gridCol w:w="1838"/>
        <w:gridCol w:w="1224"/>
        <w:gridCol w:w="907"/>
      </w:tblGrid>
      <w:tr>
        <w:trPr>
          <w:trHeight w:val="322"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同比增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占营业收入 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占营业收入 比重（</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2,158,166,213.01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85.78%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1,915,147,554.59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88.32%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12.69%</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40"/>
              <w:jc w:val="left"/>
            </w:pPr>
            <w:r>
              <w:rPr>
                <w:color w:val="000000"/>
                <w:spacing w:val="0"/>
                <w:w w:val="100"/>
                <w:position w:val="0"/>
              </w:rPr>
              <w:t>357,731,140.79</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560"/>
              <w:jc w:val="left"/>
            </w:pPr>
            <w:r>
              <w:rPr>
                <w:color w:val="000000"/>
                <w:spacing w:val="0"/>
                <w:w w:val="100"/>
                <w:position w:val="0"/>
              </w:rPr>
              <w:t>14.22%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253,261,998.41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560"/>
              <w:jc w:val="left"/>
            </w:pPr>
            <w:r>
              <w:rPr>
                <w:color w:val="000000"/>
                <w:spacing w:val="0"/>
                <w:w w:val="100"/>
                <w:position w:val="0"/>
              </w:rPr>
              <w:t>11.68%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left"/>
            </w:pPr>
            <w:r>
              <w:rPr>
                <w:color w:val="000000"/>
                <w:spacing w:val="0"/>
                <w:w w:val="100"/>
                <w:position w:val="0"/>
              </w:rPr>
              <w:t>41.25%</w:t>
            </w:r>
          </w:p>
        </w:tc>
      </w:tr>
      <w:tr>
        <w:trPr>
          <w:trHeight w:val="41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2,515,897,353.80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60"/>
              <w:jc w:val="left"/>
            </w:pPr>
            <w:r>
              <w:rPr>
                <w:color w:val="000000"/>
                <w:spacing w:val="0"/>
                <w:w w:val="100"/>
                <w:position w:val="0"/>
              </w:rPr>
              <w:t>2,168,409,553.00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left"/>
            </w:pPr>
            <w:r>
              <w:rPr>
                <w:color w:val="000000"/>
                <w:spacing w:val="0"/>
                <w:w w:val="100"/>
                <w:position w:val="0"/>
              </w:rPr>
              <w:t>16.03%</w:t>
            </w:r>
          </w:p>
        </w:tc>
      </w:tr>
    </w:tbl>
    <w:p>
      <w:pPr>
        <w:widowControl w:val="0"/>
        <w:spacing w:after="43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35"/>
        <w:keepNext w:val="0"/>
        <w:keepLines w:val="0"/>
        <w:widowControl w:val="0"/>
        <w:shd w:val="clear" w:color="auto" w:fill="auto"/>
        <w:bidi w:val="0"/>
        <w:spacing w:before="0" w:after="180" w:line="240" w:lineRule="auto"/>
        <w:ind w:left="0" w:right="260" w:firstLine="0"/>
        <w:jc w:val="right"/>
      </w:pPr>
      <w:r>
        <w:rPr>
          <w:color w:val="000000"/>
          <w:spacing w:val="0"/>
          <w:w w:val="100"/>
          <w:position w:val="0"/>
        </w:rPr>
        <w:t>单位：元</w:t>
      </w:r>
    </w:p>
    <w:tbl>
      <w:tblPr>
        <w:tblOverlap w:val="never"/>
        <w:jc w:val="center"/>
        <w:tblLayout w:type="fixed"/>
      </w:tblPr>
      <w:tblGrid>
        <w:gridCol w:w="2347"/>
        <w:gridCol w:w="1008"/>
        <w:gridCol w:w="1474"/>
        <w:gridCol w:w="1224"/>
        <w:gridCol w:w="1838"/>
        <w:gridCol w:w="1224"/>
        <w:gridCol w:w="907"/>
      </w:tblGrid>
      <w:tr>
        <w:trPr>
          <w:trHeight w:val="32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同比增 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占营业收入 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占营业收入 比重（</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2,007,176,640.90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1,808,300,948.96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83.39%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11.00%</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1,868,151,233.62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74.26%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1,776,862,734.63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81.94%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65,283,244.43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31,438,214.33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73,742,162.85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150,989,572.11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106,846,605.63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41.31%</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20,637,334.77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0.82%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21,550,579.96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0.99%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335,625,704.47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231,711,418.45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44.85%</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）环保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1,468,101.55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0.06%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2,515,897,353.80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2,168,409,553.00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16.03%</w:t>
            </w:r>
          </w:p>
        </w:tc>
      </w:tr>
    </w:tbl>
    <w:p>
      <w:pPr>
        <w:widowControl w:val="0"/>
        <w:spacing w:after="119" w:line="1" w:lineRule="exact"/>
      </w:pPr>
    </w:p>
    <w:p>
      <w:pPr>
        <w:pStyle w:val="Style44"/>
        <w:keepNext/>
        <w:keepLines/>
        <w:widowControl w:val="0"/>
        <w:shd w:val="clear" w:color="auto" w:fill="auto"/>
        <w:bidi w:val="0"/>
        <w:spacing w:before="0" w:after="0" w:line="240" w:lineRule="auto"/>
        <w:ind w:left="0" w:right="0" w:firstLine="0"/>
        <w:jc w:val="left"/>
      </w:pPr>
      <w:bookmarkStart w:id="102" w:name="bookmark102"/>
      <w:bookmarkStart w:id="103" w:name="bookmark103"/>
      <w:bookmarkStart w:id="104" w:name="bookmark104"/>
      <w:r>
        <w:rPr>
          <w:color w:val="000000"/>
          <w:spacing w:val="0"/>
          <w:w w:val="100"/>
          <w:position w:val="0"/>
        </w:rPr>
        <w:t>主营业务收入产品分类情况的说明:</w:t>
      </w:r>
      <w:bookmarkEnd w:id="102"/>
      <w:bookmarkEnd w:id="103"/>
      <w:bookmarkEnd w:id="104"/>
    </w:p>
    <w:p>
      <w:pPr>
        <w:pStyle w:val="Style3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251,589.74</w:t>
      </w:r>
      <w:r>
        <w:rPr>
          <w:color w:val="000000"/>
          <w:spacing w:val="0"/>
          <w:w w:val="100"/>
          <w:position w:val="0"/>
        </w:rPr>
        <w:t>万元，比上年同期</w:t>
      </w:r>
      <w:r>
        <w:rPr>
          <w:rFonts w:ascii="Times New Roman" w:eastAsia="Times New Roman" w:hAnsi="Times New Roman" w:cs="Times New Roman"/>
          <w:color w:val="000000"/>
          <w:spacing w:val="0"/>
          <w:w w:val="100"/>
          <w:position w:val="0"/>
        </w:rPr>
        <w:t>216,840.96</w:t>
      </w:r>
      <w:r>
        <w:rPr>
          <w:color w:val="000000"/>
          <w:spacing w:val="0"/>
          <w:w w:val="100"/>
          <w:position w:val="0"/>
        </w:rPr>
        <w:t>万元增加</w:t>
      </w:r>
      <w:r>
        <w:rPr>
          <w:rFonts w:ascii="Times New Roman" w:eastAsia="Times New Roman" w:hAnsi="Times New Roman" w:cs="Times New Roman"/>
          <w:color w:val="000000"/>
          <w:spacing w:val="0"/>
          <w:w w:val="100"/>
          <w:position w:val="0"/>
        </w:rPr>
        <w:t>34,748.78</w:t>
      </w:r>
      <w:r>
        <w:rPr>
          <w:color w:val="000000"/>
          <w:spacing w:val="0"/>
          <w:w w:val="100"/>
          <w:position w:val="0"/>
        </w:rPr>
        <w:t>万元，增长</w:t>
      </w:r>
      <w:r>
        <w:rPr>
          <w:rFonts w:ascii="Times New Roman" w:eastAsia="Times New Roman" w:hAnsi="Times New Roman" w:cs="Times New Roman"/>
          <w:color w:val="000000"/>
          <w:spacing w:val="0"/>
          <w:w w:val="100"/>
          <w:position w:val="0"/>
        </w:rPr>
        <w:t>16.03%</w:t>
      </w:r>
      <w:r>
        <w:rPr>
          <w:color w:val="000000"/>
          <w:spacing w:val="0"/>
          <w:w w:val="100"/>
          <w:position w:val="0"/>
        </w:rPr>
        <w:t>，其中： 货币自动处理设备营业收入</w:t>
      </w:r>
      <w:r>
        <w:rPr>
          <w:rFonts w:ascii="Times New Roman" w:eastAsia="Times New Roman" w:hAnsi="Times New Roman" w:cs="Times New Roman"/>
          <w:color w:val="000000"/>
          <w:spacing w:val="0"/>
          <w:w w:val="100"/>
          <w:position w:val="0"/>
        </w:rPr>
        <w:t>200,717.66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11.00%</w:t>
      </w:r>
      <w:r>
        <w:rPr>
          <w:color w:val="000000"/>
          <w:spacing w:val="0"/>
          <w:w w:val="100"/>
          <w:position w:val="0"/>
        </w:rPr>
        <w:t>。</w:t>
      </w:r>
    </w:p>
    <w:p>
      <w:pPr>
        <w:pStyle w:val="Style35"/>
        <w:keepNext w:val="0"/>
        <w:keepLines w:val="0"/>
        <w:widowControl w:val="0"/>
        <w:shd w:val="clear" w:color="auto" w:fill="auto"/>
        <w:bidi w:val="0"/>
        <w:spacing w:before="0" w:after="0" w:line="315" w:lineRule="exact"/>
        <w:ind w:left="0" w:right="0" w:firstLine="460"/>
        <w:jc w:val="left"/>
      </w:pPr>
      <w:r>
        <w:rPr>
          <w:rFonts w:ascii="Times New Roman" w:eastAsia="Times New Roman" w:hAnsi="Times New Roman" w:cs="Times New Roman"/>
          <w:color w:val="000000"/>
          <w:spacing w:val="0"/>
          <w:w w:val="100"/>
          <w:position w:val="0"/>
        </w:rPr>
        <w:t>ATM</w:t>
      </w:r>
      <w:r>
        <w:rPr>
          <w:color w:val="000000"/>
          <w:spacing w:val="0"/>
          <w:w w:val="100"/>
          <w:position w:val="0"/>
        </w:rPr>
        <w:t>设备营业收入</w:t>
      </w:r>
      <w:r>
        <w:rPr>
          <w:rFonts w:ascii="Times New Roman" w:eastAsia="Times New Roman" w:hAnsi="Times New Roman" w:cs="Times New Roman"/>
          <w:color w:val="000000"/>
          <w:spacing w:val="0"/>
          <w:w w:val="100"/>
          <w:position w:val="0"/>
        </w:rPr>
        <w:t>186,815.12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5.14%</w:t>
      </w:r>
      <w:r>
        <w:rPr>
          <w:color w:val="000000"/>
          <w:spacing w:val="0"/>
          <w:w w:val="100"/>
          <w:position w:val="0"/>
        </w:rPr>
        <w:t>，主要是公司在行业内的市场占有率得到提升，在中、农、 建、交等国有大行总行项目持续获得批量采购合同，存取款一体机获得中国邮政集团公司首次统购订单，城商行、农信农商 市场继续保持快速增长，股份制银行市场也取得良好业绩，存取款一体机的订单份额显著提升，国内市场</w:t>
      </w:r>
      <w:r>
        <w:rPr>
          <w:rFonts w:ascii="Times New Roman" w:eastAsia="Times New Roman" w:hAnsi="Times New Roman" w:cs="Times New Roman"/>
          <w:color w:val="000000"/>
          <w:spacing w:val="0"/>
          <w:w w:val="100"/>
          <w:position w:val="0"/>
        </w:rPr>
        <w:t>ATM</w:t>
      </w:r>
      <w:r>
        <w:rPr>
          <w:color w:val="000000"/>
          <w:spacing w:val="0"/>
          <w:w w:val="100"/>
          <w:position w:val="0"/>
        </w:rPr>
        <w:t>销售再创新 高。海外市场由于全球经济温和复苏，海外销售实现恢复性的增长。</w:t>
      </w:r>
    </w:p>
    <w:p>
      <w:pPr>
        <w:pStyle w:val="Style35"/>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rPr>
        <w:t>AFC</w:t>
      </w:r>
      <w:r>
        <w:rPr>
          <w:color w:val="000000"/>
          <w:spacing w:val="0"/>
          <w:w w:val="100"/>
          <w:position w:val="0"/>
        </w:rPr>
        <w:t>设备营业收入</w:t>
      </w:r>
      <w:r>
        <w:rPr>
          <w:rFonts w:ascii="Times New Roman" w:eastAsia="Times New Roman" w:hAnsi="Times New Roman" w:cs="Times New Roman"/>
          <w:color w:val="000000"/>
          <w:spacing w:val="0"/>
          <w:w w:val="100"/>
          <w:position w:val="0"/>
        </w:rPr>
        <w:t>6,528.32</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107.66%</w:t>
      </w:r>
      <w:r>
        <w:rPr>
          <w:color w:val="000000"/>
          <w:spacing w:val="0"/>
          <w:w w:val="100"/>
          <w:position w:val="0"/>
        </w:rPr>
        <w:t>，主要是铁路建设投资的逐步回暖，</w:t>
      </w:r>
      <w:r>
        <w:rPr>
          <w:rFonts w:ascii="Times New Roman" w:eastAsia="Times New Roman" w:hAnsi="Times New Roman" w:cs="Times New Roman"/>
          <w:color w:val="000000"/>
          <w:spacing w:val="0"/>
          <w:w w:val="100"/>
          <w:position w:val="0"/>
        </w:rPr>
        <w:t>AFC</w:t>
      </w:r>
      <w:r>
        <w:rPr>
          <w:color w:val="000000"/>
          <w:spacing w:val="0"/>
          <w:w w:val="100"/>
          <w:position w:val="0"/>
        </w:rPr>
        <w:t>设备营业收入大 幅提升。</w:t>
      </w:r>
    </w:p>
    <w:p>
      <w:pPr>
        <w:pStyle w:val="Style35"/>
        <w:keepNext w:val="0"/>
        <w:keepLines w:val="0"/>
        <w:widowControl w:val="0"/>
        <w:shd w:val="clear" w:color="auto" w:fill="auto"/>
        <w:bidi w:val="0"/>
        <w:spacing w:before="0" w:after="0" w:line="318" w:lineRule="exact"/>
        <w:ind w:left="0" w:right="0" w:firstLine="460"/>
        <w:jc w:val="left"/>
      </w:pPr>
      <w:r>
        <w:rPr>
          <w:color w:val="000000"/>
          <w:spacing w:val="0"/>
          <w:w w:val="100"/>
          <w:position w:val="0"/>
        </w:rPr>
        <w:t>新产品清分机的推广，为公司带来了新的收入增长点，报告期清分机产品实现销售收入</w:t>
      </w:r>
      <w:r>
        <w:rPr>
          <w:rFonts w:ascii="Times New Roman" w:eastAsia="Times New Roman" w:hAnsi="Times New Roman" w:cs="Times New Roman"/>
          <w:color w:val="000000"/>
          <w:spacing w:val="0"/>
          <w:w w:val="100"/>
          <w:position w:val="0"/>
        </w:rPr>
        <w:t>7,374.22</w:t>
      </w:r>
      <w:r>
        <w:rPr>
          <w:color w:val="000000"/>
          <w:spacing w:val="0"/>
          <w:w w:val="100"/>
          <w:position w:val="0"/>
        </w:rPr>
        <w:t>万元。</w:t>
      </w:r>
    </w:p>
    <w:p>
      <w:pPr>
        <w:pStyle w:val="Style35"/>
        <w:keepNext w:val="0"/>
        <w:keepLines w:val="0"/>
        <w:widowControl w:val="0"/>
        <w:shd w:val="clear" w:color="auto" w:fill="auto"/>
        <w:bidi w:val="0"/>
        <w:spacing w:before="0" w:after="0" w:line="319" w:lineRule="exact"/>
        <w:ind w:left="0" w:right="0" w:firstLine="460"/>
        <w:jc w:val="left"/>
      </w:pPr>
      <w:r>
        <w:rPr>
          <w:color w:val="000000"/>
          <w:spacing w:val="0"/>
          <w:w w:val="100"/>
          <w:position w:val="0"/>
        </w:rPr>
        <w:t>设备配件营业收入</w:t>
      </w:r>
      <w:r>
        <w:rPr>
          <w:rFonts w:ascii="Times New Roman" w:eastAsia="Times New Roman" w:hAnsi="Times New Roman" w:cs="Times New Roman"/>
          <w:color w:val="000000"/>
          <w:spacing w:val="0"/>
          <w:w w:val="100"/>
          <w:position w:val="0"/>
        </w:rPr>
        <w:t>15,098.96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41.31%</w:t>
      </w:r>
      <w:r>
        <w:rPr>
          <w:color w:val="000000"/>
          <w:spacing w:val="0"/>
          <w:w w:val="100"/>
          <w:position w:val="0"/>
        </w:rPr>
        <w:t>，主要是</w:t>
      </w:r>
      <w:r>
        <w:rPr>
          <w:rFonts w:ascii="Times New Roman" w:eastAsia="Times New Roman" w:hAnsi="Times New Roman" w:cs="Times New Roman"/>
          <w:color w:val="000000"/>
          <w:spacing w:val="0"/>
          <w:w w:val="100"/>
          <w:position w:val="0"/>
        </w:rPr>
        <w:t>AFC</w:t>
      </w:r>
      <w:r>
        <w:rPr>
          <w:color w:val="000000"/>
          <w:spacing w:val="0"/>
          <w:w w:val="100"/>
          <w:position w:val="0"/>
        </w:rPr>
        <w:t>自主核心模块产品在城市轨道交通与高速铁 路客运专线都得到广泛应用，同时，随着货币自动处理设备投放数量的持续增加及已过免费维护期的设备不断增加</w:t>
      </w:r>
      <w:r>
        <w:rPr>
          <w:color w:val="000000"/>
          <w:spacing w:val="0"/>
          <w:w w:val="100"/>
          <w:position w:val="0"/>
        </w:rPr>
        <w:t>，</w:t>
      </w:r>
      <w:r>
        <w:rPr>
          <w:color w:val="000000"/>
          <w:spacing w:val="0"/>
          <w:w w:val="100"/>
          <w:position w:val="0"/>
        </w:rPr>
        <w:t>设备配 件营业收入也得到了显著增长。</w:t>
      </w:r>
    </w:p>
    <w:p>
      <w:pPr>
        <w:pStyle w:val="Style35"/>
        <w:keepNext w:val="0"/>
        <w:keepLines w:val="0"/>
        <w:widowControl w:val="0"/>
        <w:shd w:val="clear" w:color="auto" w:fill="auto"/>
        <w:bidi w:val="0"/>
        <w:spacing w:before="0" w:after="0" w:line="318" w:lineRule="exact"/>
        <w:ind w:left="0" w:right="0" w:firstLine="460"/>
        <w:jc w:val="left"/>
      </w:pPr>
      <w:r>
        <w:rPr>
          <w:rFonts w:ascii="Times New Roman" w:eastAsia="Times New Roman" w:hAnsi="Times New Roman" w:cs="Times New Roman"/>
          <w:color w:val="000000"/>
          <w:spacing w:val="0"/>
          <w:w w:val="100"/>
          <w:position w:val="0"/>
        </w:rPr>
        <w:t>ATM</w:t>
      </w:r>
      <w:r>
        <w:rPr>
          <w:color w:val="000000"/>
          <w:spacing w:val="0"/>
          <w:w w:val="100"/>
          <w:position w:val="0"/>
        </w:rPr>
        <w:t>营运营业收入</w:t>
      </w:r>
      <w:r>
        <w:rPr>
          <w:rFonts w:ascii="Times New Roman" w:eastAsia="Times New Roman" w:hAnsi="Times New Roman" w:cs="Times New Roman"/>
          <w:color w:val="000000"/>
          <w:spacing w:val="0"/>
          <w:w w:val="100"/>
          <w:position w:val="0"/>
        </w:rPr>
        <w:t>2,063.73</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4.24%</w:t>
      </w:r>
      <w:r>
        <w:rPr>
          <w:color w:val="000000"/>
          <w:spacing w:val="0"/>
          <w:w w:val="100"/>
          <w:position w:val="0"/>
        </w:rPr>
        <w:t>，主要是由于部分营运项目合作周期到期终止及部分项目仍 处于整改过程中所致。</w:t>
      </w:r>
    </w:p>
    <w:p>
      <w:pPr>
        <w:pStyle w:val="Style35"/>
        <w:keepNext w:val="0"/>
        <w:keepLines w:val="0"/>
        <w:widowControl w:val="0"/>
        <w:shd w:val="clear" w:color="auto" w:fill="auto"/>
        <w:bidi w:val="0"/>
        <w:spacing w:before="0" w:after="0" w:line="318" w:lineRule="exact"/>
        <w:ind w:left="0" w:right="0" w:firstLine="460"/>
        <w:jc w:val="left"/>
      </w:pPr>
      <w:r>
        <w:rPr>
          <w:color w:val="000000"/>
          <w:spacing w:val="0"/>
          <w:w w:val="100"/>
          <w:position w:val="0"/>
        </w:rPr>
        <w:t>设备维护及外包服务营业收入</w:t>
      </w:r>
      <w:r>
        <w:rPr>
          <w:rFonts w:ascii="Times New Roman" w:eastAsia="Times New Roman" w:hAnsi="Times New Roman" w:cs="Times New Roman"/>
          <w:color w:val="000000"/>
          <w:spacing w:val="0"/>
          <w:w w:val="100"/>
          <w:position w:val="0"/>
        </w:rPr>
        <w:t>33,562.57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44.85%</w:t>
      </w:r>
      <w:r>
        <w:rPr>
          <w:color w:val="000000"/>
          <w:spacing w:val="0"/>
          <w:w w:val="100"/>
          <w:position w:val="0"/>
        </w:rPr>
        <w:t>，主要是公司全资子公司深圳银通设备维护规模 再上台阶，设备维护网络不断扩大，至报告期末，设备维护网点已达</w:t>
      </w:r>
      <w:r>
        <w:rPr>
          <w:rFonts w:ascii="Times New Roman" w:eastAsia="Times New Roman" w:hAnsi="Times New Roman" w:cs="Times New Roman"/>
          <w:color w:val="000000"/>
          <w:spacing w:val="0"/>
          <w:w w:val="100"/>
          <w:position w:val="0"/>
        </w:rPr>
        <w:t>547</w:t>
      </w:r>
      <w:r>
        <w:rPr>
          <w:color w:val="000000"/>
          <w:spacing w:val="0"/>
          <w:w w:val="100"/>
          <w:position w:val="0"/>
        </w:rPr>
        <w:t>个，与此同时，公司控股子公司广州穗通、全资子 公司深圳银通及其子公司开展的</w:t>
      </w:r>
      <w:r>
        <w:rPr>
          <w:rFonts w:ascii="Times New Roman" w:eastAsia="Times New Roman" w:hAnsi="Times New Roman" w:cs="Times New Roman"/>
          <w:color w:val="000000"/>
          <w:spacing w:val="0"/>
          <w:w w:val="100"/>
          <w:position w:val="0"/>
        </w:rPr>
        <w:t>ATM</w:t>
      </w:r>
      <w:r>
        <w:rPr>
          <w:color w:val="000000"/>
          <w:spacing w:val="0"/>
          <w:w w:val="100"/>
          <w:position w:val="0"/>
        </w:rPr>
        <w:t>全外包金融服务业务发展迅速。</w:t>
      </w:r>
    </w:p>
    <w:p>
      <w:pPr>
        <w:pStyle w:val="Style3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环保业务营业收入为</w:t>
      </w:r>
      <w:r>
        <w:rPr>
          <w:rFonts w:ascii="Times New Roman" w:eastAsia="Times New Roman" w:hAnsi="Times New Roman" w:cs="Times New Roman"/>
          <w:color w:val="000000"/>
          <w:spacing w:val="0"/>
          <w:w w:val="100"/>
          <w:position w:val="0"/>
        </w:rPr>
        <w:t>146.81</w:t>
      </w:r>
      <w:r>
        <w:rPr>
          <w:color w:val="000000"/>
          <w:spacing w:val="0"/>
          <w:w w:val="100"/>
          <w:position w:val="0"/>
        </w:rPr>
        <w:t>万元，主要是</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月龙源环保资本公积转增股本事项完成后，由公司的参股公司变为 公司的控股子公司，纳入公司合并报表范围。</w:t>
      </w:r>
    </w:p>
    <w:p>
      <w:pPr>
        <w:pStyle w:val="Style35"/>
        <w:keepNext w:val="0"/>
        <w:keepLines w:val="0"/>
        <w:widowControl w:val="0"/>
        <w:shd w:val="clear" w:color="auto" w:fill="auto"/>
        <w:bidi w:val="0"/>
        <w:spacing w:before="0" w:line="318" w:lineRule="exact"/>
        <w:ind w:left="0" w:right="0" w:firstLine="0"/>
        <w:jc w:val="left"/>
      </w:pPr>
      <w:r>
        <w:rPr>
          <w:color w:val="000000"/>
          <w:spacing w:val="0"/>
          <w:w w:val="100"/>
          <w:position w:val="0"/>
        </w:rPr>
        <w:t>地区分类</w:t>
      </w:r>
    </w:p>
    <w:p>
      <w:pPr>
        <w:pStyle w:val="Style33"/>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占营业收入比重</w:t>
            </w:r>
          </w:p>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占营业收入比重</w:t>
            </w:r>
          </w:p>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2,347,229,382.85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2,065,190,354.60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13.66%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168,667,970.95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103,219,198.40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63.41%</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2,515,897,353.80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2,168,409,553.00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16.03%</w:t>
            </w:r>
          </w:p>
        </w:tc>
      </w:tr>
    </w:tbl>
    <w:p>
      <w:pPr>
        <w:pStyle w:val="Style35"/>
        <w:keepNext w:val="0"/>
        <w:keepLines w:val="0"/>
        <w:widowControl w:val="0"/>
        <w:shd w:val="clear" w:color="auto" w:fill="auto"/>
        <w:bidi w:val="0"/>
        <w:spacing w:before="0" w:after="80" w:line="307" w:lineRule="exact"/>
        <w:ind w:left="0" w:right="0" w:firstLine="0"/>
        <w:jc w:val="left"/>
      </w:pPr>
      <w:r>
        <w:rPr>
          <w:color w:val="000000"/>
          <w:spacing w:val="0"/>
          <w:w w:val="100"/>
          <w:position w:val="0"/>
        </w:rPr>
        <w:t>主营业务收入地区分类情况的说明：</w:t>
      </w:r>
    </w:p>
    <w:p>
      <w:pPr>
        <w:pStyle w:val="Style35"/>
        <w:keepNext w:val="0"/>
        <w:keepLines w:val="0"/>
        <w:widowControl w:val="0"/>
        <w:shd w:val="clear" w:color="auto" w:fill="auto"/>
        <w:bidi w:val="0"/>
        <w:spacing w:before="0" w:after="0" w:line="307" w:lineRule="exact"/>
        <w:ind w:left="0" w:right="0"/>
        <w:jc w:val="both"/>
      </w:pPr>
      <w:r>
        <w:rPr>
          <w:color w:val="000000"/>
          <w:spacing w:val="0"/>
          <w:w w:val="100"/>
          <w:position w:val="0"/>
        </w:rPr>
        <w:t>国内市场发展势头良好，主营业务收入保持稳定增长，比上年同期增长</w:t>
      </w:r>
      <w:r>
        <w:rPr>
          <w:rFonts w:ascii="Times New Roman" w:eastAsia="Times New Roman" w:hAnsi="Times New Roman" w:cs="Times New Roman"/>
          <w:color w:val="000000"/>
          <w:spacing w:val="0"/>
          <w:w w:val="100"/>
          <w:position w:val="0"/>
        </w:rPr>
        <w:t>13.66%</w:t>
      </w:r>
      <w:r>
        <w:rPr>
          <w:color w:val="000000"/>
          <w:spacing w:val="0"/>
          <w:w w:val="100"/>
          <w:position w:val="0"/>
        </w:rPr>
        <w:t>，主要是在传统货币自动处理设备业务 保持稳健发展的同时，清分机、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等新产品推广成效显著及金融服务业务收入持续实现高增长。</w:t>
      </w:r>
    </w:p>
    <w:p>
      <w:pPr>
        <w:pStyle w:val="Style35"/>
        <w:keepNext w:val="0"/>
        <w:keepLines w:val="0"/>
        <w:widowControl w:val="0"/>
        <w:shd w:val="clear" w:color="auto" w:fill="auto"/>
        <w:bidi w:val="0"/>
        <w:spacing w:before="0" w:after="340" w:line="307" w:lineRule="exact"/>
        <w:ind w:left="0" w:right="0"/>
        <w:jc w:val="left"/>
      </w:pPr>
      <w:r>
        <w:rPr>
          <w:color w:val="000000"/>
          <w:spacing w:val="0"/>
          <w:w w:val="100"/>
          <w:position w:val="0"/>
        </w:rPr>
        <w:t>国外市场由于全球经济温和复苏，海外销售实现恢复性的增长，比上年同期增长</w:t>
      </w:r>
      <w:r>
        <w:rPr>
          <w:rFonts w:ascii="Times New Roman" w:eastAsia="Times New Roman" w:hAnsi="Times New Roman" w:cs="Times New Roman"/>
          <w:color w:val="000000"/>
          <w:spacing w:val="0"/>
          <w:w w:val="100"/>
          <w:position w:val="0"/>
        </w:rPr>
        <w:t>63.41%</w:t>
      </w:r>
      <w:r>
        <w:rPr>
          <w:color w:val="000000"/>
          <w:spacing w:val="0"/>
          <w:w w:val="100"/>
          <w:position w:val="0"/>
        </w:rPr>
        <w:t>。</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公司实物销售收入是否大于劳务收入</w:t>
      </w:r>
    </w:p>
    <w:p>
      <w:pPr>
        <w:pStyle w:val="Style35"/>
        <w:keepNext w:val="0"/>
        <w:keepLines w:val="0"/>
        <w:widowControl w:val="0"/>
        <w:shd w:val="clear" w:color="auto" w:fill="auto"/>
        <w:tabs>
          <w:tab w:pos="8606" w:val="left"/>
        </w:tabs>
        <w:bidi w:val="0"/>
        <w:spacing w:before="0" w:after="80" w:line="240" w:lineRule="auto"/>
        <w:ind w:left="0" w:right="0" w:firstLine="0"/>
        <w:jc w:val="both"/>
      </w:pPr>
      <w:r>
        <w:rPr>
          <w:color w:val="000000"/>
          <w:spacing w:val="0"/>
          <w:w w:val="100"/>
          <w:position w:val="0"/>
        </w:rPr>
        <w:t>V是口否</w:t>
        <w:tab/>
        <w:t>单位：台</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21,849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19,739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库存量</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18,248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13,474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35.43%</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V适用口不适用</w:t>
      </w:r>
    </w:p>
    <w:p>
      <w:pPr>
        <w:pStyle w:val="Style35"/>
        <w:keepNext w:val="0"/>
        <w:keepLines w:val="0"/>
        <w:widowControl w:val="0"/>
        <w:shd w:val="clear" w:color="auto" w:fill="auto"/>
        <w:bidi w:val="0"/>
        <w:spacing w:before="0" w:after="240" w:line="326" w:lineRule="exact"/>
        <w:ind w:left="0" w:right="0"/>
        <w:jc w:val="both"/>
      </w:pPr>
      <w:r>
        <w:rPr>
          <w:color w:val="000000"/>
          <w:spacing w:val="0"/>
          <w:w w:val="100"/>
          <w:position w:val="0"/>
        </w:rPr>
        <w:t>货币自动处理设备期末库存数量为18,248台，同比上年增长35.43%,主要是根据市场订单和行业特点所做的正常储备 及尚未确认收入的发出商品增加。</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公司重大的在手订单情况</w:t>
      </w:r>
    </w:p>
    <w:p>
      <w:pPr>
        <w:pStyle w:val="Style35"/>
        <w:keepNext w:val="0"/>
        <w:keepLines w:val="0"/>
        <w:widowControl w:val="0"/>
        <w:shd w:val="clear" w:color="auto" w:fill="auto"/>
        <w:bidi w:val="0"/>
        <w:spacing w:before="0" w:after="0" w:line="326" w:lineRule="exact"/>
        <w:ind w:left="0" w:right="0" w:firstLine="0"/>
        <w:jc w:val="left"/>
      </w:pPr>
      <w:r>
        <w:rPr>
          <w:color w:val="000000"/>
          <w:spacing w:val="0"/>
          <w:w w:val="100"/>
          <w:position w:val="0"/>
        </w:rPr>
        <w:t>V适用口不适用</w:t>
      </w:r>
    </w:p>
    <w:p>
      <w:pPr>
        <w:pStyle w:val="Style35"/>
        <w:keepNext w:val="0"/>
        <w:keepLines w:val="0"/>
        <w:widowControl w:val="0"/>
        <w:shd w:val="clear" w:color="auto" w:fill="auto"/>
        <w:bidi w:val="0"/>
        <w:spacing w:before="0" w:after="80" w:line="326" w:lineRule="exact"/>
        <w:ind w:left="0" w:right="0" w:firstLine="0"/>
        <w:jc w:val="left"/>
      </w:pPr>
      <w:r>
        <w:rPr>
          <w:color w:val="000000"/>
          <w:spacing w:val="0"/>
          <w:w w:val="100"/>
          <w:position w:val="0"/>
        </w:rPr>
        <w:t>公司全年订单的签署和执行情况</w:t>
      </w:r>
    </w:p>
    <w:p>
      <w:pPr>
        <w:pStyle w:val="Style33"/>
        <w:keepNext w:val="0"/>
        <w:keepLines w:val="0"/>
        <w:widowControl w:val="0"/>
        <w:shd w:val="clear" w:color="auto" w:fill="auto"/>
        <w:bidi w:val="0"/>
        <w:spacing w:before="0" w:after="0" w:line="240" w:lineRule="auto"/>
        <w:ind w:left="8501" w:right="0" w:firstLine="0"/>
        <w:jc w:val="left"/>
      </w:pPr>
      <w:r>
        <w:rPr>
          <w:color w:val="000000"/>
          <w:spacing w:val="0"/>
          <w:w w:val="100"/>
          <w:position w:val="0"/>
        </w:rPr>
        <w:t>单位：亿元</w:t>
      </w:r>
    </w:p>
    <w:tbl>
      <w:tblPr>
        <w:tblOverlap w:val="never"/>
        <w:jc w:val="center"/>
        <w:tblLayout w:type="fixed"/>
      </w:tblPr>
      <w:tblGrid>
        <w:gridCol w:w="2366"/>
        <w:gridCol w:w="2453"/>
        <w:gridCol w:w="2467"/>
        <w:gridCol w:w="2477"/>
      </w:tblGrid>
      <w:tr>
        <w:trPr>
          <w:trHeight w:val="37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产品名称</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年度</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37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ATM</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16.94%</w:t>
            </w:r>
          </w:p>
        </w:tc>
      </w:tr>
      <w:tr>
        <w:trPr>
          <w:trHeight w:val="36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5.36%</w:t>
            </w:r>
          </w:p>
        </w:tc>
      </w:tr>
      <w:tr>
        <w:trPr>
          <w:trHeight w:val="36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6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技术服务合同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49.77%</w:t>
            </w:r>
          </w:p>
        </w:tc>
      </w:tr>
      <w:tr>
        <w:trPr>
          <w:trHeight w:val="360"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34.27</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27.98</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22.48%</w:t>
            </w:r>
          </w:p>
        </w:tc>
      </w:tr>
    </w:tbl>
    <w:p>
      <w:pPr>
        <w:pStyle w:val="Style35"/>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报告期内，公司新增分行级客户</w:t>
      </w:r>
      <w:r>
        <w:rPr>
          <w:rFonts w:ascii="Times New Roman" w:eastAsia="Times New Roman" w:hAnsi="Times New Roman" w:cs="Times New Roman"/>
          <w:color w:val="000000"/>
          <w:spacing w:val="0"/>
          <w:w w:val="100"/>
          <w:position w:val="0"/>
        </w:rPr>
        <w:t>171</w:t>
      </w:r>
      <w:r>
        <w:rPr>
          <w:color w:val="000000"/>
          <w:spacing w:val="0"/>
          <w:w w:val="100"/>
          <w:position w:val="0"/>
        </w:rPr>
        <w:t>家（其中村镇银行76家），在确保总行级客户市场占有率大幅提升的同时，扩大了 在农村信用社及商业银行的市场份额，</w:t>
      </w:r>
      <w:r>
        <w:rPr>
          <w:rFonts w:ascii="Times New Roman" w:eastAsia="Times New Roman" w:hAnsi="Times New Roman" w:cs="Times New Roman"/>
          <w:color w:val="000000"/>
          <w:spacing w:val="0"/>
          <w:w w:val="100"/>
          <w:position w:val="0"/>
        </w:rPr>
        <w:t>ATM</w:t>
      </w:r>
      <w:r>
        <w:rPr>
          <w:color w:val="000000"/>
          <w:spacing w:val="0"/>
          <w:w w:val="100"/>
          <w:position w:val="0"/>
        </w:rPr>
        <w:t>国内市场销量再创新高。</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随着公司投入市场的设备数量增加和时间推移，服务的设备总量也随之增多，因此技术服务合同金额同比有较大幅度的 增长。</w:t>
      </w:r>
    </w:p>
    <w:p>
      <w:pPr>
        <w:pStyle w:val="Style35"/>
        <w:keepNext w:val="0"/>
        <w:keepLines w:val="0"/>
        <w:widowControl w:val="0"/>
        <w:shd w:val="clear" w:color="auto" w:fill="auto"/>
        <w:bidi w:val="0"/>
        <w:spacing w:before="0" w:after="240" w:line="302" w:lineRule="exact"/>
        <w:ind w:left="0" w:right="0"/>
        <w:jc w:val="both"/>
      </w:pPr>
      <w:r>
        <w:rPr>
          <w:color w:val="000000"/>
          <w:spacing w:val="0"/>
          <w:w w:val="100"/>
          <w:position w:val="0"/>
        </w:rPr>
        <w:t>由于公司获取订单的时间主要集中在每年的第四季度，而会计确认销售收入的原则是以公司收到银行的签收单为准，因 此公司订单存在跨期确认收入的情况。截止</w:t>
      </w:r>
      <w:r>
        <w:rPr>
          <w:rFonts w:ascii="Times New Roman" w:eastAsia="Times New Roman" w:hAnsi="Times New Roman" w:cs="Times New Roman"/>
          <w:color w:val="000000"/>
          <w:spacing w:val="0"/>
          <w:w w:val="100"/>
          <w:position w:val="0"/>
        </w:rPr>
        <w:t>2013</w:t>
      </w:r>
      <w:r>
        <w:rPr>
          <w:color w:val="000000"/>
          <w:spacing w:val="0"/>
          <w:w w:val="100"/>
          <w:position w:val="0"/>
        </w:rPr>
        <w:t>年底，结转到以后年度执行的合同金额约</w:t>
      </w:r>
      <w:r>
        <w:rPr>
          <w:rFonts w:ascii="Times New Roman" w:eastAsia="Times New Roman" w:hAnsi="Times New Roman" w:cs="Times New Roman"/>
          <w:color w:val="000000"/>
          <w:spacing w:val="0"/>
          <w:w w:val="100"/>
          <w:position w:val="0"/>
        </w:rPr>
        <w:t>14</w:t>
      </w:r>
      <w:r>
        <w:rPr>
          <w:color w:val="000000"/>
          <w:spacing w:val="0"/>
          <w:w w:val="100"/>
          <w:position w:val="0"/>
        </w:rPr>
        <w:t>亿元。</w:t>
      </w:r>
    </w:p>
    <w:p>
      <w:pPr>
        <w:pStyle w:val="Style3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公司报告期内产品或服务发生重大变化或调整有关情况</w:t>
      </w:r>
    </w:p>
    <w:p>
      <w:pPr>
        <w:pStyle w:val="Style35"/>
        <w:keepNext w:val="0"/>
        <w:keepLines w:val="0"/>
        <w:widowControl w:val="0"/>
        <w:shd w:val="clear" w:color="auto" w:fill="auto"/>
        <w:bidi w:val="0"/>
        <w:spacing w:before="0" w:after="340" w:line="307" w:lineRule="exact"/>
        <w:ind w:left="0" w:right="0" w:firstLine="0"/>
        <w:jc w:val="left"/>
      </w:pPr>
      <w:r>
        <w:rPr>
          <w:color w:val="000000"/>
          <w:spacing w:val="0"/>
          <w:w w:val="100"/>
          <w:position w:val="0"/>
        </w:rPr>
        <w:t>□</w:t>
      </w:r>
      <w:r>
        <w:rPr>
          <w:color w:val="000000"/>
          <w:spacing w:val="0"/>
          <w:w w:val="100"/>
          <w:position w:val="0"/>
        </w:rPr>
        <w:t>适用V不适用</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896,684,407.18</w:t>
            </w:r>
          </w:p>
        </w:tc>
      </w:tr>
      <w:tr>
        <w:trPr>
          <w:trHeight w:val="40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35.64%</w:t>
            </w:r>
          </w:p>
        </w:tc>
      </w:tr>
    </w:tbl>
    <w:p>
      <w:pPr>
        <w:spacing w:lineRule="exact" w:line="1"/>
        <w:rPr>
          <w:sz w:val="2"/>
          <w:szCs w:val="2"/>
        </w:rPr>
      </w:pPr>
      <w:r>
        <w:br w:type="page"/>
      </w:r>
    </w:p>
    <w:p>
      <w:pPr>
        <w:widowControl w:val="0"/>
        <w:jc w:val="center"/>
        <w:rPr>
          <w:sz w:val="2"/>
          <w:szCs w:val="2"/>
        </w:rPr>
      </w:pPr>
      <w:r>
        <w:drawing>
          <wp:inline>
            <wp:extent cx="6083935" cy="219456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stretch/>
                  </pic:blipFill>
                  <pic:spPr>
                    <a:xfrm>
                      <a:ext cx="6083935" cy="2194560"/>
                    </a:xfrm>
                    <a:prstGeom prst="rect"/>
                  </pic:spPr>
                </pic:pic>
              </a:graphicData>
            </a:graphic>
          </wp:inline>
        </w:drawing>
      </w:r>
    </w:p>
    <w:p>
      <w:pPr>
        <w:widowControl w:val="0"/>
        <w:spacing w:after="299" w:line="1" w:lineRule="exact"/>
      </w:pPr>
    </w:p>
    <w:p>
      <w:pPr>
        <w:pStyle w:val="Style44"/>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3</w:t>
      </w:r>
      <w:bookmarkEnd w:id="107"/>
      <w:r>
        <w:rPr>
          <w:color w:val="000000"/>
          <w:spacing w:val="0"/>
          <w:w w:val="100"/>
          <w:position w:val="0"/>
        </w:rPr>
        <w:t>、成本</w:t>
      </w:r>
      <w:bookmarkEnd w:id="105"/>
      <w:bookmarkEnd w:id="106"/>
      <w:bookmarkEnd w:id="108"/>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5"/>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单位：元</w:t>
      </w:r>
    </w:p>
    <w:tbl>
      <w:tblPr>
        <w:tblOverlap w:val="never"/>
        <w:jc w:val="center"/>
        <w:tblLayout w:type="fixed"/>
      </w:tblPr>
      <w:tblGrid>
        <w:gridCol w:w="2414"/>
        <w:gridCol w:w="1277"/>
        <w:gridCol w:w="1555"/>
        <w:gridCol w:w="994"/>
        <w:gridCol w:w="1416"/>
        <w:gridCol w:w="1138"/>
        <w:gridCol w:w="792"/>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同比增减</w:t>
            </w:r>
          </w:p>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占营业成本 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占营业成本 比重（</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979,243,160.68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924,922,222.95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89.38%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162,589,506.44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109,903,795.60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1,141,832,667.12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1,034,826,018.55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bl>
    <w:p>
      <w:pPr>
        <w:widowControl w:val="0"/>
        <w:spacing w:after="43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产品分类</w:t>
      </w:r>
    </w:p>
    <w:p>
      <w:pPr>
        <w:pStyle w:val="Style35"/>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单位：元</w:t>
      </w:r>
    </w:p>
    <w:tbl>
      <w:tblPr>
        <w:tblOverlap w:val="never"/>
        <w:jc w:val="center"/>
        <w:tblLayout w:type="fixed"/>
      </w:tblPr>
      <w:tblGrid>
        <w:gridCol w:w="2515"/>
        <w:gridCol w:w="1258"/>
        <w:gridCol w:w="1440"/>
        <w:gridCol w:w="1090"/>
        <w:gridCol w:w="1368"/>
        <w:gridCol w:w="1080"/>
        <w:gridCol w:w="89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同比增减</w:t>
            </w:r>
          </w:p>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占营业成本 比重（</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占营业成本 比重（</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80"/>
              <w:jc w:val="both"/>
            </w:pPr>
            <w:r>
              <w:rPr>
                <w:color w:val="000000"/>
                <w:spacing w:val="0"/>
                <w:w w:val="100"/>
                <w:position w:val="0"/>
              </w:rPr>
              <w:t>910,479,202.50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79.74%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864,661,017.90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83.56%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5.30%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821,964,136.10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841,692,583.39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44,796,845.31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22,968,434.51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43,718,221.09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60"/>
              <w:jc w:val="both"/>
            </w:pPr>
            <w:r>
              <w:rPr>
                <w:color w:val="000000"/>
                <w:spacing w:val="0"/>
                <w:w w:val="100"/>
                <w:position w:val="0"/>
              </w:rPr>
              <w:t>68,763,958.18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6.02%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60,261,205.05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580"/>
              <w:jc w:val="both"/>
            </w:pPr>
            <w:r>
              <w:rPr>
                <w:color w:val="000000"/>
                <w:spacing w:val="0"/>
                <w:w w:val="100"/>
                <w:position w:val="0"/>
              </w:rPr>
              <w:t>5.82%</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14.11%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23,696,960.11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19,549,443.72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136,714,338.29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90,354,351.88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）环保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2,178,208.04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1,141,832,667.12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1,034,826,018.55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bl>
    <w:p>
      <w:pPr>
        <w:pStyle w:val="Style33"/>
        <w:keepNext w:val="0"/>
        <w:keepLines w:val="0"/>
        <w:widowControl w:val="0"/>
        <w:shd w:val="clear" w:color="auto" w:fill="auto"/>
        <w:bidi w:val="0"/>
        <w:spacing w:before="0" w:after="0" w:line="240" w:lineRule="auto"/>
        <w:ind w:left="77" w:right="0" w:firstLine="0"/>
        <w:jc w:val="left"/>
      </w:pPr>
      <w:r>
        <w:rPr>
          <w:color w:val="000000"/>
          <w:spacing w:val="0"/>
          <w:w w:val="100"/>
          <w:position w:val="0"/>
        </w:rPr>
        <w:t>货币自动处理设备相关成本构成说明:</w:t>
      </w:r>
      <w:r>
        <w:br w:type="page"/>
      </w:r>
    </w:p>
    <w:tbl>
      <w:tblPr>
        <w:tblOverlap w:val="never"/>
        <w:jc w:val="center"/>
        <w:tblLayout w:type="fixed"/>
      </w:tblPr>
      <w:tblGrid>
        <w:gridCol w:w="4138"/>
        <w:gridCol w:w="2582"/>
        <w:gridCol w:w="2822"/>
      </w:tblGrid>
      <w:tr>
        <w:trPr>
          <w:trHeight w:val="43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成本要素</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r>
      <w:tr>
        <w:trPr>
          <w:trHeight w:val="4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95.50%</w:t>
            </w:r>
          </w:p>
        </w:tc>
      </w:tr>
      <w:tr>
        <w:trPr>
          <w:trHeight w:val="4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直接人工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2.04%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1.75%</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制造费用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w:t>
            </w:r>
          </w:p>
        </w:tc>
      </w:tr>
      <w:tr>
        <w:trPr>
          <w:trHeight w:val="456"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报告期内，公司主营业务市场、主营业务成本构成未发生显著变化。</w:t>
      </w:r>
    </w:p>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报告期内，公司营业成本为</w:t>
      </w:r>
      <w:r>
        <w:rPr>
          <w:rFonts w:ascii="Times New Roman" w:eastAsia="Times New Roman" w:hAnsi="Times New Roman" w:cs="Times New Roman"/>
          <w:color w:val="000000"/>
          <w:spacing w:val="0"/>
          <w:w w:val="100"/>
          <w:position w:val="0"/>
        </w:rPr>
        <w:t>114,183.27</w:t>
      </w:r>
      <w:r>
        <w:rPr>
          <w:color w:val="000000"/>
          <w:spacing w:val="0"/>
          <w:w w:val="100"/>
          <w:position w:val="0"/>
        </w:rPr>
        <w:t>万元，比上年同期</w:t>
      </w:r>
      <w:r>
        <w:rPr>
          <w:rFonts w:ascii="Times New Roman" w:eastAsia="Times New Roman" w:hAnsi="Times New Roman" w:cs="Times New Roman"/>
          <w:color w:val="000000"/>
          <w:spacing w:val="0"/>
          <w:w w:val="100"/>
          <w:position w:val="0"/>
        </w:rPr>
        <w:t>103,482.60</w:t>
      </w:r>
      <w:r>
        <w:rPr>
          <w:color w:val="000000"/>
          <w:spacing w:val="0"/>
          <w:w w:val="100"/>
          <w:position w:val="0"/>
        </w:rPr>
        <w:t>万元增长</w:t>
      </w:r>
      <w:r>
        <w:rPr>
          <w:rFonts w:ascii="Times New Roman" w:eastAsia="Times New Roman" w:hAnsi="Times New Roman" w:cs="Times New Roman"/>
          <w:color w:val="000000"/>
          <w:spacing w:val="0"/>
          <w:w w:val="100"/>
          <w:position w:val="0"/>
        </w:rPr>
        <w:t>10.34%</w:t>
      </w:r>
      <w:r>
        <w:rPr>
          <w:color w:val="000000"/>
          <w:spacing w:val="0"/>
          <w:w w:val="100"/>
          <w:position w:val="0"/>
        </w:rPr>
        <w:t xml:space="preserve">,其中：货币自动处理设备营业成 </w:t>
      </w:r>
      <w:r>
        <w:rPr>
          <w:rStyle w:val="CharStyle48"/>
          <w:rFonts w:ascii="SimSun" w:eastAsia="SimSun" w:hAnsi="SimSun" w:cs="SimSun"/>
        </w:rPr>
        <w:t>本</w:t>
      </w:r>
      <w:r>
        <w:rPr>
          <w:rStyle w:val="CharStyle48"/>
        </w:rPr>
        <w:t>91,047.92</w:t>
      </w:r>
      <w:r>
        <w:rPr>
          <w:rStyle w:val="CharStyle48"/>
          <w:rFonts w:ascii="SimSun" w:eastAsia="SimSun" w:hAnsi="SimSun" w:cs="SimSun"/>
        </w:rPr>
        <w:t>万元，比上年同期增长</w:t>
      </w:r>
      <w:r>
        <w:rPr>
          <w:rStyle w:val="CharStyle48"/>
        </w:rPr>
        <w:t>5.30%</w:t>
      </w:r>
      <w:r>
        <w:rPr>
          <w:rStyle w:val="CharStyle48"/>
          <w:rFonts w:ascii="SimSun" w:eastAsia="SimSun" w:hAnsi="SimSun" w:cs="SimSun"/>
        </w:rPr>
        <w:t>。</w:t>
      </w:r>
    </w:p>
    <w:p>
      <w:pPr>
        <w:pStyle w:val="Style35"/>
        <w:keepNext w:val="0"/>
        <w:keepLines w:val="0"/>
        <w:widowControl w:val="0"/>
        <w:shd w:val="clear" w:color="auto" w:fill="auto"/>
        <w:bidi w:val="0"/>
        <w:spacing w:before="0" w:after="0" w:line="317" w:lineRule="exact"/>
        <w:ind w:left="0" w:right="0" w:firstLine="360"/>
        <w:jc w:val="both"/>
      </w:pPr>
      <w:r>
        <w:rPr>
          <w:rFonts w:ascii="Times New Roman" w:eastAsia="Times New Roman" w:hAnsi="Times New Roman" w:cs="Times New Roman"/>
          <w:color w:val="000000"/>
          <w:spacing w:val="0"/>
          <w:w w:val="100"/>
          <w:position w:val="0"/>
        </w:rPr>
        <w:t>ATM</w:t>
      </w:r>
      <w:r>
        <w:rPr>
          <w:color w:val="000000"/>
          <w:spacing w:val="0"/>
          <w:w w:val="100"/>
          <w:position w:val="0"/>
        </w:rPr>
        <w:t>设备营业成本</w:t>
      </w:r>
      <w:r>
        <w:rPr>
          <w:rFonts w:ascii="Times New Roman" w:eastAsia="Times New Roman" w:hAnsi="Times New Roman" w:cs="Times New Roman"/>
          <w:color w:val="000000"/>
          <w:spacing w:val="0"/>
          <w:w w:val="100"/>
          <w:position w:val="0"/>
        </w:rPr>
        <w:t>82,196.41</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2.34%</w:t>
      </w:r>
      <w:r>
        <w:rPr>
          <w:color w:val="000000"/>
          <w:spacing w:val="0"/>
          <w:w w:val="100"/>
          <w:position w:val="0"/>
        </w:rPr>
        <w:t>，销售毛利率同比上升</w:t>
      </w:r>
      <w:r>
        <w:rPr>
          <w:rFonts w:ascii="Times New Roman" w:eastAsia="Times New Roman" w:hAnsi="Times New Roman" w:cs="Times New Roman"/>
          <w:color w:val="000000"/>
          <w:spacing w:val="0"/>
          <w:w w:val="100"/>
          <w:position w:val="0"/>
        </w:rPr>
        <w:t>3.37</w:t>
      </w:r>
      <w:r>
        <w:rPr>
          <w:color w:val="000000"/>
          <w:spacing w:val="0"/>
          <w:w w:val="100"/>
          <w:position w:val="0"/>
        </w:rPr>
        <w:t>个百分点，主要原因是公司自主机 芯的</w:t>
      </w:r>
      <w:r>
        <w:rPr>
          <w:rFonts w:ascii="Times New Roman" w:eastAsia="Times New Roman" w:hAnsi="Times New Roman" w:cs="Times New Roman"/>
          <w:color w:val="000000"/>
          <w:spacing w:val="0"/>
          <w:w w:val="100"/>
          <w:position w:val="0"/>
        </w:rPr>
        <w:t>ATM</w:t>
      </w:r>
      <w:r>
        <w:rPr>
          <w:color w:val="000000"/>
          <w:spacing w:val="0"/>
          <w:w w:val="100"/>
          <w:position w:val="0"/>
        </w:rPr>
        <w:t>设备批量投入生产，以及研发、采购等多个环节采取多种措施降低材料成本，生产成本得到有效控制。</w:t>
      </w:r>
    </w:p>
    <w:p>
      <w:pPr>
        <w:pStyle w:val="Style35"/>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rPr>
        <w:t>AFC</w:t>
      </w:r>
      <w:r>
        <w:rPr>
          <w:color w:val="000000"/>
          <w:spacing w:val="0"/>
          <w:w w:val="100"/>
          <w:position w:val="0"/>
        </w:rPr>
        <w:t>设备营业成本</w:t>
      </w:r>
      <w:r>
        <w:rPr>
          <w:rFonts w:ascii="Times New Roman" w:eastAsia="Times New Roman" w:hAnsi="Times New Roman" w:cs="Times New Roman"/>
          <w:color w:val="000000"/>
          <w:spacing w:val="0"/>
          <w:w w:val="100"/>
          <w:position w:val="0"/>
        </w:rPr>
        <w:t>4,479.68</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95.04%</w:t>
      </w:r>
      <w:r>
        <w:rPr>
          <w:color w:val="000000"/>
          <w:spacing w:val="0"/>
          <w:w w:val="100"/>
          <w:position w:val="0"/>
        </w:rPr>
        <w:t>，销售毛利率同比上升</w:t>
      </w:r>
      <w:r>
        <w:rPr>
          <w:rFonts w:ascii="Times New Roman" w:eastAsia="Times New Roman" w:hAnsi="Times New Roman" w:cs="Times New Roman"/>
          <w:color w:val="000000"/>
          <w:spacing w:val="0"/>
          <w:w w:val="100"/>
          <w:position w:val="0"/>
        </w:rPr>
        <w:t>4.44</w:t>
      </w:r>
      <w:r>
        <w:rPr>
          <w:color w:val="000000"/>
          <w:spacing w:val="0"/>
          <w:w w:val="100"/>
          <w:position w:val="0"/>
        </w:rPr>
        <w:t>个百分点，主要是研发、优化核心 模块，成本进一步降低。</w:t>
      </w:r>
    </w:p>
    <w:p>
      <w:pPr>
        <w:pStyle w:val="Style35"/>
        <w:keepNext w:val="0"/>
        <w:keepLines w:val="0"/>
        <w:widowControl w:val="0"/>
        <w:shd w:val="clear" w:color="auto" w:fill="auto"/>
        <w:bidi w:val="0"/>
        <w:spacing w:before="0" w:after="0" w:line="326" w:lineRule="exact"/>
        <w:ind w:left="0" w:right="0" w:firstLine="360"/>
        <w:jc w:val="both"/>
      </w:pPr>
      <w:r>
        <w:rPr>
          <w:color w:val="000000"/>
          <w:spacing w:val="0"/>
          <w:w w:val="100"/>
          <w:position w:val="0"/>
        </w:rPr>
        <w:t>清分机营业成本</w:t>
      </w:r>
      <w:r>
        <w:rPr>
          <w:rFonts w:ascii="Times New Roman" w:eastAsia="Times New Roman" w:hAnsi="Times New Roman" w:cs="Times New Roman"/>
          <w:color w:val="000000"/>
          <w:spacing w:val="0"/>
          <w:w w:val="100"/>
          <w:position w:val="0"/>
        </w:rPr>
        <w:t>4,371.82</w:t>
      </w:r>
      <w:r>
        <w:rPr>
          <w:color w:val="000000"/>
          <w:spacing w:val="0"/>
          <w:w w:val="100"/>
          <w:position w:val="0"/>
        </w:rPr>
        <w:t>万元，销售毛利率为</w:t>
      </w:r>
      <w:r>
        <w:rPr>
          <w:rFonts w:ascii="Times New Roman" w:eastAsia="Times New Roman" w:hAnsi="Times New Roman" w:cs="Times New Roman"/>
          <w:color w:val="000000"/>
          <w:spacing w:val="0"/>
          <w:w w:val="100"/>
          <w:position w:val="0"/>
        </w:rPr>
        <w:t>40.71%</w:t>
      </w:r>
      <w:r>
        <w:rPr>
          <w:color w:val="000000"/>
          <w:spacing w:val="0"/>
          <w:w w:val="100"/>
          <w:position w:val="0"/>
        </w:rPr>
        <w:t>，主要是新产品开发前期成本投入大。</w:t>
      </w:r>
    </w:p>
    <w:p>
      <w:pPr>
        <w:pStyle w:val="Style35"/>
        <w:keepNext w:val="0"/>
        <w:keepLines w:val="0"/>
        <w:widowControl w:val="0"/>
        <w:shd w:val="clear" w:color="auto" w:fill="auto"/>
        <w:bidi w:val="0"/>
        <w:spacing w:before="0" w:after="0" w:line="329" w:lineRule="exact"/>
        <w:ind w:left="0" w:right="0" w:firstLine="360"/>
        <w:jc w:val="both"/>
      </w:pPr>
      <w:r>
        <w:rPr>
          <w:color w:val="000000"/>
          <w:spacing w:val="0"/>
          <w:w w:val="100"/>
          <w:position w:val="0"/>
        </w:rPr>
        <w:t>设备配件营业成本</w:t>
      </w:r>
      <w:r>
        <w:rPr>
          <w:rFonts w:ascii="Times New Roman" w:eastAsia="Times New Roman" w:hAnsi="Times New Roman" w:cs="Times New Roman"/>
          <w:color w:val="000000"/>
          <w:spacing w:val="0"/>
          <w:w w:val="100"/>
          <w:position w:val="0"/>
        </w:rPr>
        <w:t>6,876.40</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14.11%</w:t>
      </w:r>
      <w:r>
        <w:rPr>
          <w:color w:val="000000"/>
          <w:spacing w:val="0"/>
          <w:w w:val="100"/>
          <w:position w:val="0"/>
        </w:rPr>
        <w:t>，销售毛利率同比上升</w:t>
      </w:r>
      <w:r>
        <w:rPr>
          <w:rFonts w:ascii="Times New Roman" w:eastAsia="Times New Roman" w:hAnsi="Times New Roman" w:cs="Times New Roman"/>
          <w:color w:val="000000"/>
          <w:spacing w:val="0"/>
          <w:w w:val="100"/>
          <w:position w:val="0"/>
        </w:rPr>
        <w:t>10.86</w:t>
      </w:r>
      <w:r>
        <w:rPr>
          <w:color w:val="000000"/>
          <w:spacing w:val="0"/>
          <w:w w:val="100"/>
          <w:position w:val="0"/>
        </w:rPr>
        <w:t>个百分点，主要是自制备件增加， 成本降低的影响。</w:t>
      </w:r>
    </w:p>
    <w:p>
      <w:pPr>
        <w:pStyle w:val="Style35"/>
        <w:keepNext w:val="0"/>
        <w:keepLines w:val="0"/>
        <w:widowControl w:val="0"/>
        <w:shd w:val="clear" w:color="auto" w:fill="auto"/>
        <w:bidi w:val="0"/>
        <w:spacing w:before="0" w:after="0" w:line="329" w:lineRule="exact"/>
        <w:ind w:left="0" w:right="0" w:firstLine="360"/>
        <w:jc w:val="both"/>
      </w:pPr>
      <w:r>
        <w:rPr>
          <w:rFonts w:ascii="Times New Roman" w:eastAsia="Times New Roman" w:hAnsi="Times New Roman" w:cs="Times New Roman"/>
          <w:color w:val="000000"/>
          <w:spacing w:val="0"/>
          <w:w w:val="100"/>
          <w:position w:val="0"/>
        </w:rPr>
        <w:t>ATM</w:t>
      </w:r>
      <w:r>
        <w:rPr>
          <w:color w:val="000000"/>
          <w:spacing w:val="0"/>
          <w:w w:val="100"/>
          <w:position w:val="0"/>
        </w:rPr>
        <w:t>营运营业成本</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,369.7</w:t>
      </w:r>
      <w:r>
        <w:rPr>
          <w:rFonts w:ascii="Times New Roman" w:eastAsia="Times New Roman" w:hAnsi="Times New Roman" w:cs="Times New Roman"/>
          <w:color w:val="000000"/>
          <w:spacing w:val="0"/>
          <w:w w:val="100"/>
          <w:position w:val="0"/>
        </w:rPr>
        <w:t>0</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21.22%</w:t>
      </w:r>
      <w:r>
        <w:rPr>
          <w:color w:val="000000"/>
          <w:spacing w:val="0"/>
          <w:w w:val="100"/>
          <w:position w:val="0"/>
        </w:rPr>
        <w:t>，销售毛利率同比下降</w:t>
      </w:r>
      <w:r>
        <w:rPr>
          <w:rFonts w:ascii="Times New Roman" w:eastAsia="Times New Roman" w:hAnsi="Times New Roman" w:cs="Times New Roman"/>
          <w:color w:val="000000"/>
          <w:spacing w:val="0"/>
          <w:w w:val="100"/>
          <w:position w:val="0"/>
        </w:rPr>
        <w:t>24.12</w:t>
      </w:r>
      <w:r>
        <w:rPr>
          <w:color w:val="000000"/>
          <w:spacing w:val="0"/>
          <w:w w:val="100"/>
          <w:position w:val="0"/>
        </w:rPr>
        <w:t>个百分点，主要是收入萎缩导致 的单位固定成本上升和人工成本上涨的双重挤压。</w:t>
      </w:r>
    </w:p>
    <w:p>
      <w:pPr>
        <w:pStyle w:val="Style35"/>
        <w:keepNext w:val="0"/>
        <w:keepLines w:val="0"/>
        <w:widowControl w:val="0"/>
        <w:shd w:val="clear" w:color="auto" w:fill="auto"/>
        <w:bidi w:val="0"/>
        <w:spacing w:before="0" w:after="0" w:line="329" w:lineRule="exact"/>
        <w:ind w:left="0" w:right="0" w:firstLine="360"/>
        <w:jc w:val="both"/>
      </w:pPr>
      <w:r>
        <w:rPr>
          <w:color w:val="000000"/>
          <w:spacing w:val="0"/>
          <w:w w:val="100"/>
          <w:position w:val="0"/>
        </w:rPr>
        <w:t>设备维护及服务营业成本</w:t>
      </w:r>
      <w:r>
        <w:rPr>
          <w:rFonts w:ascii="Times New Roman" w:eastAsia="Times New Roman" w:hAnsi="Times New Roman" w:cs="Times New Roman"/>
          <w:color w:val="000000"/>
          <w:spacing w:val="0"/>
          <w:w w:val="100"/>
          <w:position w:val="0"/>
        </w:rPr>
        <w:t>13,671.43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51.31%</w:t>
      </w:r>
      <w:r>
        <w:rPr>
          <w:color w:val="000000"/>
          <w:spacing w:val="0"/>
          <w:w w:val="100"/>
          <w:position w:val="0"/>
        </w:rPr>
        <w:t>，销售毛利率同比下降</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.74</w:t>
      </w:r>
      <w:r>
        <w:rPr>
          <w:color w:val="000000"/>
          <w:spacing w:val="0"/>
          <w:w w:val="100"/>
          <w:position w:val="0"/>
        </w:rPr>
        <w:t>个百分点，主要是设备维护 网点、人工成本增加及服务业务实施“营改增”税收政策影响。</w:t>
      </w:r>
    </w:p>
    <w:p>
      <w:pPr>
        <w:pStyle w:val="Style35"/>
        <w:keepNext w:val="0"/>
        <w:keepLines w:val="0"/>
        <w:widowControl w:val="0"/>
        <w:shd w:val="clear" w:color="auto" w:fill="auto"/>
        <w:bidi w:val="0"/>
        <w:spacing w:before="0" w:after="320" w:line="329" w:lineRule="exact"/>
        <w:ind w:left="0" w:right="0" w:firstLine="360"/>
        <w:jc w:val="both"/>
      </w:pPr>
      <w:r>
        <w:rPr>
          <w:color w:val="000000"/>
          <w:spacing w:val="0"/>
          <w:w w:val="100"/>
          <w:position w:val="0"/>
        </w:rPr>
        <w:t>环保营业成本</w:t>
      </w:r>
      <w:r>
        <w:rPr>
          <w:rFonts w:ascii="Times New Roman" w:eastAsia="Times New Roman" w:hAnsi="Times New Roman" w:cs="Times New Roman"/>
          <w:color w:val="000000"/>
          <w:spacing w:val="0"/>
          <w:w w:val="100"/>
          <w:position w:val="0"/>
        </w:rPr>
        <w:t>217.8</w:t>
      </w:r>
      <w:r>
        <w:rPr>
          <w:rFonts w:ascii="Times New Roman" w:eastAsia="Times New Roman" w:hAnsi="Times New Roman" w:cs="Times New Roman"/>
          <w:color w:val="000000"/>
          <w:spacing w:val="0"/>
          <w:w w:val="100"/>
          <w:position w:val="0"/>
        </w:rPr>
        <w:t>2</w:t>
      </w:r>
      <w:r>
        <w:rPr>
          <w:color w:val="000000"/>
          <w:spacing w:val="0"/>
          <w:w w:val="100"/>
          <w:position w:val="0"/>
        </w:rPr>
        <w:t>万元，销售毛利率为</w:t>
      </w:r>
      <w:r>
        <w:rPr>
          <w:rFonts w:ascii="Times New Roman" w:eastAsia="Times New Roman" w:hAnsi="Times New Roman" w:cs="Times New Roman"/>
          <w:color w:val="000000"/>
          <w:spacing w:val="0"/>
          <w:w w:val="100"/>
          <w:position w:val="0"/>
        </w:rPr>
        <w:t>-48.37%</w:t>
      </w:r>
      <w:r>
        <w:rPr>
          <w:color w:val="000000"/>
          <w:spacing w:val="0"/>
          <w:w w:val="100"/>
          <w:position w:val="0"/>
        </w:rPr>
        <w:t>,主要是电镀行业受宏观经济影响景气度下降，使龙源环保在赣州的 环保集控区招商进度缓慢，入园率偏低，污水处理量较少导致污水处理单位成本偏高。</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353,462,693.06</w:t>
            </w:r>
          </w:p>
        </w:tc>
      </w:tr>
      <w:tr>
        <w:trPr>
          <w:trHeight w:val="41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27.71%</w:t>
            </w:r>
          </w:p>
        </w:tc>
      </w:tr>
    </w:tbl>
    <w:p>
      <w:pPr>
        <w:widowControl w:val="0"/>
        <w:spacing w:after="259" w:line="1" w:lineRule="exact"/>
      </w:pPr>
    </w:p>
    <w:p>
      <w:pPr>
        <w:pStyle w:val="Style3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3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36"/>
        <w:gridCol w:w="3749"/>
        <w:gridCol w:w="2338"/>
        <w:gridCol w:w="255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136,932,274.61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66,044,517.75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55,010,631.59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4.31%</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53,658,296.30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4.21%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41,816,972.81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3.28%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353,462,693.06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w:t>
            </w:r>
          </w:p>
        </w:tc>
      </w:tr>
    </w:tbl>
    <w:p>
      <w:pPr>
        <w:pStyle w:val="Style44"/>
        <w:keepNext/>
        <w:keepLines/>
        <w:widowControl w:val="0"/>
        <w:shd w:val="clear" w:color="auto" w:fill="auto"/>
        <w:bidi w:val="0"/>
        <w:spacing w:before="0" w:after="36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4</w:t>
      </w:r>
      <w:bookmarkEnd w:id="111"/>
      <w:r>
        <w:rPr>
          <w:color w:val="000000"/>
          <w:spacing w:val="0"/>
          <w:w w:val="100"/>
          <w:position w:val="0"/>
        </w:rPr>
        <w:t>、费用</w:t>
      </w:r>
      <w:bookmarkEnd w:id="109"/>
      <w:bookmarkEnd w:id="110"/>
      <w:bookmarkEnd w:id="112"/>
    </w:p>
    <w:p>
      <w:pPr>
        <w:pStyle w:val="Style33"/>
        <w:keepNext w:val="0"/>
        <w:keepLines w:val="0"/>
        <w:widowControl w:val="0"/>
        <w:shd w:val="clear" w:color="auto" w:fill="auto"/>
        <w:bidi w:val="0"/>
        <w:spacing w:before="0" w:after="0" w:line="240" w:lineRule="auto"/>
        <w:ind w:left="8467" w:right="0" w:firstLine="0"/>
        <w:jc w:val="left"/>
      </w:pPr>
      <w:r>
        <w:rPr>
          <w:color w:val="000000"/>
          <w:spacing w:val="0"/>
          <w:w w:val="100"/>
          <w:position w:val="0"/>
        </w:rPr>
        <w:t>单位：元</w:t>
      </w:r>
    </w:p>
    <w:tbl>
      <w:tblPr>
        <w:tblOverlap w:val="never"/>
        <w:jc w:val="center"/>
        <w:tblLayout w:type="fixed"/>
      </w:tblPr>
      <w:tblGrid>
        <w:gridCol w:w="1963"/>
        <w:gridCol w:w="1814"/>
        <w:gridCol w:w="1315"/>
        <w:gridCol w:w="1690"/>
        <w:gridCol w:w="1330"/>
        <w:gridCol w:w="1392"/>
      </w:tblGrid>
      <w:tr>
        <w:trPr>
          <w:trHeight w:val="350"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同比增减（%）</w:t>
            </w:r>
          </w:p>
        </w:tc>
      </w:tr>
      <w:tr>
        <w:trPr>
          <w:trHeight w:val="66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占营业收入比重</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占营业收入比重</w:t>
            </w:r>
          </w:p>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1,141,832,667.12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1,034,826,018.55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34,812,165.25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40,122,243.94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-13.23%</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439,081,953.44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332,901,259.58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306,951,382.08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257,860,466.04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19.04%</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-10,467,167.02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-0.42%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-11,576,546.45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-0.53%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-296,689.55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-1,252,368.99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76.31%</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9,490,784.51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-8,282,242.98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214.59%</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164,021,859.88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141,735,190.75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w:t>
            </w: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1,558,288.87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1,399,307.40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w:t>
            </w:r>
          </w:p>
        </w:tc>
      </w:tr>
      <w:tr>
        <w:trPr>
          <w:trHeight w:val="43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64,872,199.54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66,233,824.12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变动原因分析:</w:t>
      </w:r>
    </w:p>
    <w:p>
      <w:pPr>
        <w:pStyle w:val="Style35"/>
        <w:keepNext w:val="0"/>
        <w:keepLines w:val="0"/>
        <w:widowControl w:val="0"/>
        <w:shd w:val="clear" w:color="auto" w:fill="auto"/>
        <w:tabs>
          <w:tab w:pos="883" w:val="left"/>
        </w:tabs>
        <w:bidi w:val="0"/>
        <w:spacing w:before="0" w:after="0" w:line="322" w:lineRule="exact"/>
        <w:ind w:left="0" w:right="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报告期内，公司营业成本为</w:t>
      </w:r>
      <w:r>
        <w:rPr>
          <w:rFonts w:ascii="Times New Roman" w:eastAsia="Times New Roman" w:hAnsi="Times New Roman" w:cs="Times New Roman"/>
          <w:color w:val="000000"/>
          <w:spacing w:val="0"/>
          <w:w w:val="100"/>
          <w:position w:val="0"/>
        </w:rPr>
        <w:t>114,183.27</w:t>
      </w:r>
      <w:r>
        <w:rPr>
          <w:color w:val="000000"/>
          <w:spacing w:val="0"/>
          <w:w w:val="100"/>
          <w:position w:val="0"/>
        </w:rPr>
        <w:t>万元，比上年同期</w:t>
      </w:r>
      <w:r>
        <w:rPr>
          <w:rFonts w:ascii="Times New Roman" w:eastAsia="Times New Roman" w:hAnsi="Times New Roman" w:cs="Times New Roman"/>
          <w:color w:val="000000"/>
          <w:spacing w:val="0"/>
          <w:w w:val="100"/>
          <w:position w:val="0"/>
        </w:rPr>
        <w:t>103,482.6</w:t>
      </w:r>
      <w:r>
        <w:rPr>
          <w:rFonts w:ascii="Times New Roman" w:eastAsia="Times New Roman" w:hAnsi="Times New Roman" w:cs="Times New Roman"/>
          <w:color w:val="000000"/>
          <w:spacing w:val="0"/>
          <w:w w:val="100"/>
          <w:position w:val="0"/>
        </w:rPr>
        <w:t>0</w:t>
      </w:r>
      <w:r>
        <w:rPr>
          <w:color w:val="000000"/>
          <w:spacing w:val="0"/>
          <w:w w:val="100"/>
          <w:position w:val="0"/>
        </w:rPr>
        <w:t>万元增长</w:t>
      </w:r>
      <w:r>
        <w:rPr>
          <w:rFonts w:ascii="Times New Roman" w:eastAsia="Times New Roman" w:hAnsi="Times New Roman" w:cs="Times New Roman"/>
          <w:color w:val="000000"/>
          <w:spacing w:val="0"/>
          <w:w w:val="100"/>
          <w:position w:val="0"/>
        </w:rPr>
        <w:t>10.34%</w:t>
      </w:r>
      <w:r>
        <w:rPr>
          <w:color w:val="000000"/>
          <w:spacing w:val="0"/>
          <w:w w:val="100"/>
          <w:position w:val="0"/>
        </w:rPr>
        <w:t>,营业成本增长幅度低于营业 收入增长幅度；</w:t>
      </w:r>
    </w:p>
    <w:p>
      <w:pPr>
        <w:pStyle w:val="Style35"/>
        <w:keepNext w:val="0"/>
        <w:keepLines w:val="0"/>
        <w:widowControl w:val="0"/>
        <w:shd w:val="clear" w:color="auto" w:fill="auto"/>
        <w:bidi w:val="0"/>
        <w:spacing w:before="0" w:after="0" w:line="314" w:lineRule="exact"/>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年，公司营业成本占营业收入的</w:t>
      </w:r>
      <w:r>
        <w:rPr>
          <w:rFonts w:ascii="Times New Roman" w:eastAsia="Times New Roman" w:hAnsi="Times New Roman" w:cs="Times New Roman"/>
          <w:color w:val="000000"/>
          <w:spacing w:val="0"/>
          <w:w w:val="100"/>
          <w:position w:val="0"/>
        </w:rPr>
        <w:t>45.38%</w:t>
      </w:r>
      <w:r>
        <w:rPr>
          <w:color w:val="000000"/>
          <w:spacing w:val="0"/>
          <w:w w:val="100"/>
          <w:position w:val="0"/>
        </w:rPr>
        <w:t>，比上年同期</w:t>
      </w:r>
      <w:r>
        <w:rPr>
          <w:rFonts w:ascii="Times New Roman" w:eastAsia="Times New Roman" w:hAnsi="Times New Roman" w:cs="Times New Roman"/>
          <w:color w:val="000000"/>
          <w:spacing w:val="0"/>
          <w:w w:val="100"/>
          <w:position w:val="0"/>
        </w:rPr>
        <w:t>47.72%</w:t>
      </w:r>
      <w:r>
        <w:rPr>
          <w:color w:val="000000"/>
          <w:spacing w:val="0"/>
          <w:w w:val="100"/>
          <w:position w:val="0"/>
        </w:rPr>
        <w:t>下降</w:t>
      </w:r>
      <w:r>
        <w:rPr>
          <w:rFonts w:ascii="Times New Roman" w:eastAsia="Times New Roman" w:hAnsi="Times New Roman" w:cs="Times New Roman"/>
          <w:color w:val="000000"/>
          <w:spacing w:val="0"/>
          <w:w w:val="100"/>
          <w:position w:val="0"/>
        </w:rPr>
        <w:t>2.34</w:t>
      </w:r>
      <w:r>
        <w:rPr>
          <w:color w:val="000000"/>
          <w:spacing w:val="0"/>
          <w:w w:val="100"/>
          <w:position w:val="0"/>
        </w:rPr>
        <w:t>个百分点，即综合毛利率上升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.34</w:t>
      </w:r>
      <w:r>
        <w:rPr>
          <w:color w:val="000000"/>
          <w:spacing w:val="0"/>
          <w:w w:val="100"/>
          <w:position w:val="0"/>
        </w:rPr>
        <w:t>个百分点； 主要是由于拥有公司自主出钞机芯、自主循环机芯的</w:t>
      </w:r>
      <w:r>
        <w:rPr>
          <w:rFonts w:ascii="Times New Roman" w:eastAsia="Times New Roman" w:hAnsi="Times New Roman" w:cs="Times New Roman"/>
          <w:color w:val="000000"/>
          <w:spacing w:val="0"/>
          <w:w w:val="100"/>
          <w:position w:val="0"/>
        </w:rPr>
        <w:t>N</w:t>
      </w:r>
      <w:r>
        <w:rPr>
          <w:color w:val="000000"/>
          <w:spacing w:val="0"/>
          <w:w w:val="100"/>
          <w:position w:val="0"/>
        </w:rPr>
        <w:t>系列产品实现市场的全面切换，核心技术的大批量应用使得毛利率提 升；</w:t>
      </w:r>
    </w:p>
    <w:p>
      <w:pPr>
        <w:pStyle w:val="Style35"/>
        <w:keepNext w:val="0"/>
        <w:keepLines w:val="0"/>
        <w:widowControl w:val="0"/>
        <w:shd w:val="clear" w:color="auto" w:fill="auto"/>
        <w:tabs>
          <w:tab w:pos="812" w:val="left"/>
        </w:tabs>
        <w:bidi w:val="0"/>
        <w:spacing w:before="0" w:after="0" w:line="314" w:lineRule="exact"/>
        <w:ind w:left="0" w:right="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报告期内，营业税金及附加比上年同期减少</w:t>
      </w:r>
      <w:r>
        <w:rPr>
          <w:rFonts w:ascii="Times New Roman" w:eastAsia="Times New Roman" w:hAnsi="Times New Roman" w:cs="Times New Roman"/>
          <w:color w:val="000000"/>
          <w:spacing w:val="0"/>
          <w:w w:val="100"/>
          <w:position w:val="0"/>
        </w:rPr>
        <w:t>13.23%</w:t>
      </w:r>
      <w:r>
        <w:rPr>
          <w:color w:val="000000"/>
          <w:spacing w:val="0"/>
          <w:w w:val="100"/>
          <w:position w:val="0"/>
        </w:rPr>
        <w:t>，主要是服务业务实施“营改增”税收政策所致；</w:t>
      </w:r>
    </w:p>
    <w:p>
      <w:pPr>
        <w:pStyle w:val="Style35"/>
        <w:keepNext w:val="0"/>
        <w:keepLines w:val="0"/>
        <w:widowControl w:val="0"/>
        <w:shd w:val="clear" w:color="auto" w:fill="auto"/>
        <w:tabs>
          <w:tab w:pos="888" w:val="left"/>
        </w:tabs>
        <w:bidi w:val="0"/>
        <w:spacing w:before="0" w:after="0" w:line="312" w:lineRule="exact"/>
        <w:ind w:left="0" w:right="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报告期内，销售费用和管理费用同比增长分别为</w:t>
      </w:r>
      <w:r>
        <w:rPr>
          <w:rFonts w:ascii="Times New Roman" w:eastAsia="Times New Roman" w:hAnsi="Times New Roman" w:cs="Times New Roman"/>
          <w:color w:val="000000"/>
          <w:spacing w:val="0"/>
          <w:w w:val="100"/>
          <w:position w:val="0"/>
        </w:rPr>
        <w:t>31.90%</w:t>
      </w:r>
      <w:r>
        <w:rPr>
          <w:color w:val="000000"/>
          <w:spacing w:val="0"/>
          <w:w w:val="100"/>
          <w:position w:val="0"/>
        </w:rPr>
        <w:t>、</w:t>
      </w:r>
      <w:r>
        <w:rPr>
          <w:rFonts w:ascii="Times New Roman" w:eastAsia="Times New Roman" w:hAnsi="Times New Roman" w:cs="Times New Roman"/>
          <w:color w:val="000000"/>
          <w:spacing w:val="0"/>
          <w:w w:val="100"/>
          <w:position w:val="0"/>
        </w:rPr>
        <w:t>19.04%</w:t>
      </w:r>
      <w:r>
        <w:rPr>
          <w:color w:val="000000"/>
          <w:spacing w:val="0"/>
          <w:w w:val="100"/>
          <w:position w:val="0"/>
        </w:rPr>
        <w:t>,上述两项费用合计增长</w:t>
      </w:r>
      <w:r>
        <w:rPr>
          <w:rFonts w:ascii="Times New Roman" w:eastAsia="Times New Roman" w:hAnsi="Times New Roman" w:cs="Times New Roman"/>
          <w:color w:val="000000"/>
          <w:spacing w:val="0"/>
          <w:w w:val="100"/>
          <w:position w:val="0"/>
        </w:rPr>
        <w:t>26.28%</w:t>
      </w:r>
      <w:r>
        <w:rPr>
          <w:color w:val="000000"/>
          <w:spacing w:val="0"/>
          <w:w w:val="100"/>
          <w:position w:val="0"/>
        </w:rPr>
        <w:t>,主要是由于销 售额增加，使得直接与销售量和销售额相关的工资、服务费、代理费、运输费等变动销售费用随之增加；管理费用中，随着 公司规模增大、员工增加及核心技术研发投入加大，工资性费用、研究开发费均有较大的增长。上述两项费用占营业收入比 重为</w:t>
      </w:r>
      <w:r>
        <w:rPr>
          <w:rFonts w:ascii="Times New Roman" w:eastAsia="Times New Roman" w:hAnsi="Times New Roman" w:cs="Times New Roman"/>
          <w:color w:val="000000"/>
          <w:spacing w:val="0"/>
          <w:w w:val="100"/>
          <w:position w:val="0"/>
        </w:rPr>
        <w:t>29.65%</w:t>
      </w:r>
      <w:r>
        <w:rPr>
          <w:color w:val="000000"/>
          <w:spacing w:val="0"/>
          <w:w w:val="100"/>
          <w:position w:val="0"/>
        </w:rPr>
        <w:t>,比上年同期上升</w:t>
      </w:r>
      <w:r>
        <w:rPr>
          <w:rFonts w:ascii="Times New Roman" w:eastAsia="Times New Roman" w:hAnsi="Times New Roman" w:cs="Times New Roman"/>
          <w:color w:val="000000"/>
          <w:spacing w:val="0"/>
          <w:w w:val="100"/>
          <w:position w:val="0"/>
        </w:rPr>
        <w:t>2.41</w:t>
      </w:r>
      <w:r>
        <w:rPr>
          <w:color w:val="000000"/>
          <w:spacing w:val="0"/>
          <w:w w:val="100"/>
          <w:position w:val="0"/>
        </w:rPr>
        <w:t>个百分点；</w:t>
      </w:r>
    </w:p>
    <w:p>
      <w:pPr>
        <w:pStyle w:val="Style35"/>
        <w:keepNext w:val="0"/>
        <w:keepLines w:val="0"/>
        <w:widowControl w:val="0"/>
        <w:shd w:val="clear" w:color="auto" w:fill="auto"/>
        <w:tabs>
          <w:tab w:pos="888" w:val="left"/>
        </w:tabs>
        <w:bidi w:val="0"/>
        <w:spacing w:before="0" w:after="0" w:line="317" w:lineRule="exact"/>
        <w:ind w:left="0" w:right="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报告期内，公司财务费用为</w:t>
      </w:r>
      <w:r>
        <w:rPr>
          <w:rFonts w:ascii="Times New Roman" w:eastAsia="Times New Roman" w:hAnsi="Times New Roman" w:cs="Times New Roman"/>
          <w:color w:val="000000"/>
          <w:spacing w:val="0"/>
          <w:w w:val="100"/>
          <w:position w:val="0"/>
        </w:rPr>
        <w:t>-1,046.72</w:t>
      </w:r>
      <w:r>
        <w:rPr>
          <w:color w:val="000000"/>
          <w:spacing w:val="0"/>
          <w:w w:val="100"/>
          <w:position w:val="0"/>
        </w:rPr>
        <w:t>万元，比上年同期</w:t>
      </w:r>
      <w:r>
        <w:rPr>
          <w:rFonts w:ascii="Times New Roman" w:eastAsia="Times New Roman" w:hAnsi="Times New Roman" w:cs="Times New Roman"/>
          <w:color w:val="000000"/>
          <w:spacing w:val="0"/>
          <w:w w:val="100"/>
          <w:position w:val="0"/>
        </w:rPr>
        <w:t>-1,157.65</w:t>
      </w:r>
      <w:r>
        <w:rPr>
          <w:color w:val="000000"/>
          <w:spacing w:val="0"/>
          <w:w w:val="100"/>
          <w:position w:val="0"/>
        </w:rPr>
        <w:t>万元增长</w:t>
      </w:r>
      <w:r>
        <w:rPr>
          <w:rFonts w:ascii="Times New Roman" w:eastAsia="Times New Roman" w:hAnsi="Times New Roman" w:cs="Times New Roman"/>
          <w:color w:val="000000"/>
          <w:spacing w:val="0"/>
          <w:w w:val="100"/>
          <w:position w:val="0"/>
        </w:rPr>
        <w:t>9.58%</w:t>
      </w:r>
      <w:r>
        <w:rPr>
          <w:color w:val="000000"/>
          <w:spacing w:val="0"/>
          <w:w w:val="100"/>
          <w:position w:val="0"/>
        </w:rPr>
        <w:t>,主要是土耳其货币贬值汇兑损失 所致；</w:t>
      </w:r>
    </w:p>
    <w:p>
      <w:pPr>
        <w:pStyle w:val="Style35"/>
        <w:keepNext w:val="0"/>
        <w:keepLines w:val="0"/>
        <w:widowControl w:val="0"/>
        <w:shd w:val="clear" w:color="auto" w:fill="auto"/>
        <w:tabs>
          <w:tab w:pos="812" w:val="left"/>
        </w:tabs>
        <w:bidi w:val="0"/>
        <w:spacing w:before="0" w:after="0" w:line="314" w:lineRule="exact"/>
        <w:ind w:left="0" w:right="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报告期内，资产减值损失比上年同期增长</w:t>
      </w:r>
      <w:r>
        <w:rPr>
          <w:rFonts w:ascii="Times New Roman" w:eastAsia="Times New Roman" w:hAnsi="Times New Roman" w:cs="Times New Roman"/>
          <w:color w:val="000000"/>
          <w:spacing w:val="0"/>
          <w:w w:val="100"/>
          <w:position w:val="0"/>
        </w:rPr>
        <w:t>76.31%</w:t>
      </w:r>
      <w:r>
        <w:rPr>
          <w:color w:val="000000"/>
          <w:spacing w:val="0"/>
          <w:w w:val="100"/>
          <w:position w:val="0"/>
        </w:rPr>
        <w:t>,主要是核销的应收账款坏账损失所致；</w:t>
      </w:r>
    </w:p>
    <w:p>
      <w:pPr>
        <w:pStyle w:val="Style35"/>
        <w:keepNext w:val="0"/>
        <w:keepLines w:val="0"/>
        <w:widowControl w:val="0"/>
        <w:shd w:val="clear" w:color="auto" w:fill="auto"/>
        <w:tabs>
          <w:tab w:pos="888" w:val="left"/>
        </w:tabs>
        <w:bidi w:val="0"/>
        <w:spacing w:before="0" w:after="0" w:line="312" w:lineRule="exact"/>
        <w:ind w:left="0" w:right="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6</w:t>
      </w:r>
      <w:r>
        <w:rPr>
          <w:color w:val="000000"/>
          <w:spacing w:val="0"/>
          <w:w w:val="100"/>
          <w:position w:val="0"/>
        </w:rPr>
        <w:t>）</w:t>
        <w:tab/>
        <w:t>报告期内，投资收益</w:t>
      </w:r>
      <w:r>
        <w:rPr>
          <w:rFonts w:ascii="Times New Roman" w:eastAsia="Times New Roman" w:hAnsi="Times New Roman" w:cs="Times New Roman"/>
          <w:color w:val="000000"/>
          <w:spacing w:val="0"/>
          <w:w w:val="100"/>
          <w:position w:val="0"/>
        </w:rPr>
        <w:t>949.08</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,777.30</w:t>
      </w:r>
      <w:r>
        <w:rPr>
          <w:color w:val="000000"/>
          <w:spacing w:val="0"/>
          <w:w w:val="100"/>
          <w:position w:val="0"/>
        </w:rPr>
        <w:t>万元，增长</w:t>
      </w:r>
      <w:r>
        <w:rPr>
          <w:rFonts w:ascii="Times New Roman" w:eastAsia="Times New Roman" w:hAnsi="Times New Roman" w:cs="Times New Roman"/>
          <w:color w:val="000000"/>
          <w:spacing w:val="0"/>
          <w:w w:val="100"/>
          <w:position w:val="0"/>
        </w:rPr>
        <w:t>214.59%</w:t>
      </w:r>
      <w:r>
        <w:rPr>
          <w:color w:val="000000"/>
          <w:spacing w:val="0"/>
          <w:w w:val="100"/>
          <w:position w:val="0"/>
        </w:rPr>
        <w:t>，主要是委托理财的投资收益增加 所致；</w:t>
      </w:r>
    </w:p>
    <w:p>
      <w:pPr>
        <w:pStyle w:val="Style35"/>
        <w:keepNext w:val="0"/>
        <w:keepLines w:val="0"/>
        <w:widowControl w:val="0"/>
        <w:shd w:val="clear" w:color="auto" w:fill="auto"/>
        <w:tabs>
          <w:tab w:pos="812" w:val="left"/>
        </w:tabs>
        <w:bidi w:val="0"/>
        <w:spacing w:before="0" w:after="0" w:line="314" w:lineRule="exact"/>
        <w:ind w:left="0" w:right="0"/>
        <w:jc w:val="both"/>
      </w:pPr>
      <w:bookmarkStart w:id="119" w:name="bookmark119"/>
      <w:r>
        <w:rPr>
          <w:color w:val="000000"/>
          <w:spacing w:val="0"/>
          <w:w w:val="100"/>
          <w:position w:val="0"/>
        </w:rPr>
        <w:t>（</w:t>
      </w:r>
      <w:bookmarkEnd w:id="119"/>
      <w:r>
        <w:rPr>
          <w:rFonts w:ascii="Times New Roman" w:eastAsia="Times New Roman" w:hAnsi="Times New Roman" w:cs="Times New Roman"/>
          <w:color w:val="000000"/>
          <w:spacing w:val="0"/>
          <w:w w:val="100"/>
          <w:position w:val="0"/>
        </w:rPr>
        <w:t>7</w:t>
      </w:r>
      <w:r>
        <w:rPr>
          <w:color w:val="000000"/>
          <w:spacing w:val="0"/>
          <w:w w:val="100"/>
          <w:position w:val="0"/>
        </w:rPr>
        <w:t>）</w:t>
        <w:tab/>
        <w:t>报告期内，公司营业外支出</w:t>
      </w:r>
      <w:r>
        <w:rPr>
          <w:rFonts w:ascii="Times New Roman" w:eastAsia="Times New Roman" w:hAnsi="Times New Roman" w:cs="Times New Roman"/>
          <w:color w:val="000000"/>
          <w:spacing w:val="0"/>
          <w:w w:val="100"/>
          <w:position w:val="0"/>
        </w:rPr>
        <w:t>155.83</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15.90</w:t>
      </w:r>
      <w:r>
        <w:rPr>
          <w:color w:val="000000"/>
          <w:spacing w:val="0"/>
          <w:w w:val="100"/>
          <w:position w:val="0"/>
        </w:rPr>
        <w:t>万元，增长</w:t>
      </w:r>
      <w:r>
        <w:rPr>
          <w:rFonts w:ascii="Times New Roman" w:eastAsia="Times New Roman" w:hAnsi="Times New Roman" w:cs="Times New Roman"/>
          <w:color w:val="000000"/>
          <w:spacing w:val="0"/>
          <w:w w:val="100"/>
          <w:position w:val="0"/>
        </w:rPr>
        <w:t>11.36%</w:t>
      </w:r>
      <w:r>
        <w:rPr>
          <w:color w:val="000000"/>
          <w:spacing w:val="0"/>
          <w:w w:val="100"/>
          <w:position w:val="0"/>
        </w:rPr>
        <w:t>,主要是报废资产处置损失所致；</w:t>
      </w:r>
    </w:p>
    <w:p>
      <w:pPr>
        <w:pStyle w:val="Style35"/>
        <w:keepNext w:val="0"/>
        <w:keepLines w:val="0"/>
        <w:widowControl w:val="0"/>
        <w:shd w:val="clear" w:color="auto" w:fill="auto"/>
        <w:tabs>
          <w:tab w:pos="888" w:val="left"/>
        </w:tabs>
        <w:bidi w:val="0"/>
        <w:spacing w:before="0" w:after="0" w:line="326" w:lineRule="exact"/>
        <w:ind w:left="0" w:right="0"/>
        <w:jc w:val="both"/>
      </w:pPr>
      <w:bookmarkStart w:id="120" w:name="bookmark120"/>
      <w:r>
        <w:rPr>
          <w:color w:val="000000"/>
          <w:spacing w:val="0"/>
          <w:w w:val="100"/>
          <w:position w:val="0"/>
        </w:rPr>
        <w:t>（</w:t>
      </w:r>
      <w:bookmarkEnd w:id="120"/>
      <w:r>
        <w:rPr>
          <w:rFonts w:ascii="Times New Roman" w:eastAsia="Times New Roman" w:hAnsi="Times New Roman" w:cs="Times New Roman"/>
          <w:color w:val="000000"/>
          <w:spacing w:val="0"/>
          <w:w w:val="100"/>
          <w:position w:val="0"/>
        </w:rPr>
        <w:t>8</w:t>
      </w:r>
      <w:r>
        <w:rPr>
          <w:color w:val="000000"/>
          <w:spacing w:val="0"/>
          <w:w w:val="100"/>
          <w:position w:val="0"/>
        </w:rPr>
        <w:t>）</w:t>
        <w:tab/>
        <w:t>报告期内，公司所得税费用比上年同期减少</w:t>
      </w:r>
      <w:r>
        <w:rPr>
          <w:rFonts w:ascii="Times New Roman" w:eastAsia="Times New Roman" w:hAnsi="Times New Roman" w:cs="Times New Roman"/>
          <w:color w:val="000000"/>
          <w:spacing w:val="0"/>
          <w:w w:val="100"/>
          <w:position w:val="0"/>
        </w:rPr>
        <w:t>2.06%</w:t>
      </w:r>
      <w:r>
        <w:rPr>
          <w:color w:val="000000"/>
          <w:spacing w:val="0"/>
          <w:w w:val="100"/>
          <w:position w:val="0"/>
        </w:rPr>
        <w:t>,主要是收到</w:t>
      </w:r>
      <w:r>
        <w:rPr>
          <w:rFonts w:ascii="Times New Roman" w:eastAsia="Times New Roman" w:hAnsi="Times New Roman" w:cs="Times New Roman"/>
          <w:color w:val="000000"/>
          <w:spacing w:val="0"/>
          <w:w w:val="100"/>
          <w:position w:val="0"/>
        </w:rPr>
        <w:t>2011</w:t>
      </w:r>
      <w:r>
        <w:rPr>
          <w:color w:val="000000"/>
          <w:spacing w:val="0"/>
          <w:w w:val="100"/>
          <w:position w:val="0"/>
        </w:rPr>
        <w:t>年度国家规划布局内重点软件企业所得税退 税款所致。</w:t>
      </w:r>
    </w:p>
    <w:p>
      <w:pPr>
        <w:pStyle w:val="Style44"/>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5</w:t>
      </w:r>
      <w:bookmarkEnd w:id="123"/>
      <w:r>
        <w:rPr>
          <w:color w:val="000000"/>
          <w:spacing w:val="0"/>
          <w:w w:val="100"/>
          <w:position w:val="0"/>
        </w:rPr>
        <w:t>、研发支出</w:t>
      </w:r>
      <w:bookmarkEnd w:id="121"/>
      <w:bookmarkEnd w:id="122"/>
      <w:bookmarkEnd w:id="124"/>
    </w:p>
    <w:p>
      <w:pPr>
        <w:pStyle w:val="Style35"/>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公司近三年研发投入情况如下:</w:t>
      </w:r>
    </w:p>
    <w:p>
      <w:pPr>
        <w:pStyle w:val="Style33"/>
        <w:keepNext w:val="0"/>
        <w:keepLines w:val="0"/>
        <w:widowControl w:val="0"/>
        <w:shd w:val="clear" w:color="auto" w:fill="auto"/>
        <w:bidi w:val="0"/>
        <w:spacing w:before="0" w:after="0" w:line="240" w:lineRule="auto"/>
        <w:ind w:left="8606" w:right="0" w:firstLine="0"/>
        <w:jc w:val="left"/>
      </w:pPr>
      <w:r>
        <w:rPr>
          <w:color w:val="000000"/>
          <w:spacing w:val="0"/>
          <w:w w:val="100"/>
          <w:position w:val="0"/>
        </w:rPr>
        <w:t>单位：元</w:t>
      </w:r>
    </w:p>
    <w:tbl>
      <w:tblPr>
        <w:tblOverlap w:val="never"/>
        <w:jc w:val="center"/>
        <w:tblLayout w:type="fixed"/>
      </w:tblPr>
      <w:tblGrid>
        <w:gridCol w:w="1872"/>
        <w:gridCol w:w="2160"/>
        <w:gridCol w:w="1978"/>
        <w:gridCol w:w="1978"/>
        <w:gridCol w:w="1786"/>
      </w:tblGrid>
      <w:tr>
        <w:trPr>
          <w:trHeight w:val="36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研发支出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占净资产的比例（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182,320,562.00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3,620,686,011.46</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155,218,810.73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7.16%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2,993,779,372.58</w:t>
            </w:r>
          </w:p>
        </w:tc>
      </w:tr>
      <w:tr>
        <w:trPr>
          <w:trHeight w:val="41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124,520,199.40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5.96%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5.06%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2,461,021,724.52</w:t>
            </w:r>
          </w:p>
        </w:tc>
      </w:tr>
    </w:tbl>
    <w:p>
      <w:pPr>
        <w:pStyle w:val="Style33"/>
        <w:keepNext w:val="0"/>
        <w:keepLines w:val="0"/>
        <w:widowControl w:val="0"/>
        <w:shd w:val="clear" w:color="auto" w:fill="auto"/>
        <w:bidi w:val="0"/>
        <w:spacing w:before="0" w:after="0" w:line="240" w:lineRule="auto"/>
        <w:ind w:left="408" w:right="0" w:firstLine="0"/>
        <w:jc w:val="left"/>
      </w:pPr>
      <w:r>
        <w:rPr>
          <w:color w:val="000000"/>
          <w:spacing w:val="0"/>
          <w:w w:val="100"/>
          <w:position w:val="0"/>
        </w:rPr>
        <w:t>一直以来，公司高度重视技术研发，把研发放在战略高度，坚持研发高投入，以市场为导向，不断开发新产品，完</w:t>
      </w:r>
    </w:p>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善核心技术，升级产品结构，全面提升公司综合竞争力。</w:t>
      </w:r>
    </w:p>
    <w:p>
      <w:pPr>
        <w:pStyle w:val="Style35"/>
        <w:keepNext w:val="0"/>
        <w:keepLines w:val="0"/>
        <w:widowControl w:val="0"/>
        <w:shd w:val="clear" w:color="auto" w:fill="auto"/>
        <w:bidi w:val="0"/>
        <w:spacing w:before="0" w:after="380" w:line="312" w:lineRule="exact"/>
        <w:ind w:left="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年度，公司共确认申请专利</w:t>
      </w:r>
      <w:r>
        <w:rPr>
          <w:rFonts w:ascii="Times New Roman" w:eastAsia="Times New Roman" w:hAnsi="Times New Roman" w:cs="Times New Roman"/>
          <w:color w:val="000000"/>
          <w:spacing w:val="0"/>
          <w:w w:val="100"/>
          <w:position w:val="0"/>
        </w:rPr>
        <w:t>385</w:t>
      </w:r>
      <w:r>
        <w:rPr>
          <w:color w:val="000000"/>
          <w:spacing w:val="0"/>
          <w:w w:val="100"/>
          <w:position w:val="0"/>
        </w:rPr>
        <w:t>项，其中国内发明专利</w:t>
      </w:r>
      <w:r>
        <w:rPr>
          <w:rFonts w:ascii="Times New Roman" w:eastAsia="Times New Roman" w:hAnsi="Times New Roman" w:cs="Times New Roman"/>
          <w:color w:val="000000"/>
          <w:spacing w:val="0"/>
          <w:w w:val="100"/>
          <w:position w:val="0"/>
        </w:rPr>
        <w:t>73</w:t>
      </w:r>
      <w:r>
        <w:rPr>
          <w:color w:val="000000"/>
          <w:spacing w:val="0"/>
          <w:w w:val="100"/>
          <w:position w:val="0"/>
        </w:rPr>
        <w:t>项目，实用新型专利</w:t>
      </w:r>
      <w:r>
        <w:rPr>
          <w:rFonts w:ascii="Times New Roman" w:eastAsia="Times New Roman" w:hAnsi="Times New Roman" w:cs="Times New Roman"/>
          <w:color w:val="000000"/>
          <w:spacing w:val="0"/>
          <w:w w:val="100"/>
          <w:position w:val="0"/>
        </w:rPr>
        <w:t>16</w:t>
      </w:r>
      <w:r>
        <w:rPr>
          <w:color w:val="000000"/>
          <w:spacing w:val="0"/>
          <w:w w:val="100"/>
          <w:position w:val="0"/>
        </w:rPr>
        <w:t>项，外观设计专利</w:t>
      </w:r>
      <w:r>
        <w:rPr>
          <w:rFonts w:ascii="Times New Roman" w:eastAsia="Times New Roman" w:hAnsi="Times New Roman" w:cs="Times New Roman"/>
          <w:color w:val="000000"/>
          <w:spacing w:val="0"/>
          <w:w w:val="100"/>
          <w:position w:val="0"/>
        </w:rPr>
        <w:t>69</w:t>
      </w:r>
      <w:r>
        <w:rPr>
          <w:color w:val="000000"/>
          <w:spacing w:val="0"/>
          <w:w w:val="100"/>
          <w:position w:val="0"/>
        </w:rPr>
        <w:t>项，</w:t>
      </w:r>
      <w:r>
        <w:rPr>
          <w:rFonts w:ascii="Times New Roman" w:eastAsia="Times New Roman" w:hAnsi="Times New Roman" w:cs="Times New Roman"/>
          <w:color w:val="000000"/>
          <w:spacing w:val="0"/>
          <w:w w:val="100"/>
          <w:position w:val="0"/>
        </w:rPr>
        <w:t>PCT</w:t>
      </w:r>
      <w:r>
        <w:rPr>
          <w:color w:val="000000"/>
          <w:spacing w:val="0"/>
          <w:w w:val="100"/>
          <w:position w:val="0"/>
        </w:rPr>
        <w:t>国际 专利申请</w:t>
      </w:r>
      <w:r>
        <w:rPr>
          <w:rFonts w:ascii="Times New Roman" w:eastAsia="Times New Roman" w:hAnsi="Times New Roman" w:cs="Times New Roman"/>
          <w:color w:val="000000"/>
          <w:spacing w:val="0"/>
          <w:w w:val="100"/>
          <w:position w:val="0"/>
        </w:rPr>
        <w:t>57</w:t>
      </w:r>
      <w:r>
        <w:rPr>
          <w:color w:val="000000"/>
          <w:spacing w:val="0"/>
          <w:w w:val="100"/>
          <w:position w:val="0"/>
        </w:rPr>
        <w:t>项，国外发明专利申请</w:t>
      </w:r>
      <w:r>
        <w:rPr>
          <w:rFonts w:ascii="Times New Roman" w:eastAsia="Times New Roman" w:hAnsi="Times New Roman" w:cs="Times New Roman"/>
          <w:color w:val="000000"/>
          <w:spacing w:val="0"/>
          <w:w w:val="100"/>
          <w:position w:val="0"/>
        </w:rPr>
        <w:t>166</w:t>
      </w:r>
      <w:r>
        <w:rPr>
          <w:color w:val="000000"/>
          <w:spacing w:val="0"/>
          <w:w w:val="100"/>
          <w:position w:val="0"/>
        </w:rPr>
        <w:t>项，国外外观设计专利申请</w:t>
      </w:r>
      <w:r>
        <w:rPr>
          <w:rFonts w:ascii="Times New Roman" w:eastAsia="Times New Roman" w:hAnsi="Times New Roman" w:cs="Times New Roman"/>
          <w:color w:val="000000"/>
          <w:spacing w:val="0"/>
          <w:w w:val="100"/>
          <w:position w:val="0"/>
        </w:rPr>
        <w:t>4</w:t>
      </w:r>
      <w:r>
        <w:rPr>
          <w:color w:val="000000"/>
          <w:spacing w:val="0"/>
          <w:w w:val="100"/>
          <w:position w:val="0"/>
        </w:rPr>
        <w:t>项。获得专利授权</w:t>
      </w:r>
      <w:r>
        <w:rPr>
          <w:rFonts w:ascii="Times New Roman" w:eastAsia="Times New Roman" w:hAnsi="Times New Roman" w:cs="Times New Roman"/>
          <w:color w:val="000000"/>
          <w:spacing w:val="0"/>
          <w:w w:val="100"/>
          <w:position w:val="0"/>
        </w:rPr>
        <w:t>94</w:t>
      </w:r>
      <w:r>
        <w:rPr>
          <w:color w:val="000000"/>
          <w:spacing w:val="0"/>
          <w:w w:val="100"/>
          <w:position w:val="0"/>
        </w:rPr>
        <w:t>项，其中国内发明专利授权</w:t>
      </w:r>
      <w:r>
        <w:rPr>
          <w:rFonts w:ascii="Times New Roman" w:eastAsia="Times New Roman" w:hAnsi="Times New Roman" w:cs="Times New Roman"/>
          <w:color w:val="000000"/>
          <w:spacing w:val="0"/>
          <w:w w:val="100"/>
          <w:position w:val="0"/>
        </w:rPr>
        <w:t>26</w:t>
      </w:r>
      <w:r>
        <w:rPr>
          <w:color w:val="000000"/>
          <w:spacing w:val="0"/>
          <w:w w:val="100"/>
          <w:position w:val="0"/>
        </w:rPr>
        <w:t>项，国 内实用新型专利授权</w:t>
      </w:r>
      <w:r>
        <w:rPr>
          <w:rFonts w:ascii="Times New Roman" w:eastAsia="Times New Roman" w:hAnsi="Times New Roman" w:cs="Times New Roman"/>
          <w:color w:val="000000"/>
          <w:spacing w:val="0"/>
          <w:w w:val="100"/>
          <w:position w:val="0"/>
        </w:rPr>
        <w:t>21</w:t>
      </w:r>
      <w:r>
        <w:rPr>
          <w:color w:val="000000"/>
          <w:spacing w:val="0"/>
          <w:w w:val="100"/>
          <w:position w:val="0"/>
        </w:rPr>
        <w:t>项，国内外观设计专利授权</w:t>
      </w:r>
      <w:r>
        <w:rPr>
          <w:rFonts w:ascii="Times New Roman" w:eastAsia="Times New Roman" w:hAnsi="Times New Roman" w:cs="Times New Roman"/>
          <w:color w:val="000000"/>
          <w:spacing w:val="0"/>
          <w:w w:val="100"/>
          <w:position w:val="0"/>
        </w:rPr>
        <w:t>37</w:t>
      </w:r>
      <w:r>
        <w:rPr>
          <w:color w:val="000000"/>
          <w:spacing w:val="0"/>
          <w:w w:val="100"/>
          <w:position w:val="0"/>
        </w:rPr>
        <w:t>项目，国外发明专利授权</w:t>
      </w:r>
      <w:r>
        <w:rPr>
          <w:rFonts w:ascii="Times New Roman" w:eastAsia="Times New Roman" w:hAnsi="Times New Roman" w:cs="Times New Roman"/>
          <w:color w:val="000000"/>
          <w:spacing w:val="0"/>
          <w:w w:val="100"/>
          <w:position w:val="0"/>
        </w:rPr>
        <w:t>10</w:t>
      </w:r>
      <w:r>
        <w:rPr>
          <w:color w:val="000000"/>
          <w:spacing w:val="0"/>
          <w:w w:val="100"/>
          <w:position w:val="0"/>
        </w:rPr>
        <w:t>项。办理软件著作权登记</w:t>
      </w:r>
      <w:r>
        <w:rPr>
          <w:rFonts w:ascii="Times New Roman" w:eastAsia="Times New Roman" w:hAnsi="Times New Roman" w:cs="Times New Roman"/>
          <w:color w:val="000000"/>
          <w:spacing w:val="0"/>
          <w:w w:val="100"/>
          <w:position w:val="0"/>
        </w:rPr>
        <w:t>4</w:t>
      </w:r>
      <w:r>
        <w:rPr>
          <w:color w:val="000000"/>
          <w:spacing w:val="0"/>
          <w:w w:val="100"/>
          <w:position w:val="0"/>
        </w:rPr>
        <w:t>项，软件产品登 记</w:t>
      </w:r>
      <w:r>
        <w:rPr>
          <w:rFonts w:ascii="Times New Roman" w:eastAsia="Times New Roman" w:hAnsi="Times New Roman" w:cs="Times New Roman"/>
          <w:color w:val="000000"/>
          <w:spacing w:val="0"/>
          <w:w w:val="100"/>
          <w:position w:val="0"/>
        </w:rPr>
        <w:t>6</w:t>
      </w:r>
      <w:r>
        <w:rPr>
          <w:color w:val="000000"/>
          <w:spacing w:val="0"/>
          <w:w w:val="100"/>
          <w:position w:val="0"/>
        </w:rPr>
        <w:t>项。</w:t>
      </w:r>
      <w:r>
        <w:rPr>
          <w:rFonts w:ascii="Times New Roman" w:eastAsia="Times New Roman" w:hAnsi="Times New Roman" w:cs="Times New Roman"/>
          <w:color w:val="000000"/>
          <w:spacing w:val="0"/>
          <w:w w:val="100"/>
          <w:position w:val="0"/>
        </w:rPr>
        <w:t>2013</w:t>
      </w:r>
      <w:r>
        <w:rPr>
          <w:color w:val="000000"/>
          <w:spacing w:val="0"/>
          <w:w w:val="100"/>
          <w:position w:val="0"/>
        </w:rPr>
        <w:t>年，公司荣获“第二届广州知识产权保护市长奖”二等奖、</w:t>
      </w:r>
      <w:r>
        <w:rPr>
          <w:rFonts w:ascii="Times New Roman" w:eastAsia="Times New Roman" w:hAnsi="Times New Roman" w:cs="Times New Roman"/>
          <w:color w:val="000000"/>
          <w:spacing w:val="0"/>
          <w:w w:val="100"/>
          <w:position w:val="0"/>
        </w:rPr>
        <w:t>2013</w:t>
      </w:r>
      <w:r>
        <w:rPr>
          <w:color w:val="000000"/>
          <w:spacing w:val="0"/>
          <w:w w:val="100"/>
          <w:position w:val="0"/>
        </w:rPr>
        <w:t>年“广东省专利奖”优秀奖。</w:t>
      </w:r>
    </w:p>
    <w:p>
      <w:pPr>
        <w:pStyle w:val="Style44"/>
        <w:keepNext/>
        <w:keepLines/>
        <w:widowControl w:val="0"/>
        <w:shd w:val="clear" w:color="auto" w:fill="auto"/>
        <w:bidi w:val="0"/>
        <w:spacing w:before="0" w:after="380" w:line="240" w:lineRule="auto"/>
        <w:ind w:left="0" w:right="0" w:firstLine="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6</w:t>
      </w:r>
      <w:bookmarkEnd w:id="127"/>
      <w:r>
        <w:rPr>
          <w:color w:val="000000"/>
          <w:spacing w:val="0"/>
          <w:w w:val="100"/>
          <w:position w:val="0"/>
        </w:rPr>
        <w:t>、现金流</w:t>
      </w:r>
      <w:bookmarkEnd w:id="125"/>
      <w:bookmarkEnd w:id="126"/>
      <w:bookmarkEnd w:id="128"/>
    </w:p>
    <w:p>
      <w:pPr>
        <w:pStyle w:val="Style33"/>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3422"/>
        <w:gridCol w:w="2347"/>
        <w:gridCol w:w="2150"/>
        <w:gridCol w:w="1661"/>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r>
              <w:rPr>
                <w:color w:val="000000"/>
                <w:spacing w:val="0"/>
                <w:w w:val="100"/>
                <w:position w:val="0"/>
              </w:rPr>
              <w:t>%</w:t>
            </w:r>
            <w:r>
              <w:rPr>
                <w:rFonts w:ascii="SimSun" w:eastAsia="SimSun" w:hAnsi="SimSun" w:cs="SimSun"/>
                <w:color w:val="000000"/>
                <w:spacing w:val="0"/>
                <w:w w:val="100"/>
                <w:position w:val="0"/>
              </w:rPr>
              <w:t>）</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3,605,270,990.29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3,108,474,747.09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15.98%</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2,889,977,488.29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2,251,575,499.35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715,293,502.00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856,899,247.74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3,867,717,368.96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1,169,079.93%</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4,754,144,378.11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22,060,702.97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21,450.29%</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-886,427,009.15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-21,729,896.97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-3,979.30%</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1,711,282.43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558.57%</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197,070,291.45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50,209,773.40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292.49%</w:t>
            </w:r>
          </w:p>
        </w:tc>
      </w:tr>
      <w:tr>
        <w:trPr>
          <w:trHeight w:val="32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-185,800,291.45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-48,498,490.97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-283.11%</w:t>
            </w:r>
          </w:p>
        </w:tc>
      </w:tr>
      <w:tr>
        <w:trPr>
          <w:trHeight w:val="331"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-358,664,622.00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787,316,595.57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w:t>
            </w:r>
          </w:p>
        </w:tc>
      </w:tr>
    </w:tbl>
    <w:p>
      <w:pPr>
        <w:widowControl w:val="0"/>
        <w:spacing w:after="59" w:line="1" w:lineRule="exact"/>
      </w:pP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V适用口不适用 </w:t>
      </w:r>
      <w:r>
        <w:rPr>
          <w:color w:val="000000"/>
          <w:spacing w:val="0"/>
          <w:w w:val="100"/>
          <w:position w:val="0"/>
        </w:rPr>
        <w:t>变动原因分析：</w:t>
      </w:r>
    </w:p>
    <w:p>
      <w:pPr>
        <w:pStyle w:val="Style35"/>
        <w:keepNext w:val="0"/>
        <w:keepLines w:val="0"/>
        <w:widowControl w:val="0"/>
        <w:shd w:val="clear" w:color="auto" w:fill="auto"/>
        <w:tabs>
          <w:tab w:pos="720" w:val="left"/>
        </w:tabs>
        <w:bidi w:val="0"/>
        <w:spacing w:before="0" w:after="0" w:line="312" w:lineRule="exact"/>
        <w:ind w:left="0" w:right="0" w:firstLine="280"/>
        <w:jc w:val="both"/>
      </w:pPr>
      <w:bookmarkStart w:id="129" w:name="bookmark129"/>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w:t>
        <w:tab/>
        <w:t>经营活动现金流量</w:t>
      </w:r>
    </w:p>
    <w:p>
      <w:pPr>
        <w:pStyle w:val="Style35"/>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201</w:t>
      </w:r>
      <w:r>
        <w:rPr>
          <w:color w:val="000000"/>
          <w:spacing w:val="0"/>
          <w:w w:val="100"/>
          <w:position w:val="0"/>
        </w:rPr>
        <w:t>3年，公司经营活动产生的现金流入为</w:t>
      </w:r>
      <w:r>
        <w:rPr>
          <w:rFonts w:ascii="Times New Roman" w:eastAsia="Times New Roman" w:hAnsi="Times New Roman" w:cs="Times New Roman"/>
          <w:color w:val="000000"/>
          <w:spacing w:val="0"/>
          <w:w w:val="100"/>
          <w:position w:val="0"/>
        </w:rPr>
        <w:t>360,527.10</w:t>
      </w:r>
      <w:r>
        <w:rPr>
          <w:color w:val="000000"/>
          <w:spacing w:val="0"/>
          <w:w w:val="100"/>
          <w:position w:val="0"/>
        </w:rPr>
        <w:t>万元，比上年同期</w:t>
      </w:r>
      <w:r>
        <w:rPr>
          <w:rFonts w:ascii="Times New Roman" w:eastAsia="Times New Roman" w:hAnsi="Times New Roman" w:cs="Times New Roman"/>
          <w:color w:val="000000"/>
          <w:spacing w:val="0"/>
          <w:w w:val="100"/>
          <w:position w:val="0"/>
        </w:rPr>
        <w:t>310,847.47</w:t>
      </w:r>
      <w:r>
        <w:rPr>
          <w:color w:val="000000"/>
          <w:spacing w:val="0"/>
          <w:w w:val="100"/>
          <w:position w:val="0"/>
        </w:rPr>
        <w:t>万元增长</w:t>
      </w:r>
      <w:r>
        <w:rPr>
          <w:rFonts w:ascii="Times New Roman" w:eastAsia="Times New Roman" w:hAnsi="Times New Roman" w:cs="Times New Roman"/>
          <w:color w:val="000000"/>
          <w:spacing w:val="0"/>
          <w:w w:val="100"/>
          <w:position w:val="0"/>
        </w:rPr>
        <w:t>15.98%</w:t>
      </w:r>
      <w:r>
        <w:rPr>
          <w:color w:val="000000"/>
          <w:spacing w:val="0"/>
          <w:w w:val="100"/>
          <w:position w:val="0"/>
        </w:rPr>
        <w:t>，其中销售产品、提 供劳务收到的现金</w:t>
      </w:r>
      <w:r>
        <w:rPr>
          <w:rFonts w:ascii="Times New Roman" w:eastAsia="Times New Roman" w:hAnsi="Times New Roman" w:cs="Times New Roman"/>
          <w:color w:val="000000"/>
          <w:spacing w:val="0"/>
          <w:w w:val="100"/>
          <w:position w:val="0"/>
        </w:rPr>
        <w:t>309,735.98</w:t>
      </w:r>
      <w:r>
        <w:rPr>
          <w:color w:val="000000"/>
          <w:spacing w:val="0"/>
          <w:w w:val="100"/>
          <w:position w:val="0"/>
        </w:rPr>
        <w:t>万元，比上年同期</w:t>
      </w:r>
      <w:r>
        <w:rPr>
          <w:rFonts w:ascii="Times New Roman" w:eastAsia="Times New Roman" w:hAnsi="Times New Roman" w:cs="Times New Roman"/>
          <w:color w:val="000000"/>
          <w:spacing w:val="0"/>
          <w:w w:val="100"/>
          <w:position w:val="0"/>
        </w:rPr>
        <w:t>287,979.6</w:t>
      </w:r>
      <w:r>
        <w:rPr>
          <w:rFonts w:ascii="Times New Roman" w:eastAsia="Times New Roman" w:hAnsi="Times New Roman" w:cs="Times New Roman"/>
          <w:color w:val="000000"/>
          <w:spacing w:val="0"/>
          <w:w w:val="100"/>
          <w:position w:val="0"/>
        </w:rPr>
        <w:t>1</w:t>
      </w:r>
      <w:r>
        <w:rPr>
          <w:color w:val="000000"/>
          <w:spacing w:val="0"/>
          <w:w w:val="100"/>
          <w:position w:val="0"/>
        </w:rPr>
        <w:t>万元增长</w:t>
      </w:r>
      <w:r>
        <w:rPr>
          <w:rFonts w:ascii="Times New Roman" w:eastAsia="Times New Roman" w:hAnsi="Times New Roman" w:cs="Times New Roman"/>
          <w:color w:val="000000"/>
          <w:spacing w:val="0"/>
          <w:w w:val="100"/>
          <w:position w:val="0"/>
        </w:rPr>
        <w:t>7.55%</w:t>
      </w:r>
      <w:r>
        <w:rPr>
          <w:color w:val="000000"/>
          <w:spacing w:val="0"/>
          <w:w w:val="100"/>
          <w:position w:val="0"/>
        </w:rPr>
        <w:t>，主要是因为销售收入增加，货款及时回笼。</w:t>
      </w:r>
    </w:p>
    <w:p>
      <w:pPr>
        <w:pStyle w:val="Style3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经营活动产生的现金流出为</w:t>
      </w:r>
      <w:r>
        <w:rPr>
          <w:rFonts w:ascii="Times New Roman" w:eastAsia="Times New Roman" w:hAnsi="Times New Roman" w:cs="Times New Roman"/>
          <w:color w:val="000000"/>
          <w:spacing w:val="0"/>
          <w:w w:val="100"/>
          <w:position w:val="0"/>
        </w:rPr>
        <w:t>288,997.75</w:t>
      </w:r>
      <w:r>
        <w:rPr>
          <w:color w:val="000000"/>
          <w:spacing w:val="0"/>
          <w:w w:val="100"/>
          <w:position w:val="0"/>
        </w:rPr>
        <w:t>万元，比上年同期</w:t>
      </w:r>
      <w:r>
        <w:rPr>
          <w:rFonts w:ascii="Times New Roman" w:eastAsia="Times New Roman" w:hAnsi="Times New Roman" w:cs="Times New Roman"/>
          <w:color w:val="000000"/>
          <w:spacing w:val="0"/>
          <w:w w:val="100"/>
          <w:position w:val="0"/>
        </w:rPr>
        <w:t>225,157.55</w:t>
      </w:r>
      <w:r>
        <w:rPr>
          <w:color w:val="000000"/>
          <w:spacing w:val="0"/>
          <w:w w:val="100"/>
          <w:position w:val="0"/>
        </w:rPr>
        <w:t>万元增长</w:t>
      </w:r>
      <w:r>
        <w:rPr>
          <w:rFonts w:ascii="Times New Roman" w:eastAsia="Times New Roman" w:hAnsi="Times New Roman" w:cs="Times New Roman"/>
          <w:color w:val="000000"/>
          <w:spacing w:val="0"/>
          <w:w w:val="100"/>
          <w:position w:val="0"/>
        </w:rPr>
        <w:t>28.35%</w:t>
      </w:r>
      <w:r>
        <w:rPr>
          <w:color w:val="000000"/>
          <w:spacing w:val="0"/>
          <w:w w:val="100"/>
          <w:position w:val="0"/>
        </w:rPr>
        <w:t>,主要是购买商品、接受劳务支付 的现金和支付给职工以及为职工支付的现金及支付其他与经营活动有关的现金增加。</w:t>
      </w:r>
    </w:p>
    <w:p>
      <w:pPr>
        <w:pStyle w:val="Style3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经营活动产生的现金流量净额为</w:t>
      </w:r>
      <w:r>
        <w:rPr>
          <w:rFonts w:ascii="Times New Roman" w:eastAsia="Times New Roman" w:hAnsi="Times New Roman" w:cs="Times New Roman"/>
          <w:color w:val="000000"/>
          <w:spacing w:val="0"/>
          <w:w w:val="100"/>
          <w:position w:val="0"/>
        </w:rPr>
        <w:t>71,529.35</w:t>
      </w:r>
      <w:r>
        <w:rPr>
          <w:color w:val="000000"/>
          <w:spacing w:val="0"/>
          <w:w w:val="100"/>
          <w:position w:val="0"/>
        </w:rPr>
        <w:t>万元，比上年同期</w:t>
      </w:r>
      <w:r>
        <w:rPr>
          <w:rFonts w:ascii="Times New Roman" w:eastAsia="Times New Roman" w:hAnsi="Times New Roman" w:cs="Times New Roman"/>
          <w:color w:val="000000"/>
          <w:spacing w:val="0"/>
          <w:w w:val="100"/>
          <w:position w:val="0"/>
        </w:rPr>
        <w:t>85,689.92</w:t>
      </w:r>
      <w:r>
        <w:rPr>
          <w:color w:val="000000"/>
          <w:spacing w:val="0"/>
          <w:w w:val="100"/>
          <w:position w:val="0"/>
        </w:rPr>
        <w:t>万元减少</w:t>
      </w:r>
      <w:r>
        <w:rPr>
          <w:rFonts w:ascii="Times New Roman" w:eastAsia="Times New Roman" w:hAnsi="Times New Roman" w:cs="Times New Roman"/>
          <w:color w:val="000000"/>
          <w:spacing w:val="0"/>
          <w:w w:val="100"/>
          <w:position w:val="0"/>
        </w:rPr>
        <w:t>14,160.57</w:t>
      </w:r>
      <w:r>
        <w:rPr>
          <w:color w:val="000000"/>
          <w:spacing w:val="0"/>
          <w:w w:val="100"/>
          <w:position w:val="0"/>
        </w:rPr>
        <w:t>万元，同比减少幅度为</w:t>
      </w:r>
      <w:r>
        <w:rPr>
          <w:rFonts w:ascii="Times New Roman" w:eastAsia="Times New Roman" w:hAnsi="Times New Roman" w:cs="Times New Roman"/>
          <w:color w:val="000000"/>
          <w:spacing w:val="0"/>
          <w:w w:val="100"/>
          <w:position w:val="0"/>
        </w:rPr>
        <w:t>16.53%</w:t>
      </w:r>
      <w:r>
        <w:rPr>
          <w:color w:val="000000"/>
          <w:spacing w:val="0"/>
          <w:w w:val="100"/>
          <w:position w:val="0"/>
        </w:rPr>
        <w:t>。</w:t>
      </w:r>
    </w:p>
    <w:p>
      <w:pPr>
        <w:pStyle w:val="Style35"/>
        <w:keepNext w:val="0"/>
        <w:keepLines w:val="0"/>
        <w:widowControl w:val="0"/>
        <w:shd w:val="clear" w:color="auto" w:fill="auto"/>
        <w:tabs>
          <w:tab w:pos="720" w:val="left"/>
        </w:tabs>
        <w:bidi w:val="0"/>
        <w:spacing w:before="0" w:after="0" w:line="322" w:lineRule="exact"/>
        <w:ind w:left="0" w:right="0" w:firstLine="280"/>
        <w:jc w:val="both"/>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rPr>
        <w:t>2</w:t>
      </w:r>
      <w:r>
        <w:rPr>
          <w:color w:val="000000"/>
          <w:spacing w:val="0"/>
          <w:w w:val="100"/>
          <w:position w:val="0"/>
        </w:rPr>
        <w:t>）</w:t>
        <w:tab/>
        <w:t>投资活动现金流量</w:t>
      </w:r>
    </w:p>
    <w:p>
      <w:pPr>
        <w:pStyle w:val="Style35"/>
        <w:keepNext w:val="0"/>
        <w:keepLines w:val="0"/>
        <w:widowControl w:val="0"/>
        <w:shd w:val="clear" w:color="auto" w:fill="auto"/>
        <w:bidi w:val="0"/>
        <w:spacing w:before="0" w:after="0" w:line="322" w:lineRule="exact"/>
        <w:ind w:left="0" w:right="0" w:firstLine="420"/>
        <w:jc w:val="both"/>
      </w:pPr>
      <w:r>
        <w:rPr>
          <w:rFonts w:ascii="Times New Roman" w:eastAsia="Times New Roman" w:hAnsi="Times New Roman" w:cs="Times New Roman"/>
          <w:color w:val="000000"/>
          <w:spacing w:val="0"/>
          <w:w w:val="100"/>
          <w:position w:val="0"/>
        </w:rPr>
        <w:t>201</w:t>
      </w:r>
      <w:r>
        <w:rPr>
          <w:color w:val="000000"/>
          <w:spacing w:val="0"/>
          <w:w w:val="100"/>
          <w:position w:val="0"/>
        </w:rPr>
        <w:t>3年，公司投资活动产生的现金净流量</w:t>
      </w:r>
      <w:r>
        <w:rPr>
          <w:rFonts w:ascii="Times New Roman" w:eastAsia="Times New Roman" w:hAnsi="Times New Roman" w:cs="Times New Roman"/>
          <w:color w:val="000000"/>
          <w:spacing w:val="0"/>
          <w:w w:val="100"/>
          <w:position w:val="0"/>
        </w:rPr>
        <w:t>-88,642.70</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3,979.30%</w:t>
      </w:r>
      <w:r>
        <w:rPr>
          <w:color w:val="000000"/>
          <w:spacing w:val="0"/>
          <w:w w:val="100"/>
          <w:position w:val="0"/>
        </w:rPr>
        <w:t xml:space="preserve">，主要是增加委托理财、参股投资 </w:t>
      </w:r>
      <w:r>
        <w:rPr>
          <w:color w:val="000000"/>
          <w:spacing w:val="0"/>
          <w:w w:val="100"/>
          <w:position w:val="0"/>
        </w:rPr>
        <w:t>广百小额贷、支付公司科学城生产基地三期项目款及子公司购置土地使用权所致。</w:t>
      </w:r>
    </w:p>
    <w:p>
      <w:pPr>
        <w:pStyle w:val="Style35"/>
        <w:keepNext w:val="0"/>
        <w:keepLines w:val="0"/>
        <w:widowControl w:val="0"/>
        <w:shd w:val="clear" w:color="auto" w:fill="auto"/>
        <w:bidi w:val="0"/>
        <w:spacing w:before="0" w:after="0" w:line="329" w:lineRule="exact"/>
        <w:ind w:left="0" w:right="0" w:firstLine="280"/>
        <w:jc w:val="both"/>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rPr>
        <w:t>3</w:t>
      </w:r>
      <w:r>
        <w:rPr>
          <w:color w:val="000000"/>
          <w:spacing w:val="0"/>
          <w:w w:val="100"/>
          <w:position w:val="0"/>
        </w:rPr>
        <w:t>）筹资活动现金流量</w:t>
      </w:r>
    </w:p>
    <w:p>
      <w:pPr>
        <w:pStyle w:val="Style35"/>
        <w:keepNext w:val="0"/>
        <w:keepLines w:val="0"/>
        <w:widowControl w:val="0"/>
        <w:shd w:val="clear" w:color="auto" w:fill="auto"/>
        <w:bidi w:val="0"/>
        <w:spacing w:before="0" w:after="0" w:line="329" w:lineRule="exact"/>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年，公司筹资活动产生的现金净流量为</w:t>
      </w:r>
      <w:r>
        <w:rPr>
          <w:rFonts w:ascii="Times New Roman" w:eastAsia="Times New Roman" w:hAnsi="Times New Roman" w:cs="Times New Roman"/>
          <w:color w:val="000000"/>
          <w:spacing w:val="0"/>
          <w:w w:val="100"/>
          <w:position w:val="0"/>
        </w:rPr>
        <w:t>-18,580.03</w:t>
      </w:r>
      <w:r>
        <w:rPr>
          <w:color w:val="000000"/>
          <w:spacing w:val="0"/>
          <w:w w:val="100"/>
          <w:position w:val="0"/>
        </w:rPr>
        <w:t>万元，比上年同期减少</w:t>
      </w:r>
      <w:r>
        <w:rPr>
          <w:rFonts w:ascii="Times New Roman" w:eastAsia="Times New Roman" w:hAnsi="Times New Roman" w:cs="Times New Roman"/>
          <w:color w:val="000000"/>
          <w:spacing w:val="0"/>
          <w:w w:val="100"/>
          <w:position w:val="0"/>
        </w:rPr>
        <w:t>283.11%</w:t>
      </w:r>
      <w:r>
        <w:rPr>
          <w:color w:val="000000"/>
          <w:spacing w:val="0"/>
          <w:w w:val="100"/>
          <w:position w:val="0"/>
        </w:rPr>
        <w:t>,主要是分配股利、利润支付的现 金增加。</w:t>
      </w:r>
    </w:p>
    <w:p>
      <w:pPr>
        <w:pStyle w:val="Style35"/>
        <w:keepNext w:val="0"/>
        <w:keepLines w:val="0"/>
        <w:widowControl w:val="0"/>
        <w:shd w:val="clear" w:color="auto" w:fill="auto"/>
        <w:bidi w:val="0"/>
        <w:spacing w:before="0" w:after="0" w:line="329" w:lineRule="exact"/>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年，现金及现金等价物净增加额为</w:t>
      </w:r>
      <w:r>
        <w:rPr>
          <w:rFonts w:ascii="Times New Roman" w:eastAsia="Times New Roman" w:hAnsi="Times New Roman" w:cs="Times New Roman"/>
          <w:color w:val="000000"/>
          <w:spacing w:val="0"/>
          <w:w w:val="100"/>
          <w:position w:val="0"/>
        </w:rPr>
        <w:t>-35,866.46</w:t>
      </w:r>
      <w:r>
        <w:rPr>
          <w:color w:val="000000"/>
          <w:spacing w:val="0"/>
          <w:w w:val="100"/>
          <w:position w:val="0"/>
        </w:rPr>
        <w:t>万元，与上年同期</w:t>
      </w:r>
      <w:r>
        <w:rPr>
          <w:rFonts w:ascii="Times New Roman" w:eastAsia="Times New Roman" w:hAnsi="Times New Roman" w:cs="Times New Roman"/>
          <w:color w:val="000000"/>
          <w:spacing w:val="0"/>
          <w:w w:val="100"/>
          <w:position w:val="0"/>
        </w:rPr>
        <w:t>78,731.66</w:t>
      </w:r>
      <w:r>
        <w:rPr>
          <w:color w:val="000000"/>
          <w:spacing w:val="0"/>
          <w:w w:val="100"/>
          <w:position w:val="0"/>
        </w:rPr>
        <w:t>万元相比减少</w:t>
      </w:r>
      <w:r>
        <w:rPr>
          <w:rFonts w:ascii="Times New Roman" w:eastAsia="Times New Roman" w:hAnsi="Times New Roman" w:cs="Times New Roman"/>
          <w:color w:val="000000"/>
          <w:spacing w:val="0"/>
          <w:w w:val="100"/>
          <w:position w:val="0"/>
        </w:rPr>
        <w:t>145.56%</w:t>
      </w:r>
      <w:r>
        <w:rPr>
          <w:color w:val="000000"/>
          <w:spacing w:val="0"/>
          <w:w w:val="100"/>
          <w:position w:val="0"/>
        </w:rPr>
        <w:t>，</w:t>
      </w:r>
      <w:r>
        <w:rPr>
          <w:color w:val="000000"/>
          <w:spacing w:val="0"/>
          <w:w w:val="100"/>
          <w:position w:val="0"/>
        </w:rPr>
        <w:t>主要是委托理财、 购建固定资产、无形资产所支付的现金及分配股利、利润支付的现金增加。</w:t>
      </w:r>
    </w:p>
    <w:p>
      <w:pPr>
        <w:pStyle w:val="Style35"/>
        <w:keepNext w:val="0"/>
        <w:keepLines w:val="0"/>
        <w:widowControl w:val="0"/>
        <w:shd w:val="clear" w:color="auto" w:fill="auto"/>
        <w:bidi w:val="0"/>
        <w:spacing w:before="0" w:line="329" w:lineRule="exact"/>
        <w:ind w:left="0" w:right="0" w:firstLine="0"/>
        <w:jc w:val="left"/>
      </w:pPr>
      <w:r>
        <w:rPr>
          <w:color w:val="000000"/>
          <w:spacing w:val="0"/>
          <w:w w:val="100"/>
          <w:position w:val="0"/>
        </w:rPr>
        <w:t>报告期内公司经营活动的现金流量与本年度净利润存在重大差异的原因说明</w:t>
      </w:r>
    </w:p>
    <w:p>
      <w:pPr>
        <w:pStyle w:val="Style35"/>
        <w:keepNext w:val="0"/>
        <w:keepLines w:val="0"/>
        <w:widowControl w:val="0"/>
        <w:shd w:val="clear" w:color="auto" w:fill="auto"/>
        <w:bidi w:val="0"/>
        <w:spacing w:before="0" w:after="240" w:line="38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sz w:val="24"/>
          <w:szCs w:val="24"/>
        </w:rPr>
        <w:t>三</w:t>
      </w:r>
      <w:bookmarkEnd w:id="134"/>
      <w:r>
        <w:rPr>
          <w:color w:val="000000"/>
          <w:spacing w:val="0"/>
          <w:w w:val="100"/>
          <w:position w:val="0"/>
          <w:sz w:val="24"/>
          <w:szCs w:val="24"/>
        </w:rPr>
        <w:t>、主营业务构成情况</w:t>
      </w:r>
      <w:bookmarkEnd w:id="132"/>
      <w:bookmarkEnd w:id="133"/>
      <w:bookmarkEnd w:id="135"/>
    </w:p>
    <w:p>
      <w:pPr>
        <w:pStyle w:val="Style33"/>
        <w:keepNext w:val="0"/>
        <w:keepLines w:val="0"/>
        <w:widowControl w:val="0"/>
        <w:shd w:val="clear" w:color="auto" w:fill="auto"/>
        <w:bidi w:val="0"/>
        <w:spacing w:before="0" w:after="0" w:line="240" w:lineRule="auto"/>
        <w:ind w:left="8693" w:right="0" w:firstLine="0"/>
        <w:jc w:val="left"/>
      </w:pPr>
      <w:r>
        <w:rPr>
          <w:color w:val="000000"/>
          <w:spacing w:val="0"/>
          <w:w w:val="100"/>
          <w:position w:val="0"/>
        </w:rPr>
        <w:t>单位：元</w:t>
      </w:r>
    </w:p>
    <w:tbl>
      <w:tblPr>
        <w:tblOverlap w:val="never"/>
        <w:jc w:val="center"/>
        <w:tblLayout w:type="fixed"/>
      </w:tblPr>
      <w:tblGrid>
        <w:gridCol w:w="1982"/>
        <w:gridCol w:w="1440"/>
        <w:gridCol w:w="1445"/>
        <w:gridCol w:w="782"/>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right"/>
            </w:pPr>
            <w:r>
              <w:rPr>
                <w:rFonts w:ascii="SimSun" w:eastAsia="SimSun" w:hAnsi="SimSun" w:cs="SimSun"/>
                <w:color w:val="000000"/>
                <w:spacing w:val="0"/>
                <w:w w:val="100"/>
                <w:position w:val="0"/>
              </w:rPr>
              <w:t>营业收入比上年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right"/>
            </w:pPr>
            <w:r>
              <w:rPr>
                <w:rFonts w:ascii="SimSun" w:eastAsia="SimSun" w:hAnsi="SimSun" w:cs="SimSun"/>
                <w:color w:val="000000"/>
                <w:spacing w:val="0"/>
                <w:w w:val="100"/>
                <w:position w:val="0"/>
              </w:rPr>
              <w:t>营业成本比上年 同期增减（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毛利率比上年同 期增减（</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）制造业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2,158,166,213.01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979,243,160.68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357,731,140.79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162,589,506.44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2,515,897,353.80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1,141,832,667.12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）货币自动处理设备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2,007,176,640.90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910,479,202.50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1,868,151,233.62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821,964,136.10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65,283,244.43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44,796,845.31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73,742,162.85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43,718,221.09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40.71%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）设备配件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150,989,572.11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68,763,958.18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20,637,334.77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23,696,960.11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）设备维护及服务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335,625,704.47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136,714,338.29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59.27%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）环保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1,468,101.55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2,178,208.04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2,515,897,353.80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1,141,832,667.12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2,347,229,382.85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1,059,571,367.76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r>
      <w:tr>
        <w:trPr>
          <w:trHeight w:val="3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168,667,970.95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82,261,299.36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r>
      <w:tr>
        <w:trPr>
          <w:trHeight w:val="33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2,515,897,353.80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1,141,832,667.12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bl>
    <w:p>
      <w:pPr>
        <w:pStyle w:val="Style3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四</w:t>
      </w:r>
      <w:bookmarkEnd w:id="138"/>
      <w:r>
        <w:rPr>
          <w:color w:val="000000"/>
          <w:spacing w:val="0"/>
          <w:w w:val="100"/>
          <w:position w:val="0"/>
          <w:sz w:val="24"/>
          <w:szCs w:val="24"/>
        </w:rPr>
        <w:t>、资产、负债状况分析</w:t>
      </w:r>
      <w:bookmarkEnd w:id="136"/>
      <w:bookmarkEnd w:id="137"/>
      <w:bookmarkEnd w:id="139"/>
    </w:p>
    <w:p>
      <w:pPr>
        <w:pStyle w:val="Style44"/>
        <w:keepNext/>
        <w:keepLines/>
        <w:widowControl w:val="0"/>
        <w:shd w:val="clear" w:color="auto" w:fill="auto"/>
        <w:bidi w:val="0"/>
        <w:spacing w:before="0" w:after="34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、资产项目重大变动情况</w:t>
      </w:r>
      <w:bookmarkEnd w:id="140"/>
      <w:bookmarkEnd w:id="141"/>
      <w:bookmarkEnd w:id="143"/>
    </w:p>
    <w:p>
      <w:pPr>
        <w:pStyle w:val="Style35"/>
        <w:keepNext w:val="0"/>
        <w:keepLines w:val="0"/>
        <w:widowControl w:val="0"/>
        <w:shd w:val="clear" w:color="auto" w:fill="auto"/>
        <w:bidi w:val="0"/>
        <w:spacing w:before="0" w:after="180" w:line="240" w:lineRule="auto"/>
        <w:ind w:left="0" w:right="140" w:firstLine="0"/>
        <w:jc w:val="right"/>
      </w:pPr>
      <w:r>
        <w:rPr>
          <w:color w:val="000000"/>
          <w:spacing w:val="0"/>
          <w:w w:val="100"/>
          <w:position w:val="0"/>
        </w:rPr>
        <w:t>单位：元</w:t>
      </w:r>
      <w:r>
        <w:br w:type="page"/>
      </w:r>
    </w:p>
    <w:tbl>
      <w:tblPr>
        <w:tblOverlap w:val="never"/>
        <w:jc w:val="center"/>
        <w:tblLayout w:type="fixed"/>
      </w:tblPr>
      <w:tblGrid>
        <w:gridCol w:w="1373"/>
        <w:gridCol w:w="1334"/>
        <w:gridCol w:w="898"/>
        <w:gridCol w:w="1440"/>
        <w:gridCol w:w="898"/>
        <w:gridCol w:w="883"/>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180" w:firstLine="0"/>
              <w:jc w:val="right"/>
            </w:pPr>
            <w:r>
              <w:rPr>
                <w:rFonts w:ascii="SimSun" w:eastAsia="SimSun" w:hAnsi="SimSun" w:cs="SimSun"/>
                <w:color w:val="000000"/>
                <w:spacing w:val="0"/>
                <w:w w:val="100"/>
                <w:position w:val="0"/>
              </w:rPr>
              <w:t>比重增减</w:t>
            </w:r>
          </w:p>
          <w:p>
            <w:pPr>
              <w:pStyle w:val="Style28"/>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占总资产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占总资产 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1,644,875,412.34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32.54%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2,003,540,034.34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49.83%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-17.29%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主要是增加委托理财及分配股利所 致</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713,886,766.16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644,263,001.21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主要是销售收入持续增长</w:t>
            </w:r>
          </w:p>
        </w:tc>
      </w:tr>
      <w:tr>
        <w:trPr>
          <w:trHeight w:val="1022"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1,170,842,477.23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23.16%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80"/>
              <w:jc w:val="both"/>
            </w:pPr>
            <w:r>
              <w:rPr>
                <w:color w:val="000000"/>
                <w:spacing w:val="0"/>
                <w:w w:val="100"/>
                <w:position w:val="0"/>
              </w:rPr>
              <w:t>769,594,720.41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00"/>
              <w:jc w:val="both"/>
            </w:pPr>
            <w:r>
              <w:rPr>
                <w:color w:val="000000"/>
                <w:spacing w:val="0"/>
                <w:w w:val="100"/>
                <w:position w:val="0"/>
              </w:rPr>
              <w:t>19.14%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4.02%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主要是根据市场订单和行业特点所 做的正常储备及本期控股子公司龙 源环保纳入合并报表范围增加所致</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33,403,152.17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主要是控股子公司龙源环保纳入合 并报表范围增加所致</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60"/>
              <w:jc w:val="both"/>
            </w:pPr>
            <w:r>
              <w:rPr>
                <w:color w:val="000000"/>
                <w:spacing w:val="0"/>
                <w:w w:val="100"/>
                <w:position w:val="0"/>
              </w:rPr>
              <w:t>64,713,476.44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1.28%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80"/>
              <w:jc w:val="both"/>
            </w:pPr>
            <w:r>
              <w:rPr>
                <w:color w:val="000000"/>
                <w:spacing w:val="0"/>
                <w:w w:val="100"/>
                <w:position w:val="0"/>
              </w:rPr>
              <w:t>164,079,876.42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4.08%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主要是龙源环保由参股公司变为公 司的控股子公司所致</w:t>
            </w:r>
          </w:p>
        </w:tc>
      </w:tr>
      <w:tr>
        <w:trPr>
          <w:trHeight w:val="71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both"/>
            </w:pPr>
            <w:r>
              <w:rPr>
                <w:color w:val="000000"/>
                <w:spacing w:val="0"/>
                <w:w w:val="100"/>
                <w:position w:val="0"/>
              </w:rPr>
              <w:t>389,213,922.31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7.70%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80"/>
              <w:jc w:val="both"/>
            </w:pPr>
            <w:r>
              <w:rPr>
                <w:color w:val="000000"/>
                <w:spacing w:val="0"/>
                <w:w w:val="100"/>
                <w:position w:val="0"/>
              </w:rPr>
              <w:t>290,435,982.97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7.22%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主要是控股子公司龙源环保纳入合 并报表范围增加所致</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49,321,137.17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2,616,656.28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主要是科学城三期项目建设的投入</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50,255,996.53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31,953,073.30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主要是测试款及投标保证金增加</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80"/>
              <w:jc w:val="both"/>
            </w:pPr>
            <w:r>
              <w:rPr>
                <w:color w:val="000000"/>
                <w:spacing w:val="0"/>
                <w:w w:val="100"/>
                <w:position w:val="0"/>
              </w:rPr>
              <w:t>129,978,323.60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2.57%</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60"/>
              <w:jc w:val="both"/>
            </w:pPr>
            <w:r>
              <w:rPr>
                <w:color w:val="000000"/>
                <w:spacing w:val="0"/>
                <w:w w:val="100"/>
                <w:position w:val="0"/>
              </w:rPr>
              <w:t>49,453,209.32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1.23%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1.34%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主要是子公司预付天河软件园高唐 项目土地出让金所致</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color w:val="000000"/>
                <w:spacing w:val="0"/>
                <w:w w:val="100"/>
                <w:position w:val="0"/>
              </w:rPr>
              <w:t>1,987,100.00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主要是收到的银行承兑票据期末已 背书转让给他方</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746,600,000.00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主要是增加委托理财购买银行理财 产品</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18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、负债项目重大变动情况</w:t>
      </w:r>
      <w:bookmarkEnd w:id="144"/>
      <w:bookmarkEnd w:id="145"/>
      <w:bookmarkEnd w:id="14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334"/>
        <w:gridCol w:w="893"/>
        <w:gridCol w:w="1445"/>
        <w:gridCol w:w="907"/>
        <w:gridCol w:w="802"/>
        <w:gridCol w:w="311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比重增减</w:t>
            </w:r>
          </w:p>
          <w:p>
            <w:pPr>
              <w:pStyle w:val="Style28"/>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占总资产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占总资产 比例（</w:t>
            </w:r>
            <w:r>
              <w:rPr>
                <w:color w:val="000000"/>
                <w:spacing w:val="0"/>
                <w:w w:val="100"/>
                <w:position w:val="0"/>
              </w:rPr>
              <w:t>%</w:t>
            </w:r>
            <w:r>
              <w:rPr>
                <w:rFonts w:ascii="SimSun" w:eastAsia="SimSun" w:hAnsi="SimSun" w:cs="SimSun"/>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1,711,282.43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主要是子公司归还了到期的质押借款</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398,581,292.49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271,949,850.22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主要是采购材料增加，货款未到期结算</w:t>
            </w:r>
          </w:p>
        </w:tc>
      </w:tr>
      <w:tr>
        <w:trPr>
          <w:trHeight w:val="32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481,153,801.03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9.52%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269,248,409.78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主要是合同预收款增加</w:t>
            </w:r>
          </w:p>
        </w:tc>
      </w:tr>
      <w:tr>
        <w:trPr>
          <w:trHeight w:val="94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165,160,702.63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122,073,093.91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0.23%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主要是公司规模扩大，员工人数同比增 加及按销售收入预提的绩效奖金增加 所致</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95,966,420.15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76,800,149.37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主要是应付技术服务费增加</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46,521,793.99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39,553,301.46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0.98%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主要是收到研发项目的政府补助增加</w:t>
            </w:r>
          </w:p>
        </w:tc>
      </w:tr>
      <w:tr>
        <w:trPr>
          <w:trHeight w:val="331"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实收资本（或股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747,237,306.00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622,697,755.00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主要是实施</w:t>
            </w:r>
            <w:r>
              <w:rPr>
                <w:color w:val="000000"/>
                <w:spacing w:val="0"/>
                <w:w w:val="100"/>
                <w:position w:val="0"/>
              </w:rPr>
              <w:t>2012</w:t>
            </w:r>
            <w:r>
              <w:rPr>
                <w:rFonts w:ascii="SimSun" w:eastAsia="SimSun" w:hAnsi="SimSun" w:cs="SimSun"/>
                <w:color w:val="000000"/>
                <w:spacing w:val="0"/>
                <w:w w:val="100"/>
                <w:position w:val="0"/>
              </w:rPr>
              <w:t>年度利润分配方案，</w:t>
            </w:r>
          </w:p>
        </w:tc>
      </w:tr>
    </w:tbl>
    <w:p>
      <w:pPr>
        <w:spacing w:lineRule="exact" w:line="1"/>
        <w:rPr>
          <w:sz w:val="2"/>
          <w:szCs w:val="2"/>
        </w:rPr>
      </w:pPr>
      <w:r>
        <w:br w:type="page"/>
      </w:r>
    </w:p>
    <w:tbl>
      <w:tblPr>
        <w:tblOverlap w:val="never"/>
        <w:jc w:val="center"/>
        <w:tblLayout w:type="fixed"/>
      </w:tblPr>
      <w:tblGrid>
        <w:gridCol w:w="1550"/>
        <w:gridCol w:w="1334"/>
        <w:gridCol w:w="893"/>
        <w:gridCol w:w="1445"/>
        <w:gridCol w:w="907"/>
        <w:gridCol w:w="802"/>
        <w:gridCol w:w="3110"/>
      </w:tblGrid>
      <w:tr>
        <w:trPr>
          <w:trHeight w:val="32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w:t>
            </w:r>
            <w:r>
              <w:rPr>
                <w:color w:val="000000"/>
                <w:spacing w:val="0"/>
                <w:w w:val="100"/>
                <w:position w:val="0"/>
              </w:rPr>
              <w:t>2</w:t>
            </w:r>
            <w:r>
              <w:rPr>
                <w:rFonts w:ascii="SimSun" w:eastAsia="SimSun" w:hAnsi="SimSun" w:cs="SimSun"/>
                <w:color w:val="000000"/>
                <w:spacing w:val="0"/>
                <w:w w:val="100"/>
                <w:position w:val="0"/>
              </w:rPr>
              <w:t>股，导致股本增加。</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320,804,729.88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256,677,653.25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主要是本报告期按税后利润提取所致</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2,241,056,886.31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1,911,456,422.49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主要是本期经营利润增加</w:t>
            </w:r>
          </w:p>
        </w:tc>
      </w:tr>
      <w:tr>
        <w:trPr>
          <w:trHeight w:val="634"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7" w:lineRule="exact"/>
              <w:ind w:left="0" w:right="0" w:firstLine="200"/>
              <w:jc w:val="left"/>
            </w:pPr>
            <w:r>
              <w:rPr>
                <w:rFonts w:ascii="SimSun" w:eastAsia="SimSun" w:hAnsi="SimSun" w:cs="SimSun"/>
                <w:color w:val="000000"/>
                <w:spacing w:val="0"/>
                <w:w w:val="100"/>
                <w:position w:val="0"/>
              </w:rPr>
              <w:t>外币报表折算差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-429,967.17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-1,237,162.55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主要是土耳其货币的贬值所致</w:t>
            </w:r>
          </w:p>
        </w:tc>
      </w:tr>
      <w:tr>
        <w:trPr>
          <w:trHeight w:val="95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135,277,325.19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25,537,520.15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主要是龙源环保由公司的参股公司变 为公司的控股子公司，纳入合并报表范 围增加所致</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20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、以公允价值计量的资产和负债</w:t>
      </w:r>
      <w:bookmarkEnd w:id="148"/>
      <w:bookmarkEnd w:id="149"/>
      <w:bookmarkEnd w:id="15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118"/>
        <w:gridCol w:w="1262"/>
        <w:gridCol w:w="1440"/>
        <w:gridCol w:w="1080"/>
        <w:gridCol w:w="898"/>
        <w:gridCol w:w="816"/>
        <w:gridCol w:w="1200"/>
      </w:tblGrid>
      <w:tr>
        <w:trPr>
          <w:trHeight w:val="365"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本期公允价值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计入权益的累计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本期购买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本期出售</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期末数</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变动损益</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公允价值变动</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 动计入当期损益的金融资 产(不含衍生金融资产)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5,428,305.54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5,428,305.54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5,428,305.54</w:t>
            </w:r>
          </w:p>
        </w:tc>
      </w:tr>
      <w:tr>
        <w:trPr>
          <w:trHeight w:val="41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76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35"/>
        <w:keepNext w:val="0"/>
        <w:keepLines w:val="0"/>
        <w:widowControl w:val="0"/>
        <w:shd w:val="clear" w:color="auto" w:fill="auto"/>
        <w:bidi w:val="0"/>
        <w:spacing w:before="0" w:after="100" w:line="240" w:lineRule="auto"/>
        <w:ind w:left="0" w:right="0" w:firstLine="200"/>
        <w:jc w:val="both"/>
      </w:pPr>
      <w:r>
        <w:rPr>
          <w:color w:val="000000"/>
          <w:spacing w:val="0"/>
          <w:w w:val="100"/>
          <w:position w:val="0"/>
        </w:rPr>
        <w:t>报告期内公司主要资产计量属性是否发生重大变化</w:t>
      </w:r>
    </w:p>
    <w:p>
      <w:pPr>
        <w:pStyle w:val="Style35"/>
        <w:keepNext w:val="0"/>
        <w:keepLines w:val="0"/>
        <w:widowControl w:val="0"/>
        <w:shd w:val="clear" w:color="auto" w:fill="auto"/>
        <w:bidi w:val="0"/>
        <w:spacing w:before="0" w:after="360" w:line="240" w:lineRule="auto"/>
        <w:ind w:left="0" w:right="0" w:firstLine="2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60" w:line="240" w:lineRule="auto"/>
        <w:ind w:left="0" w:right="0" w:firstLine="200"/>
        <w:jc w:val="both"/>
      </w:pPr>
      <w:bookmarkStart w:id="152" w:name="bookmark152"/>
      <w:bookmarkStart w:id="153" w:name="bookmark153"/>
      <w:bookmarkStart w:id="154" w:name="bookmark154"/>
      <w:bookmarkStart w:id="155" w:name="bookmark155"/>
      <w:r>
        <w:rPr>
          <w:color w:val="000000"/>
          <w:spacing w:val="0"/>
          <w:w w:val="100"/>
          <w:position w:val="0"/>
          <w:sz w:val="24"/>
          <w:szCs w:val="24"/>
        </w:rPr>
        <w:t>五</w:t>
      </w:r>
      <w:bookmarkEnd w:id="154"/>
      <w:r>
        <w:rPr>
          <w:color w:val="000000"/>
          <w:spacing w:val="0"/>
          <w:w w:val="100"/>
          <w:position w:val="0"/>
          <w:sz w:val="24"/>
          <w:szCs w:val="24"/>
        </w:rPr>
        <w:t>、核心竞争力分析</w:t>
      </w:r>
      <w:bookmarkEnd w:id="152"/>
      <w:bookmarkEnd w:id="153"/>
      <w:bookmarkEnd w:id="155"/>
    </w:p>
    <w:p>
      <w:pPr>
        <w:pStyle w:val="Style35"/>
        <w:keepNext w:val="0"/>
        <w:keepLines w:val="0"/>
        <w:widowControl w:val="0"/>
        <w:shd w:val="clear" w:color="auto" w:fill="auto"/>
        <w:bidi w:val="0"/>
        <w:spacing w:before="0" w:after="0" w:line="307" w:lineRule="exact"/>
        <w:ind w:left="200" w:right="0" w:firstLine="360"/>
        <w:jc w:val="both"/>
      </w:pPr>
      <w:r>
        <w:rPr>
          <w:color w:val="000000"/>
          <w:spacing w:val="0"/>
          <w:w w:val="100"/>
          <w:position w:val="0"/>
        </w:rPr>
        <w:t>报告期内，公司的核心竞争力未发生重大变化，公司所拥有的在位优势、技术研发优势、售后服务优势及本土化优势， 保障了公司业务的稳定性和盈利能力的连续性，各项研发、生产、营销、管理方面的综合竞争力得到进一步提升。</w:t>
      </w:r>
    </w:p>
    <w:p>
      <w:pPr>
        <w:pStyle w:val="Style35"/>
        <w:keepNext w:val="0"/>
        <w:keepLines w:val="0"/>
        <w:widowControl w:val="0"/>
        <w:shd w:val="clear" w:color="auto" w:fill="auto"/>
        <w:bidi w:val="0"/>
        <w:spacing w:before="0" w:after="360" w:line="314" w:lineRule="exact"/>
        <w:ind w:left="200" w:right="0" w:firstLine="360"/>
        <w:jc w:val="both"/>
      </w:pPr>
      <w:r>
        <w:rPr>
          <w:color w:val="000000"/>
          <w:spacing w:val="0"/>
          <w:w w:val="100"/>
          <w:position w:val="0"/>
        </w:rPr>
        <w:t>公司主要从事银行自动柜员机</w:t>
      </w:r>
      <w:r>
        <w:rPr>
          <w:rFonts w:ascii="Times New Roman" w:eastAsia="Times New Roman" w:hAnsi="Times New Roman" w:cs="Times New Roman"/>
          <w:color w:val="000000"/>
          <w:spacing w:val="0"/>
          <w:w w:val="100"/>
          <w:position w:val="0"/>
        </w:rPr>
        <w:t>(ATM)</w:t>
      </w:r>
      <w:r>
        <w:rPr>
          <w:color w:val="000000"/>
          <w:spacing w:val="0"/>
          <w:w w:val="100"/>
          <w:position w:val="0"/>
        </w:rPr>
        <w:t>、</w:t>
      </w:r>
      <w:r>
        <w:rPr>
          <w:color w:val="000000"/>
          <w:spacing w:val="0"/>
          <w:w w:val="100"/>
          <w:position w:val="0"/>
        </w:rPr>
        <w:t>轨道交通自动售检票系统</w:t>
      </w:r>
      <w:r>
        <w:rPr>
          <w:rFonts w:ascii="Times New Roman" w:eastAsia="Times New Roman" w:hAnsi="Times New Roman" w:cs="Times New Roman"/>
          <w:color w:val="000000"/>
          <w:spacing w:val="0"/>
          <w:w w:val="100"/>
          <w:position w:val="0"/>
        </w:rPr>
        <w:t>(AFC)</w:t>
      </w:r>
      <w:r>
        <w:rPr>
          <w:color w:val="000000"/>
          <w:spacing w:val="0"/>
          <w:w w:val="100"/>
          <w:position w:val="0"/>
        </w:rPr>
        <w:t>等货币自动处理设备的研发、生产、销售及服务， 致力于通过新产品和新技术研究，为客户提供系统解决方案。公司自成立以来一直重视科技创新，坚持“高投入、高产出” 的研发战略思维，以市场为导向，走自主研发、自主品牌的技术驱动之路，专注于核心竞争优势的建设，不断加强</w:t>
      </w:r>
      <w:r>
        <w:rPr>
          <w:rFonts w:ascii="Times New Roman" w:eastAsia="Times New Roman" w:hAnsi="Times New Roman" w:cs="Times New Roman"/>
          <w:color w:val="000000"/>
          <w:spacing w:val="0"/>
          <w:w w:val="100"/>
          <w:position w:val="0"/>
        </w:rPr>
        <w:t>ATM</w:t>
      </w:r>
      <w:r>
        <w:rPr>
          <w:color w:val="000000"/>
          <w:spacing w:val="0"/>
          <w:w w:val="100"/>
          <w:position w:val="0"/>
        </w:rPr>
        <w:t>系 统核心技术的研发与提升，推进核心技术产业化进程，逐渐成为全球真正掌握核心现金循环技术的少数几家企业之一。公司 完善的售后服务体系具有服务网络覆盖面广和服务响应及时的优势，不仅赢得了客户的口碑和认可，成为提高和巩固公司市 场竞争力的重要因素，还为公司承接其他品牌</w:t>
      </w:r>
      <w:r>
        <w:rPr>
          <w:rFonts w:ascii="Times New Roman" w:eastAsia="Times New Roman" w:hAnsi="Times New Roman" w:cs="Times New Roman"/>
          <w:color w:val="000000"/>
          <w:spacing w:val="0"/>
          <w:w w:val="100"/>
          <w:position w:val="0"/>
        </w:rPr>
        <w:t>ATM</w:t>
      </w:r>
      <w:r>
        <w:rPr>
          <w:color w:val="000000"/>
          <w:spacing w:val="0"/>
          <w:w w:val="100"/>
          <w:position w:val="0"/>
        </w:rPr>
        <w:t>的维护业务奠定了坚实的基础。经过多年的市场培育和拓展，公司</w:t>
      </w:r>
      <w:r>
        <w:rPr>
          <w:rFonts w:ascii="Times New Roman" w:eastAsia="Times New Roman" w:hAnsi="Times New Roman" w:cs="Times New Roman"/>
          <w:color w:val="000000"/>
          <w:spacing w:val="0"/>
          <w:w w:val="100"/>
          <w:position w:val="0"/>
        </w:rPr>
        <w:t xml:space="preserve">ATM </w:t>
      </w:r>
      <w:r>
        <w:rPr>
          <w:color w:val="000000"/>
          <w:spacing w:val="0"/>
          <w:w w:val="100"/>
          <w:position w:val="0"/>
        </w:rPr>
        <w:t>凭借着高品质的产品、周到的服务和较强的技术研发能力走上了行业的前列，自</w:t>
      </w:r>
      <w:r>
        <w:rPr>
          <w:rFonts w:ascii="Times New Roman" w:eastAsia="Times New Roman" w:hAnsi="Times New Roman" w:cs="Times New Roman"/>
          <w:color w:val="000000"/>
          <w:spacing w:val="0"/>
          <w:w w:val="100"/>
          <w:position w:val="0"/>
        </w:rPr>
        <w:t>2008</w:t>
      </w:r>
      <w:r>
        <w:rPr>
          <w:color w:val="000000"/>
          <w:spacing w:val="0"/>
          <w:w w:val="100"/>
          <w:position w:val="0"/>
        </w:rPr>
        <w:t>年以来，广电运通连续六年在国内市</w:t>
        <w:br w:type="page"/>
      </w:r>
      <w:r>
        <w:rPr>
          <w:color w:val="000000"/>
          <w:spacing w:val="0"/>
          <w:w w:val="100"/>
          <w:position w:val="0"/>
        </w:rPr>
        <w:t>场销售量占有率第一，是我国同行业中经营规模最大、技术实力最强的</w:t>
      </w:r>
      <w:r>
        <w:rPr>
          <w:rFonts w:ascii="Times New Roman" w:eastAsia="Times New Roman" w:hAnsi="Times New Roman" w:cs="Times New Roman"/>
          <w:color w:val="000000"/>
          <w:spacing w:val="0"/>
          <w:w w:val="100"/>
          <w:position w:val="0"/>
        </w:rPr>
        <w:t>ATM</w:t>
      </w:r>
      <w:r>
        <w:rPr>
          <w:color w:val="000000"/>
          <w:spacing w:val="0"/>
          <w:w w:val="100"/>
          <w:position w:val="0"/>
        </w:rPr>
        <w:t>民族品牌供应商。同时，公司聚集了业内优秀 的管理人才、技术人才，建立了可持续创新的管理团队，为公司搭建了可持续发展平台。</w:t>
      </w:r>
    </w:p>
    <w:p>
      <w:pPr>
        <w:pStyle w:val="Style31"/>
        <w:keepNext/>
        <w:keepLines/>
        <w:widowControl w:val="0"/>
        <w:shd w:val="clear" w:color="auto" w:fill="auto"/>
        <w:bidi w:val="0"/>
        <w:spacing w:before="0" w:line="240" w:lineRule="auto"/>
        <w:ind w:left="0" w:right="0" w:firstLine="220"/>
        <w:jc w:val="both"/>
      </w:pPr>
      <w:bookmarkStart w:id="156" w:name="bookmark156"/>
      <w:bookmarkStart w:id="157" w:name="bookmark157"/>
      <w:bookmarkStart w:id="158" w:name="bookmark158"/>
      <w:bookmarkStart w:id="159" w:name="bookmark159"/>
      <w:r>
        <w:rPr>
          <w:color w:val="000000"/>
          <w:spacing w:val="0"/>
          <w:w w:val="100"/>
          <w:position w:val="0"/>
          <w:sz w:val="24"/>
          <w:szCs w:val="24"/>
        </w:rPr>
        <w:t>六</w:t>
      </w:r>
      <w:bookmarkEnd w:id="158"/>
      <w:r>
        <w:rPr>
          <w:color w:val="000000"/>
          <w:spacing w:val="0"/>
          <w:w w:val="100"/>
          <w:position w:val="0"/>
          <w:sz w:val="24"/>
          <w:szCs w:val="24"/>
        </w:rPr>
        <w:t>、投资状况分析</w:t>
      </w:r>
      <w:bookmarkEnd w:id="156"/>
      <w:bookmarkEnd w:id="157"/>
      <w:bookmarkEnd w:id="159"/>
    </w:p>
    <w:p>
      <w:pPr>
        <w:pStyle w:val="Style44"/>
        <w:keepNext/>
        <w:keepLines/>
        <w:widowControl w:val="0"/>
        <w:shd w:val="clear" w:color="auto" w:fill="auto"/>
        <w:bidi w:val="0"/>
        <w:spacing w:before="0" w:after="320" w:line="240" w:lineRule="auto"/>
        <w:ind w:left="0" w:right="0" w:firstLine="22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1</w:t>
      </w:r>
      <w:bookmarkEnd w:id="162"/>
      <w:r>
        <w:rPr>
          <w:color w:val="000000"/>
          <w:spacing w:val="0"/>
          <w:w w:val="100"/>
          <w:position w:val="0"/>
        </w:rPr>
        <w:t>、对外股权投资情况</w:t>
      </w:r>
      <w:bookmarkEnd w:id="160"/>
      <w:bookmarkEnd w:id="161"/>
      <w:bookmarkEnd w:id="163"/>
    </w:p>
    <w:p>
      <w:pPr>
        <w:pStyle w:val="Style44"/>
        <w:keepNext/>
        <w:keepLines/>
        <w:widowControl w:val="0"/>
        <w:shd w:val="clear" w:color="auto" w:fill="auto"/>
        <w:bidi w:val="0"/>
        <w:spacing w:before="0" w:after="320" w:line="240" w:lineRule="auto"/>
        <w:ind w:left="0" w:right="0" w:firstLine="220"/>
        <w:jc w:val="both"/>
      </w:pPr>
      <w:bookmarkStart w:id="160" w:name="bookmark160"/>
      <w:bookmarkStart w:id="161" w:name="bookmark161"/>
      <w:bookmarkStart w:id="164" w:name="bookmark164"/>
      <w:bookmarkStart w:id="165" w:name="bookmark165"/>
      <w:r>
        <w:rPr>
          <w:color w:val="000000"/>
          <w:spacing w:val="0"/>
          <w:w w:val="100"/>
          <w:position w:val="0"/>
        </w:rPr>
        <w:t>（</w:t>
      </w:r>
      <w:bookmarkEnd w:id="164"/>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60"/>
      <w:bookmarkEnd w:id="161"/>
      <w:bookmarkEnd w:id="165"/>
    </w:p>
    <w:tbl>
      <w:tblPr>
        <w:tblOverlap w:val="never"/>
        <w:jc w:val="center"/>
        <w:tblLayout w:type="fixed"/>
      </w:tblPr>
      <w:tblGrid>
        <w:gridCol w:w="2885"/>
        <w:gridCol w:w="4680"/>
        <w:gridCol w:w="2112"/>
      </w:tblGrid>
      <w:tr>
        <w:trPr>
          <w:trHeight w:val="408"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年投资额（元）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年投资额（元）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225,200,000.00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3,504%</w:t>
            </w:r>
          </w:p>
        </w:tc>
      </w:tr>
      <w:tr>
        <w:trPr>
          <w:trHeight w:val="398"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上市公司占被投资公司权</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益比例（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广百小额贷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办理各项小额贷款。</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广电汇通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专业从事基于金融服务终端的支付业务。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受银行委托对自动柜员机进行维护及管理，对现金及有价证 券提供清分处理服务。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主要从事货币自动处理设备的维护服务、</w:t>
            </w:r>
            <w:r>
              <w:rPr>
                <w:color w:val="000000"/>
                <w:spacing w:val="0"/>
                <w:w w:val="100"/>
                <w:position w:val="0"/>
              </w:rPr>
              <w:t>ATM</w:t>
            </w:r>
            <w:r>
              <w:rPr>
                <w:rFonts w:ascii="SimSun" w:eastAsia="SimSun" w:hAnsi="SimSun" w:cs="SimSun"/>
                <w:color w:val="000000"/>
                <w:spacing w:val="0"/>
                <w:w w:val="100"/>
                <w:position w:val="0"/>
              </w:rPr>
              <w:t>营运业务以 及金融服务全外包业务。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运通信息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专业从事计算机软、硬件技术及系统集成的开发和销售。</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100%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340"/>
        <w:jc w:val="left"/>
      </w:pPr>
      <w:bookmarkStart w:id="166" w:name="bookmark166"/>
      <w:bookmarkStart w:id="167" w:name="bookmark167"/>
      <w:bookmarkStart w:id="168" w:name="bookmark168"/>
      <w:bookmarkStart w:id="169" w:name="bookmark169"/>
      <w:r>
        <w:rPr>
          <w:color w:val="000000"/>
          <w:spacing w:val="0"/>
          <w:w w:val="100"/>
          <w:position w:val="0"/>
        </w:rPr>
        <w:t>（</w:t>
      </w:r>
      <w:bookmarkEnd w:id="168"/>
      <w:r>
        <w:rPr>
          <w:rFonts w:ascii="Times New Roman" w:eastAsia="Times New Roman" w:hAnsi="Times New Roman" w:cs="Times New Roman"/>
          <w:color w:val="000000"/>
          <w:spacing w:val="0"/>
          <w:w w:val="100"/>
          <w:position w:val="0"/>
        </w:rPr>
        <w:t>2</w:t>
      </w:r>
      <w:r>
        <w:rPr>
          <w:color w:val="000000"/>
          <w:spacing w:val="0"/>
          <w:w w:val="100"/>
          <w:position w:val="0"/>
        </w:rPr>
        <w:t>）持有其他上市企业股权情况</w:t>
      </w:r>
      <w:bookmarkEnd w:id="166"/>
      <w:bookmarkEnd w:id="167"/>
      <w:bookmarkEnd w:id="169"/>
    </w:p>
    <w:tbl>
      <w:tblPr>
        <w:tblOverlap w:val="never"/>
        <w:jc w:val="center"/>
        <w:tblLayout w:type="fixed"/>
      </w:tblPr>
      <w:tblGrid>
        <w:gridCol w:w="883"/>
        <w:gridCol w:w="739"/>
        <w:gridCol w:w="1013"/>
        <w:gridCol w:w="869"/>
        <w:gridCol w:w="869"/>
        <w:gridCol w:w="869"/>
        <w:gridCol w:w="869"/>
        <w:gridCol w:w="1094"/>
        <w:gridCol w:w="1080"/>
        <w:gridCol w:w="898"/>
        <w:gridCol w:w="912"/>
      </w:tblGrid>
      <w:tr>
        <w:trPr>
          <w:trHeight w:val="370"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最初投资成</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期初持股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期初持股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期末持股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期末持股</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期末账面值</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报告期损益</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会计核算</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股份来源</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别</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本（元）</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数量（股）</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数量（股）</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（元）</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科目</w:t>
            </w:r>
          </w:p>
        </w:tc>
        <w:tc>
          <w:tcPr>
            <w:vMerge/>
            <w:tcBorders>
              <w:left w:val="single" w:sz="4"/>
              <w:right w:val="single" w:sz="4"/>
            </w:tcBorders>
            <w:shd w:val="clear" w:color="auto" w:fill="D3D3D3"/>
            <w:vAlign w:val="center"/>
          </w:tcPr>
          <w:p>
            <w:pP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GRGI</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8,615,098.78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10,097,282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10,097,282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5,428,305.54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可供出售</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投资及</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认购</w:t>
            </w:r>
          </w:p>
        </w:tc>
      </w:tr>
      <w:tr>
        <w:trPr>
          <w:trHeight w:val="413" w:hRule="exact"/>
        </w:trPr>
        <w:tc>
          <w:tcPr>
            <w:gridSpan w:val="2"/>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8,615,098.78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10,097,282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10,097,282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5,428,305.54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380" w:firstLine="0"/>
              <w:jc w:val="right"/>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60" w:line="240" w:lineRule="auto"/>
        <w:ind w:left="0" w:right="0" w:firstLine="34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w:t>
      </w:r>
      <w:bookmarkEnd w:id="172"/>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70"/>
      <w:bookmarkEnd w:id="171"/>
      <w:bookmarkEnd w:id="173"/>
    </w:p>
    <w:p>
      <w:pPr>
        <w:pStyle w:val="Style35"/>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w:t>
      </w:r>
      <w:r>
        <w:rPr>
          <w:color w:val="000000"/>
          <w:spacing w:val="0"/>
          <w:w w:val="100"/>
          <w:position w:val="0"/>
        </w:rPr>
        <w:t>适用”不适用</w:t>
      </w:r>
    </w:p>
    <w:p>
      <w:pPr>
        <w:pStyle w:val="Style44"/>
        <w:keepNext/>
        <w:keepLines/>
        <w:widowControl w:val="0"/>
        <w:shd w:val="clear" w:color="auto" w:fill="auto"/>
        <w:bidi w:val="0"/>
        <w:spacing w:before="0" w:after="320" w:line="240" w:lineRule="auto"/>
        <w:ind w:left="0" w:right="0" w:firstLine="22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、委托理财、衍生品投资和委托贷款情况</w:t>
      </w:r>
      <w:bookmarkEnd w:id="174"/>
      <w:bookmarkEnd w:id="175"/>
      <w:bookmarkEnd w:id="177"/>
    </w:p>
    <w:p>
      <w:pPr>
        <w:pStyle w:val="Style44"/>
        <w:keepNext/>
        <w:keepLines/>
        <w:widowControl w:val="0"/>
        <w:shd w:val="clear" w:color="auto" w:fill="auto"/>
        <w:bidi w:val="0"/>
        <w:spacing w:before="0" w:after="360" w:line="240" w:lineRule="auto"/>
        <w:ind w:left="0" w:right="0" w:firstLine="220"/>
        <w:jc w:val="both"/>
      </w:pPr>
      <w:bookmarkStart w:id="174" w:name="bookmark174"/>
      <w:bookmarkStart w:id="175" w:name="bookmark175"/>
      <w:bookmarkStart w:id="178" w:name="bookmark178"/>
      <w:bookmarkStart w:id="179" w:name="bookmark179"/>
      <w:r>
        <w:rPr>
          <w:color w:val="000000"/>
          <w:spacing w:val="0"/>
          <w:w w:val="100"/>
          <w:position w:val="0"/>
        </w:rPr>
        <w:t>（</w:t>
      </w:r>
      <w:bookmarkEnd w:id="17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74"/>
      <w:bookmarkEnd w:id="175"/>
      <w:bookmarkEnd w:id="179"/>
    </w:p>
    <w:p>
      <w:pPr>
        <w:pStyle w:val="Style35"/>
        <w:keepNext w:val="0"/>
        <w:keepLines w:val="0"/>
        <w:widowControl w:val="0"/>
        <w:shd w:val="clear" w:color="auto" w:fill="auto"/>
        <w:bidi w:val="0"/>
        <w:spacing w:before="0" w:after="320" w:line="240" w:lineRule="auto"/>
        <w:ind w:left="0" w:right="180" w:firstLine="0"/>
        <w:jc w:val="right"/>
      </w:pPr>
      <w:r>
        <w:rPr>
          <w:color w:val="000000"/>
          <w:spacing w:val="0"/>
          <w:w w:val="100"/>
          <w:position w:val="0"/>
        </w:rPr>
        <w:t>单位：万元</w:t>
      </w: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360"/>
              <w:jc w:val="left"/>
            </w:pPr>
            <w:r>
              <w:rPr>
                <w:rFonts w:ascii="SimSun" w:eastAsia="SimSun" w:hAnsi="SimSun" w:cs="SimSun"/>
                <w:color w:val="000000"/>
                <w:spacing w:val="0"/>
                <w:w w:val="100"/>
                <w:position w:val="0"/>
              </w:rPr>
              <w:t>受托人</w:t>
            </w:r>
          </w:p>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关联 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是否关 联交易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产品</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委托理</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财金额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报酬确定方式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本期实际 收回本金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计提减值 准备金额</w:t>
            </w:r>
          </w:p>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预计收益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报告期实 际损益金 额</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光大银行黄埔 大道西支行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77.60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77.60</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光大银行黄埔 大道西支行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20.27</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上海浦东发展 银行广州分行 东湖支行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w:t>
            </w:r>
          </w:p>
        </w:tc>
      </w:tr>
      <w:tr>
        <w:trPr>
          <w:trHeight w:val="10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中国建行银行 股份有限公司 广东省分行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39.87</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广州农村商业 银行股份有限 公司芳村支行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广发银行广州 前进支行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上海浦东发展 银行广州分行 东湖支行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34.36</w:t>
            </w:r>
          </w:p>
        </w:tc>
      </w:tr>
      <w:tr>
        <w:trPr>
          <w:trHeight w:val="1032"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上海浦东发展 银行广州分行 东湖支行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保本保 收益型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39.31</w:t>
            </w:r>
          </w:p>
        </w:tc>
      </w:tr>
    </w:tbl>
    <w:p>
      <w:pPr>
        <w:spacing w:lineRule="exact" w:line="1"/>
        <w:rPr>
          <w:sz w:val="2"/>
          <w:szCs w:val="2"/>
        </w:rPr>
      </w:pP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2.50%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w:t>
            </w:r>
          </w:p>
        </w:tc>
      </w:tr>
      <w:tr>
        <w:trPr>
          <w:trHeight w:val="44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中国建行银行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股份有限公司</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广东省分行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119.18</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119.18</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上海浦东发展 银行广州分行 东湖支行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116.22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w:t>
            </w: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24.22</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广东华兴银行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广州分行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5.50%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55.75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55.75</w:t>
            </w: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广发银行广州</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前进支行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4.40%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20.49</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20.49</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广州农村商业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银行股份有限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20.14</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20.14</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公司芳村支行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3.80%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35.40</w:t>
            </w: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3.80%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广州员村支行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18.85</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18.85</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4.45%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30.48</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4.40%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27.12</w:t>
            </w: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上海浦东发展 银行广州分行 东湖支行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24.24</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24.24</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广发银行广州</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前进支行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10.96</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3.50%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10.07</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中国银行广州</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r>
    </w:tbl>
    <w:p>
      <w:pPr>
        <w:spacing w:lineRule="exact" w:line="1"/>
        <w:rPr>
          <w:sz w:val="2"/>
          <w:szCs w:val="2"/>
        </w:rPr>
      </w:pP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3.10%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17.10</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186.99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186.99</w:t>
            </w: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广东华兴银行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广州分行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4.95%</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61.03</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61.03</w:t>
            </w: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广州农村商业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银行股份有限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4.70%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51.51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51.51</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公司芳村支行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中国建行银行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股份有限公司</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5.10%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122.96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122.96</w:t>
            </w:r>
          </w:p>
        </w:tc>
      </w:tr>
      <w:tr>
        <w:trPr>
          <w:trHeight w:val="278"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上海浦东发展 银行广州分行 东湖支行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4.55%</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13.46</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13.46</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24.66</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5.90%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72.74</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5.40%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23.67</w:t>
            </w:r>
          </w:p>
        </w:tc>
      </w:tr>
      <w:tr>
        <w:trPr>
          <w:trHeight w:val="27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广发银行广州</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前进支行</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动收益</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52.36</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52.36</w:t>
            </w:r>
          </w:p>
        </w:tc>
      </w:tr>
      <w:tr>
        <w:trPr>
          <w:trHeight w:val="43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广州员村支行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4.35%</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13.26</w:t>
            </w:r>
          </w:p>
        </w:tc>
        <w:tc>
          <w:tcPr>
            <w:vMerge w:val="restart"/>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13.26</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37.26</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上海浦东发展 银行广州分行 东湖支行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4.50%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21.57</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21.57</w:t>
            </w:r>
          </w:p>
        </w:tc>
      </w:tr>
      <w:tr>
        <w:trPr>
          <w:trHeight w:val="43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广州员村支行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18.85</w:t>
            </w: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中国农业银行 股份有限公司 广州员村支行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22.64</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中国建行银行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股份有限公司</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广东省分行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4.90%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46.99</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46.99</w:t>
            </w: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17.26</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151.94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中国农业银行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广州员村支行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2,100</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21.84</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广州员村支行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5.17</w:t>
            </w: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vMerge w:val="restart"/>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广东华兴银行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广州分行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6.05%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149.18</w:t>
            </w: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中国建行银行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股份有限公司</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广东省分行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动收益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147.95</w:t>
            </w: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平安银行广州 中石化大厦支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118.36</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中国银行广州</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光大银行黄埔 大道西支行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142.50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招商银行股份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有限公司广州</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高新支行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1,200</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5.20%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13.51</w:t>
            </w: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中国银行国贸</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大厦支行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3.50%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6.04</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0.11</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中国银行国贸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4.67</w:t>
            </w:r>
          </w:p>
        </w:tc>
      </w:tr>
    </w:tbl>
    <w:p>
      <w:pPr>
        <w:spacing w:lineRule="exact" w:line="1"/>
        <w:rPr>
          <w:sz w:val="2"/>
          <w:szCs w:val="2"/>
        </w:rPr>
      </w:pP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中国银行国贸</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5.90%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50.92</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0.40</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0.15</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1.35%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中国银行国贸</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4.19</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中国银行国贸</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3.40%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0.36</w:t>
            </w: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中国银行国贸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保本保</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66.58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平安银行广州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中石化大厦支 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left w:val="single" w:sz="4"/>
            </w:tcBorders>
            <w:shd w:val="clear" w:color="auto" w:fill="FFFFFF"/>
            <w:vAlign w:val="top"/>
          </w:tcPr>
          <w:p>
            <w:pPr>
              <w:pStyle w:val="Style28"/>
              <w:keepNext w:val="0"/>
              <w:keepLines w:val="0"/>
              <w:widowControl w:val="0"/>
              <w:shd w:val="clear" w:color="auto" w:fill="auto"/>
              <w:bidi w:val="0"/>
              <w:spacing w:before="12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3.80%</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32.27</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32.27</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银行广州东湖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0.08</w:t>
            </w:r>
          </w:p>
        </w:tc>
      </w:tr>
      <w:tr>
        <w:trPr>
          <w:trHeight w:val="43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银行广州东湖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0.38</w:t>
            </w:r>
          </w:p>
        </w:tc>
      </w:tr>
      <w:tr>
        <w:trPr>
          <w:trHeight w:val="43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银行广州东湖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w:t>
            </w:r>
          </w:p>
        </w:tc>
      </w:tr>
      <w:tr>
        <w:trPr>
          <w:trHeight w:val="43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银行广州东湖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1.91</w:t>
            </w:r>
          </w:p>
        </w:tc>
      </w:tr>
      <w:tr>
        <w:trPr>
          <w:trHeight w:val="43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银行广州东湖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w:t>
            </w:r>
          </w:p>
        </w:tc>
      </w:tr>
      <w:tr>
        <w:trPr>
          <w:trHeight w:val="43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支行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银行广州分行</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03</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3.92%</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3.06</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上海浦东发展</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保本保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预期年化收益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9.04</w:t>
            </w:r>
          </w:p>
        </w:tc>
      </w:tr>
    </w:tbl>
    <w:p>
      <w:pPr>
        <w:spacing w:lineRule="exact" w:line="1"/>
        <w:rPr>
          <w:sz w:val="2"/>
          <w:szCs w:val="2"/>
        </w:rPr>
      </w:pPr>
      <w:r>
        <w:br w:type="page"/>
      </w:r>
    </w:p>
    <w:tbl>
      <w:tblPr>
        <w:tblOverlap w:val="never"/>
        <w:jc w:val="center"/>
        <w:tblLayout w:type="fixed"/>
      </w:tblPr>
      <w:tblGrid>
        <w:gridCol w:w="1262"/>
        <w:gridCol w:w="432"/>
        <w:gridCol w:w="720"/>
        <w:gridCol w:w="720"/>
        <w:gridCol w:w="720"/>
        <w:gridCol w:w="902"/>
        <w:gridCol w:w="898"/>
        <w:gridCol w:w="1200"/>
        <w:gridCol w:w="797"/>
        <w:gridCol w:w="802"/>
        <w:gridCol w:w="797"/>
        <w:gridCol w:w="802"/>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银行广州分行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收益型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银行广州分行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38.12</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上海浦东发展</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银行广州分行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广东华兴银行 广州分行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03</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2.75%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广东华兴银行 广州分行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广东华兴银行 广州分行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保本浮 动收益 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05</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06</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07</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09</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10</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宁波银行龙岗</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保本保 收益型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2014 </w:t>
            </w:r>
            <w:r>
              <w:rPr>
                <w:rFonts w:ascii="SimSun" w:eastAsia="SimSun" w:hAnsi="SimSun" w:cs="SimSun"/>
                <w:color w:val="000000"/>
                <w:spacing w:val="0"/>
                <w:w w:val="100"/>
                <w:position w:val="0"/>
              </w:rPr>
              <w:t xml:space="preserve">年 </w:t>
            </w:r>
            <w:r>
              <w:rPr>
                <w:color w:val="000000"/>
                <w:spacing w:val="0"/>
                <w:w w:val="100"/>
                <w:position w:val="0"/>
              </w:rPr>
              <w:t>02</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预期年化收益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 xml:space="preserve">率 </w:t>
            </w:r>
            <w:r>
              <w:rPr>
                <w:color w:val="000000"/>
                <w:spacing w:val="0"/>
                <w:w w:val="100"/>
                <w:position w:val="0"/>
              </w:rPr>
              <w:t>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454,010</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2,810.75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1,788.60</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自有闲置资金</w:t>
            </w:r>
          </w:p>
        </w:tc>
      </w:tr>
      <w:tr>
        <w:trPr>
          <w:trHeight w:val="398" w:hRule="exact"/>
        </w:trPr>
        <w:tc>
          <w:tcPr>
            <w:gridSpan w:val="4"/>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涉诉情况（如适用）</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gridSpan w:val="4"/>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委托理财审批董事会公告披露日期</w:t>
            </w:r>
          </w:p>
        </w:tc>
        <w:tc>
          <w:tcPr>
            <w:gridSpan w:val="8"/>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413" w:hRule="exact"/>
        </w:trPr>
        <w:tc>
          <w:tcPr>
            <w:gridSpan w:val="4"/>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委托理财审批股东会公告披露日期</w:t>
            </w:r>
          </w:p>
        </w:tc>
        <w:tc>
          <w:tcPr>
            <w:gridSpan w:val="8"/>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r>
    </w:tbl>
    <w:p>
      <w:pPr>
        <w:sectPr>
          <w:footnotePr>
            <w:pos w:val="pageBottom"/>
            <w:numFmt w:val="decimal"/>
            <w:numRestart w:val="continuous"/>
          </w:footnotePr>
          <w:pgSz w:w="11900" w:h="16840"/>
          <w:pgMar w:top="1374" w:right="886" w:bottom="1763" w:left="919" w:header="0" w:footer="3" w:gutter="0"/>
          <w:cols w:space="720"/>
          <w:noEndnote/>
          <w:rtlGutter w:val="0"/>
          <w:docGrid w:linePitch="360"/>
        </w:sectPr>
      </w:pPr>
    </w:p>
    <w:p>
      <w:pPr>
        <w:pStyle w:val="Style44"/>
        <w:keepNext/>
        <w:keepLines/>
        <w:widowControl w:val="0"/>
        <w:numPr>
          <w:ilvl w:val="0"/>
          <w:numId w:val="1"/>
        </w:numPr>
        <w:shd w:val="clear" w:color="auto" w:fill="auto"/>
        <w:tabs>
          <w:tab w:pos="1233" w:val="left"/>
        </w:tabs>
        <w:bidi w:val="0"/>
        <w:spacing w:before="80" w:after="360" w:line="240" w:lineRule="auto"/>
        <w:ind w:left="0" w:right="0" w:firstLine="740"/>
        <w:jc w:val="both"/>
      </w:pPr>
      <w:bookmarkStart w:id="180" w:name="bookmark180"/>
      <w:bookmarkStart w:id="181" w:name="bookmark181"/>
      <w:bookmarkStart w:id="182" w:name="bookmark182"/>
      <w:bookmarkStart w:id="183" w:name="bookmark183"/>
      <w:bookmarkEnd w:id="182"/>
      <w:r>
        <w:rPr>
          <w:color w:val="000000"/>
          <w:spacing w:val="0"/>
          <w:w w:val="100"/>
          <w:position w:val="0"/>
        </w:rPr>
        <w:t>衍生品投资情况</w:t>
      </w:r>
      <w:bookmarkEnd w:id="180"/>
      <w:bookmarkEnd w:id="181"/>
      <w:bookmarkEnd w:id="183"/>
    </w:p>
    <w:p>
      <w:pPr>
        <w:pStyle w:val="Style35"/>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44"/>
        <w:keepNext/>
        <w:keepLines/>
        <w:widowControl w:val="0"/>
        <w:numPr>
          <w:ilvl w:val="0"/>
          <w:numId w:val="1"/>
        </w:numPr>
        <w:shd w:val="clear" w:color="auto" w:fill="auto"/>
        <w:tabs>
          <w:tab w:pos="1233" w:val="left"/>
        </w:tabs>
        <w:bidi w:val="0"/>
        <w:spacing w:before="0" w:after="360" w:line="240" w:lineRule="auto"/>
        <w:ind w:left="0" w:right="0" w:firstLine="740"/>
        <w:jc w:val="both"/>
      </w:pPr>
      <w:bookmarkStart w:id="184" w:name="bookmark184"/>
      <w:bookmarkStart w:id="185" w:name="bookmark185"/>
      <w:bookmarkStart w:id="186" w:name="bookmark186"/>
      <w:bookmarkStart w:id="187" w:name="bookmark187"/>
      <w:bookmarkEnd w:id="186"/>
      <w:r>
        <w:rPr>
          <w:color w:val="000000"/>
          <w:spacing w:val="0"/>
          <w:w w:val="100"/>
          <w:position w:val="0"/>
        </w:rPr>
        <w:t>委托贷款情况</w:t>
      </w:r>
      <w:bookmarkEnd w:id="184"/>
      <w:bookmarkEnd w:id="185"/>
      <w:bookmarkEnd w:id="187"/>
    </w:p>
    <w:p>
      <w:pPr>
        <w:pStyle w:val="Style35"/>
        <w:keepNext w:val="0"/>
        <w:keepLines w:val="0"/>
        <w:widowControl w:val="0"/>
        <w:shd w:val="clear" w:color="auto" w:fill="auto"/>
        <w:bidi w:val="0"/>
        <w:spacing w:before="0" w:after="360" w:line="240" w:lineRule="auto"/>
        <w:ind w:left="0" w:right="0" w:firstLine="740"/>
        <w:jc w:val="both"/>
      </w:pPr>
      <w:r>
        <w:rPr>
          <w:color w:val="000000"/>
          <w:spacing w:val="0"/>
          <w:w w:val="100"/>
          <w:position w:val="0"/>
        </w:rPr>
        <w:t>□</w:t>
      </w:r>
      <w:r>
        <w:rPr>
          <w:color w:val="000000"/>
          <w:spacing w:val="0"/>
          <w:w w:val="100"/>
          <w:position w:val="0"/>
        </w:rPr>
        <w:t>适用"不适用</w:t>
      </w:r>
    </w:p>
    <w:p>
      <w:pPr>
        <w:pStyle w:val="Style44"/>
        <w:keepNext/>
        <w:keepLines/>
        <w:widowControl w:val="0"/>
        <w:shd w:val="clear" w:color="auto" w:fill="auto"/>
        <w:tabs>
          <w:tab w:pos="1122" w:val="left"/>
        </w:tabs>
        <w:bidi w:val="0"/>
        <w:spacing w:before="0" w:after="360" w:line="240" w:lineRule="auto"/>
        <w:ind w:left="0" w:right="0" w:firstLine="74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3</w:t>
      </w:r>
      <w:bookmarkEnd w:id="190"/>
      <w:r>
        <w:rPr>
          <w:color w:val="000000"/>
          <w:spacing w:val="0"/>
          <w:w w:val="100"/>
          <w:position w:val="0"/>
        </w:rPr>
        <w:t>、</w:t>
        <w:tab/>
        <w:t>募集资金使用情况</w:t>
      </w:r>
      <w:bookmarkEnd w:id="188"/>
      <w:bookmarkEnd w:id="189"/>
      <w:bookmarkEnd w:id="191"/>
    </w:p>
    <w:p>
      <w:pPr>
        <w:pStyle w:val="Style35"/>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报告期，公司不存在募集资金项目。截止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IPO</w:t>
      </w:r>
      <w:r>
        <w:rPr>
          <w:color w:val="000000"/>
          <w:spacing w:val="0"/>
          <w:w w:val="100"/>
          <w:position w:val="0"/>
        </w:rPr>
        <w:t>募集资金已全部使用完毕，募集资金专户已注销。</w:t>
      </w:r>
    </w:p>
    <w:p>
      <w:pPr>
        <w:pStyle w:val="Style44"/>
        <w:keepNext/>
        <w:keepLines/>
        <w:widowControl w:val="0"/>
        <w:shd w:val="clear" w:color="auto" w:fill="auto"/>
        <w:tabs>
          <w:tab w:pos="1122" w:val="left"/>
        </w:tabs>
        <w:bidi w:val="0"/>
        <w:spacing w:before="0" w:after="360" w:line="240" w:lineRule="auto"/>
        <w:ind w:left="0" w:right="0" w:firstLine="74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4</w:t>
      </w:r>
      <w:bookmarkEnd w:id="194"/>
      <w:r>
        <w:rPr>
          <w:color w:val="000000"/>
          <w:spacing w:val="0"/>
          <w:w w:val="100"/>
          <w:position w:val="0"/>
        </w:rPr>
        <w:t>、</w:t>
        <w:tab/>
        <w:t>主要子公司、参股公司分析</w:t>
      </w:r>
      <w:bookmarkEnd w:id="192"/>
      <w:bookmarkEnd w:id="193"/>
      <w:bookmarkEnd w:id="195"/>
    </w:p>
    <w:p>
      <w:pPr>
        <w:pStyle w:val="Style35"/>
        <w:keepNext w:val="0"/>
        <w:keepLines w:val="0"/>
        <w:widowControl w:val="0"/>
        <w:shd w:val="clear" w:color="auto" w:fill="auto"/>
        <w:bidi w:val="0"/>
        <w:spacing w:before="0" w:line="240" w:lineRule="auto"/>
        <w:ind w:left="0" w:right="0" w:firstLine="740"/>
        <w:jc w:val="both"/>
      </w:pPr>
      <w:r>
        <w:rPr>
          <w:color w:val="000000"/>
          <w:spacing w:val="0"/>
          <w:w w:val="100"/>
          <w:position w:val="0"/>
        </w:rPr>
        <w:t>主要子公司、参股公司情况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25"/>
        <w:gridCol w:w="720"/>
        <w:gridCol w:w="710"/>
        <w:gridCol w:w="1354"/>
        <w:gridCol w:w="1315"/>
        <w:gridCol w:w="1262"/>
        <w:gridCol w:w="1258"/>
        <w:gridCol w:w="1262"/>
        <w:gridCol w:w="1258"/>
        <w:gridCol w:w="1272"/>
      </w:tblGrid>
      <w:tr>
        <w:trPr>
          <w:trHeight w:val="75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50" w:lineRule="exact"/>
              <w:ind w:left="0" w:right="0" w:firstLine="0"/>
              <w:jc w:val="center"/>
            </w:pPr>
            <w:r>
              <w:rPr>
                <w:rFonts w:ascii="SimSun" w:eastAsia="SimSun" w:hAnsi="SimSun" w:cs="SimSun"/>
                <w:color w:val="000000"/>
                <w:spacing w:val="0"/>
                <w:w w:val="100"/>
                <w:position w:val="0"/>
              </w:rPr>
              <w:t>公司 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50" w:lineRule="exact"/>
              <w:ind w:left="180" w:right="0" w:firstLine="0"/>
              <w:jc w:val="left"/>
            </w:pPr>
            <w:r>
              <w:rPr>
                <w:rFonts w:ascii="SimSun" w:eastAsia="SimSun" w:hAnsi="SimSun" w:cs="SimSun"/>
                <w:color w:val="000000"/>
                <w:spacing w:val="0"/>
                <w:w w:val="100"/>
                <w:position w:val="0"/>
              </w:rPr>
              <w:t>公司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180"/>
              <w:jc w:val="left"/>
            </w:pPr>
            <w:r>
              <w:rPr>
                <w:rFonts w:ascii="SimSun" w:eastAsia="SimSun" w:hAnsi="SimSun" w:cs="SimSun"/>
                <w:color w:val="000000"/>
                <w:spacing w:val="0"/>
                <w:w w:val="100"/>
                <w:position w:val="0"/>
              </w:rPr>
              <w:t>所处</w:t>
            </w:r>
          </w:p>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行业</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主要产品或服务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净利润</w:t>
            </w:r>
          </w:p>
        </w:tc>
      </w:tr>
      <w:tr>
        <w:trPr>
          <w:trHeight w:val="19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深圳</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主要从事货币自 动处理设备的维 护服务、</w:t>
            </w:r>
            <w:r>
              <w:rPr>
                <w:color w:val="000000"/>
                <w:spacing w:val="0"/>
                <w:w w:val="100"/>
                <w:position w:val="0"/>
              </w:rPr>
              <w:t>ATM</w:t>
            </w:r>
            <w:r>
              <w:rPr>
                <w:rFonts w:ascii="SimSun" w:eastAsia="SimSun" w:hAnsi="SimSun" w:cs="SimSun"/>
                <w:color w:val="000000"/>
                <w:spacing w:val="0"/>
                <w:w w:val="100"/>
                <w:position w:val="0"/>
              </w:rPr>
              <w:t>营 运业务以及金融 服务全外包业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420,735,812.39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274,533,079.71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392,267,492.22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84,349,456.28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67,126,647.62</w:t>
            </w: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主要从事货币自 动处理设备的维 护服务、</w:t>
            </w:r>
            <w:r>
              <w:rPr>
                <w:color w:val="000000"/>
                <w:spacing w:val="0"/>
                <w:w w:val="100"/>
                <w:position w:val="0"/>
              </w:rPr>
              <w:t>ATM</w:t>
            </w:r>
            <w:r>
              <w:rPr>
                <w:rFonts w:ascii="SimSun" w:eastAsia="SimSun" w:hAnsi="SimSun" w:cs="SimSun"/>
                <w:color w:val="000000"/>
                <w:spacing w:val="0"/>
                <w:w w:val="100"/>
                <w:position w:val="0"/>
              </w:rPr>
              <w:t>营 运业务以及金融 服务全外包业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56,975,280.06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51,427,926.84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30,322,311.08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1,718,508.82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1,229,829.87</w:t>
            </w:r>
          </w:p>
        </w:tc>
      </w:tr>
      <w:tr>
        <w:trPr>
          <w:trHeight w:val="7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运通</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主要经营柜员机 销售与服务。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3,000,000.00</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62,233,944.01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15,826,984.01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130,307,431.12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204,572.67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-3,487.94</w:t>
            </w:r>
          </w:p>
        </w:tc>
      </w:tr>
      <w:tr>
        <w:trPr>
          <w:trHeight w:val="7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支点</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主要从事创业投 资、咨询、管理。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50,707,682.60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50,620,805.60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347,507.99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260,630.99</w:t>
            </w:r>
          </w:p>
        </w:tc>
      </w:tr>
      <w:tr>
        <w:trPr>
          <w:trHeight w:val="75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中智</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主要从事清分机 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85,614,386.80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51,075,020.05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70,629,508.52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1,921,394.66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1,075,020.05</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广电</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汇通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29" w:lineRule="exact"/>
              <w:ind w:left="0" w:right="0" w:firstLine="0"/>
              <w:jc w:val="both"/>
            </w:pPr>
            <w:r>
              <w:rPr>
                <w:rFonts w:ascii="SimSun" w:eastAsia="SimSun" w:hAnsi="SimSun" w:cs="SimSun"/>
                <w:color w:val="000000"/>
                <w:spacing w:val="0"/>
                <w:w w:val="100"/>
                <w:position w:val="0"/>
              </w:rPr>
              <w:t>专业从事基于金 融服务终端的支 付业务。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99,854,833.18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99,766,584.79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111,111.11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-307,853.47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-233,415.21</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专业从事计算机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10,000,000.00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9,959,358.49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9,925,882.02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42,735.04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-98,823.98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-74,117.98</w:t>
            </w:r>
          </w:p>
        </w:tc>
      </w:tr>
    </w:tbl>
    <w:tbl>
      <w:tblPr>
        <w:tblOverlap w:val="never"/>
        <w:jc w:val="center"/>
        <w:tblLayout w:type="fixed"/>
      </w:tblPr>
      <w:tblGrid>
        <w:gridCol w:w="725"/>
        <w:gridCol w:w="720"/>
        <w:gridCol w:w="710"/>
        <w:gridCol w:w="1354"/>
        <w:gridCol w:w="1315"/>
        <w:gridCol w:w="1262"/>
        <w:gridCol w:w="1258"/>
        <w:gridCol w:w="1262"/>
        <w:gridCol w:w="1258"/>
        <w:gridCol w:w="1272"/>
      </w:tblGrid>
      <w:tr>
        <w:trPr>
          <w:trHeight w:val="98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软、硬件技术及</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系统集成的开发</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广州</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穗通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受银行委托对自 动柜员机进行日 常维护及管理， 对现金及有价证 券提供清分处理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82,367,646.79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64,880,853.25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76,653,577.53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16,027,290.14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13,994,916.58</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龙源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电镀污 水处理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环境污染防治专 用设备生产技术 的研究、开发；</w:t>
            </w:r>
          </w:p>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销售：环境污染 防治专用设备。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279,400,000.00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250,282,358.52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246,958,743.50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4,330,598.25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-13,358,861.10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-13,013,772.63</w:t>
            </w:r>
          </w:p>
        </w:tc>
      </w:tr>
      <w:tr>
        <w:trPr>
          <w:trHeight w:val="75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100" w:line="240" w:lineRule="auto"/>
              <w:ind w:left="0" w:right="0" w:firstLine="0"/>
              <w:jc w:val="both"/>
            </w:pPr>
            <w:r>
              <w:rPr>
                <w:rFonts w:ascii="SimSun" w:eastAsia="SimSun" w:hAnsi="SimSun" w:cs="SimSun"/>
                <w:color w:val="000000"/>
                <w:spacing w:val="0"/>
                <w:w w:val="100"/>
                <w:position w:val="0"/>
              </w:rPr>
              <w:t>广百小</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额贷</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140" w:line="240" w:lineRule="auto"/>
              <w:ind w:left="0" w:right="0" w:firstLine="0"/>
              <w:jc w:val="left"/>
            </w:pPr>
            <w:r>
              <w:rPr>
                <w:rFonts w:ascii="SimSun" w:eastAsia="SimSun" w:hAnsi="SimSun" w:cs="SimSun"/>
                <w:color w:val="000000"/>
                <w:spacing w:val="0"/>
                <w:w w:val="100"/>
                <w:position w:val="0"/>
              </w:rPr>
              <w:t>参股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办理各项小额贷 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306,284,269.76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302,140,138.45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7,091,277.04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2,855,920.87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2,140,138.45</w:t>
            </w:r>
          </w:p>
        </w:tc>
      </w:tr>
    </w:tbl>
    <w:p>
      <w:pPr>
        <w:pStyle w:val="Style33"/>
        <w:keepNext w:val="0"/>
        <w:keepLines w:val="0"/>
        <w:widowControl w:val="0"/>
        <w:shd w:val="clear" w:color="auto" w:fill="auto"/>
        <w:bidi w:val="0"/>
        <w:spacing w:before="0" w:after="0" w:line="240" w:lineRule="auto"/>
        <w:ind w:left="734" w:right="0" w:firstLine="0"/>
        <w:jc w:val="left"/>
      </w:pPr>
      <w:r>
        <w:rPr>
          <w:color w:val="000000"/>
          <w:spacing w:val="0"/>
          <w:w w:val="100"/>
          <w:position w:val="0"/>
        </w:rPr>
        <w:t>主要子公司、参股公司情况说明</w:t>
      </w:r>
    </w:p>
    <w:p>
      <w:pPr>
        <w:pStyle w:val="Style35"/>
        <w:keepNext w:val="0"/>
        <w:keepLines w:val="0"/>
        <w:widowControl w:val="0"/>
        <w:shd w:val="clear" w:color="auto" w:fill="auto"/>
        <w:tabs>
          <w:tab w:pos="1526" w:val="left"/>
        </w:tabs>
        <w:bidi w:val="0"/>
        <w:spacing w:before="0" w:after="0" w:line="302" w:lineRule="exact"/>
        <w:ind w:left="1100" w:right="0" w:firstLine="0"/>
        <w:jc w:val="both"/>
      </w:pPr>
      <w:bookmarkStart w:id="196" w:name="bookmark196"/>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w:t>
        <w:tab/>
        <w:t>深圳银通</w:t>
      </w:r>
    </w:p>
    <w:p>
      <w:pPr>
        <w:pStyle w:val="Style35"/>
        <w:keepNext w:val="0"/>
        <w:keepLines w:val="0"/>
        <w:widowControl w:val="0"/>
        <w:numPr>
          <w:ilvl w:val="0"/>
          <w:numId w:val="3"/>
        </w:numPr>
        <w:shd w:val="clear" w:color="auto" w:fill="auto"/>
        <w:tabs>
          <w:tab w:pos="1459" w:val="left"/>
        </w:tabs>
        <w:bidi w:val="0"/>
        <w:spacing w:before="0" w:after="0" w:line="302" w:lineRule="exact"/>
        <w:ind w:left="1100" w:right="0" w:firstLine="0"/>
        <w:jc w:val="both"/>
      </w:pPr>
      <w:bookmarkStart w:id="197" w:name="bookmark197"/>
      <w:bookmarkEnd w:id="197"/>
      <w:r>
        <w:rPr>
          <w:color w:val="000000"/>
          <w:spacing w:val="0"/>
          <w:w w:val="100"/>
          <w:position w:val="0"/>
        </w:rPr>
        <w:t>报告期内，深圳银通新成立了一家控股子公司。具体情况如下：</w:t>
      </w:r>
    </w:p>
    <w:p>
      <w:pPr>
        <w:pStyle w:val="Style35"/>
        <w:keepNext w:val="0"/>
        <w:keepLines w:val="0"/>
        <w:widowControl w:val="0"/>
        <w:shd w:val="clear" w:color="auto" w:fill="auto"/>
        <w:bidi w:val="0"/>
        <w:spacing w:before="0" w:after="0" w:line="304" w:lineRule="exact"/>
        <w:ind w:left="72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月，深圳银通投资成立宜昌宜通金融服务有限公司，注册资本为</w:t>
      </w:r>
      <w:r>
        <w:rPr>
          <w:rFonts w:ascii="Times New Roman" w:eastAsia="Times New Roman" w:hAnsi="Times New Roman" w:cs="Times New Roman"/>
          <w:color w:val="000000"/>
          <w:spacing w:val="0"/>
          <w:w w:val="100"/>
          <w:position w:val="0"/>
        </w:rPr>
        <w:t>300</w:t>
      </w:r>
      <w:r>
        <w:rPr>
          <w:color w:val="000000"/>
          <w:spacing w:val="0"/>
          <w:w w:val="100"/>
          <w:position w:val="0"/>
        </w:rPr>
        <w:t>万元人民币（深圳银通占比</w:t>
      </w:r>
      <w:r>
        <w:rPr>
          <w:rFonts w:ascii="Times New Roman" w:eastAsia="Times New Roman" w:hAnsi="Times New Roman" w:cs="Times New Roman"/>
          <w:color w:val="000000"/>
          <w:spacing w:val="0"/>
          <w:w w:val="100"/>
          <w:position w:val="0"/>
        </w:rPr>
        <w:t>51%</w:t>
      </w:r>
      <w:r>
        <w:rPr>
          <w:color w:val="000000"/>
          <w:spacing w:val="0"/>
          <w:w w:val="100"/>
          <w:position w:val="0"/>
        </w:rPr>
        <w:t>），注册地 为宜昌市伍家岗区沿江大道</w:t>
      </w:r>
      <w:r>
        <w:rPr>
          <w:rFonts w:ascii="Times New Roman" w:eastAsia="Times New Roman" w:hAnsi="Times New Roman" w:cs="Times New Roman"/>
          <w:color w:val="000000"/>
          <w:spacing w:val="0"/>
          <w:w w:val="100"/>
          <w:position w:val="0"/>
        </w:rPr>
        <w:t>218</w:t>
      </w:r>
      <w:r>
        <w:rPr>
          <w:color w:val="000000"/>
          <w:spacing w:val="0"/>
          <w:w w:val="100"/>
          <w:position w:val="0"/>
        </w:rPr>
        <w:t>号江山多娇三期</w:t>
      </w:r>
      <w:r>
        <w:rPr>
          <w:rFonts w:ascii="Times New Roman" w:eastAsia="Times New Roman" w:hAnsi="Times New Roman" w:cs="Times New Roman"/>
          <w:color w:val="000000"/>
          <w:spacing w:val="0"/>
          <w:w w:val="100"/>
          <w:position w:val="0"/>
        </w:rPr>
        <w:t>9-1-401</w:t>
      </w:r>
      <w:r>
        <w:rPr>
          <w:color w:val="000000"/>
          <w:spacing w:val="0"/>
          <w:w w:val="100"/>
          <w:position w:val="0"/>
        </w:rPr>
        <w:t>，</w:t>
      </w:r>
      <w:r>
        <w:rPr>
          <w:color w:val="000000"/>
          <w:spacing w:val="0"/>
          <w:w w:val="100"/>
          <w:position w:val="0"/>
        </w:rPr>
        <w:t>法定代表人为陈建良，经营范围为：接受金融机构委托从事清机加 钞、清分整点、现金调缴、票据录入、数据处理、安全监控金融业务流程外包服务（经营范围中涉及许可项目的须办理许可 手续后经营）。</w:t>
      </w:r>
    </w:p>
    <w:p>
      <w:pPr>
        <w:pStyle w:val="Style35"/>
        <w:keepNext w:val="0"/>
        <w:keepLines w:val="0"/>
        <w:widowControl w:val="0"/>
        <w:numPr>
          <w:ilvl w:val="0"/>
          <w:numId w:val="3"/>
        </w:numPr>
        <w:shd w:val="clear" w:color="auto" w:fill="auto"/>
        <w:tabs>
          <w:tab w:pos="1434" w:val="left"/>
        </w:tabs>
        <w:bidi w:val="0"/>
        <w:spacing w:before="0" w:after="0" w:line="298" w:lineRule="exact"/>
        <w:ind w:left="720" w:right="0"/>
        <w:jc w:val="both"/>
      </w:pPr>
      <w:bookmarkStart w:id="198" w:name="bookmark198"/>
      <w:bookmarkEnd w:id="198"/>
      <w:r>
        <w:rPr>
          <w:color w:val="000000"/>
          <w:spacing w:val="0"/>
          <w:w w:val="100"/>
          <w:position w:val="0"/>
        </w:rPr>
        <w:t>报告期内，公司收购深圳银通原全资子公司广州银通</w:t>
      </w:r>
      <w:r>
        <w:rPr>
          <w:rFonts w:ascii="Times New Roman" w:eastAsia="Times New Roman" w:hAnsi="Times New Roman" w:cs="Times New Roman"/>
          <w:color w:val="000000"/>
          <w:spacing w:val="0"/>
          <w:w w:val="100"/>
          <w:position w:val="0"/>
        </w:rPr>
        <w:t>100%</w:t>
      </w:r>
      <w:r>
        <w:rPr>
          <w:color w:val="000000"/>
          <w:spacing w:val="0"/>
          <w:w w:val="100"/>
          <w:position w:val="0"/>
        </w:rPr>
        <w:t>的股权并增资，广州银通成为公司的全资子公司，具体详 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日刊载于巨潮资讯网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r>
        <w:rPr>
          <w:color w:val="000000"/>
          <w:spacing w:val="0"/>
          <w:w w:val="100"/>
          <w:position w:val="0"/>
        </w:rPr>
        <w:t>上的公告名称《关于收购全资孙公司广州广电银通金融电子科技 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股权并增资的公告》（公告编号：临</w:t>
      </w:r>
      <w:r>
        <w:rPr>
          <w:rFonts w:ascii="Times New Roman" w:eastAsia="Times New Roman" w:hAnsi="Times New Roman" w:cs="Times New Roman"/>
          <w:color w:val="000000"/>
          <w:spacing w:val="0"/>
          <w:w w:val="100"/>
          <w:position w:val="0"/>
        </w:rPr>
        <w:t>2013-030</w:t>
      </w:r>
      <w:r>
        <w:rPr>
          <w:color w:val="000000"/>
          <w:spacing w:val="0"/>
          <w:w w:val="100"/>
          <w:position w:val="0"/>
        </w:rPr>
        <w:t>）。</w:t>
      </w:r>
    </w:p>
    <w:p>
      <w:pPr>
        <w:pStyle w:val="Style35"/>
        <w:keepNext w:val="0"/>
        <w:keepLines w:val="0"/>
        <w:widowControl w:val="0"/>
        <w:numPr>
          <w:ilvl w:val="0"/>
          <w:numId w:val="3"/>
        </w:numPr>
        <w:shd w:val="clear" w:color="auto" w:fill="auto"/>
        <w:tabs>
          <w:tab w:pos="1420" w:val="left"/>
        </w:tabs>
        <w:bidi w:val="0"/>
        <w:spacing w:before="0" w:after="0" w:line="298" w:lineRule="exact"/>
        <w:ind w:left="720" w:right="0"/>
        <w:jc w:val="both"/>
      </w:pPr>
      <w:bookmarkStart w:id="199" w:name="bookmark199"/>
      <w:bookmarkEnd w:id="199"/>
      <w:r>
        <w:rPr>
          <w:color w:val="000000"/>
          <w:spacing w:val="0"/>
          <w:w w:val="100"/>
          <w:position w:val="0"/>
        </w:rPr>
        <w:t>江苏保通原是深圳银通的控股子公司，注册资本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万元（深圳银通占比</w:t>
      </w:r>
      <w:r>
        <w:rPr>
          <w:rFonts w:ascii="Times New Roman" w:eastAsia="Times New Roman" w:hAnsi="Times New Roman" w:cs="Times New Roman"/>
          <w:color w:val="000000"/>
          <w:spacing w:val="0"/>
          <w:w w:val="100"/>
          <w:position w:val="0"/>
        </w:rPr>
        <w:t>55%</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月，深圳银通以自有资金人 民币</w:t>
      </w:r>
      <w:r>
        <w:rPr>
          <w:rFonts w:ascii="Times New Roman" w:eastAsia="Times New Roman" w:hAnsi="Times New Roman" w:cs="Times New Roman"/>
          <w:color w:val="000000"/>
          <w:spacing w:val="0"/>
          <w:w w:val="100"/>
          <w:position w:val="0"/>
        </w:rPr>
        <w:t>225</w:t>
      </w:r>
      <w:r>
        <w:rPr>
          <w:color w:val="000000"/>
          <w:spacing w:val="0"/>
          <w:w w:val="100"/>
          <w:position w:val="0"/>
        </w:rPr>
        <w:t>万元收购江苏保通少数股东</w:t>
      </w:r>
      <w:r>
        <w:rPr>
          <w:rFonts w:ascii="Times New Roman" w:eastAsia="Times New Roman" w:hAnsi="Times New Roman" w:cs="Times New Roman"/>
          <w:color w:val="000000"/>
          <w:spacing w:val="0"/>
          <w:w w:val="100"/>
          <w:position w:val="0"/>
        </w:rPr>
        <w:t>45%</w:t>
      </w:r>
      <w:r>
        <w:rPr>
          <w:color w:val="000000"/>
          <w:spacing w:val="0"/>
          <w:w w:val="100"/>
          <w:position w:val="0"/>
        </w:rPr>
        <w:t>的股权，江苏保通成为深圳银通的全资子公司。</w:t>
      </w:r>
    </w:p>
    <w:p>
      <w:pPr>
        <w:pStyle w:val="Style35"/>
        <w:keepNext w:val="0"/>
        <w:keepLines w:val="0"/>
        <w:widowControl w:val="0"/>
        <w:shd w:val="clear" w:color="auto" w:fill="auto"/>
        <w:bidi w:val="0"/>
        <w:spacing w:before="0" w:after="0" w:line="302" w:lineRule="exact"/>
        <w:ind w:left="720" w:right="0"/>
        <w:jc w:val="both"/>
      </w:pPr>
      <w:r>
        <w:rPr>
          <w:color w:val="000000"/>
          <w:spacing w:val="0"/>
          <w:w w:val="100"/>
          <w:position w:val="0"/>
        </w:rPr>
        <w:t>目前，深圳银通有上海欣辰通、江苏保通两家全资子公司和深圳鹏通、石家庄银通、宜昌宜通三家控股子公司及云南 云通一家参股公司，金融服务外包业务在全国多个城市有序开展。</w:t>
      </w:r>
    </w:p>
    <w:p>
      <w:pPr>
        <w:pStyle w:val="Style35"/>
        <w:keepNext w:val="0"/>
        <w:keepLines w:val="0"/>
        <w:widowControl w:val="0"/>
        <w:shd w:val="clear" w:color="auto" w:fill="auto"/>
        <w:tabs>
          <w:tab w:pos="1531" w:val="left"/>
        </w:tabs>
        <w:bidi w:val="0"/>
        <w:spacing w:before="0" w:after="0" w:line="302" w:lineRule="exact"/>
        <w:ind w:left="1100" w:right="0" w:firstLine="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w:t>
        <w:tab/>
        <w:t>运通国际</w:t>
      </w:r>
    </w:p>
    <w:p>
      <w:pPr>
        <w:pStyle w:val="Style35"/>
        <w:keepNext w:val="0"/>
        <w:keepLines w:val="0"/>
        <w:widowControl w:val="0"/>
        <w:shd w:val="clear" w:color="auto" w:fill="auto"/>
        <w:bidi w:val="0"/>
        <w:spacing w:before="0" w:after="0" w:line="302" w:lineRule="exact"/>
        <w:ind w:left="1100" w:right="0" w:firstLine="0"/>
        <w:jc w:val="both"/>
      </w:pPr>
      <w:r>
        <w:rPr>
          <w:color w:val="000000"/>
          <w:spacing w:val="0"/>
          <w:w w:val="100"/>
          <w:position w:val="0"/>
        </w:rPr>
        <w:t>报告期内，运通国际新成立了一家全资子公司，具体情况如下：</w:t>
      </w:r>
    </w:p>
    <w:p>
      <w:pPr>
        <w:pStyle w:val="Style47"/>
        <w:keepNext w:val="0"/>
        <w:keepLines w:val="0"/>
        <w:widowControl w:val="0"/>
        <w:shd w:val="clear" w:color="auto" w:fill="auto"/>
        <w:bidi w:val="0"/>
        <w:spacing w:before="0" w:after="0" w:line="302" w:lineRule="exact"/>
        <w:ind w:left="720" w:right="0" w:firstLine="38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月，运通国际投资成立</w:t>
      </w:r>
      <w:r>
        <w:rPr>
          <w:color w:val="000000"/>
          <w:spacing w:val="0"/>
          <w:w w:val="100"/>
          <w:position w:val="0"/>
        </w:rPr>
        <w:t>GRG Deutschland GmbH</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注册资本及投资总额为</w:t>
      </w:r>
      <w:r>
        <w:rPr>
          <w:color w:val="000000"/>
          <w:spacing w:val="0"/>
          <w:w w:val="100"/>
          <w:position w:val="0"/>
        </w:rPr>
        <w:t>50,000</w:t>
      </w:r>
      <w:r>
        <w:rPr>
          <w:rFonts w:ascii="SimSun" w:eastAsia="SimSun" w:hAnsi="SimSun" w:cs="SimSun"/>
          <w:color w:val="000000"/>
          <w:spacing w:val="0"/>
          <w:w w:val="100"/>
          <w:position w:val="0"/>
        </w:rPr>
        <w:t>欧元（运通国际占比</w:t>
      </w:r>
      <w:r>
        <w:rPr>
          <w:color w:val="000000"/>
          <w:spacing w:val="0"/>
          <w:w w:val="100"/>
          <w:position w:val="0"/>
        </w:rPr>
        <w:t>100%</w:t>
      </w:r>
      <w:r>
        <w:rPr>
          <w:rFonts w:ascii="SimSun" w:eastAsia="SimSun" w:hAnsi="SimSun" w:cs="SimSun"/>
          <w:color w:val="000000"/>
          <w:spacing w:val="0"/>
          <w:w w:val="100"/>
          <w:position w:val="0"/>
        </w:rPr>
        <w:t>）, 注册地址为</w:t>
      </w:r>
      <w:r>
        <w:rPr>
          <w:color w:val="000000"/>
          <w:spacing w:val="0"/>
          <w:w w:val="100"/>
          <w:position w:val="0"/>
        </w:rPr>
        <w:t xml:space="preserve">Julius-Leber-Str. </w:t>
      </w:r>
      <w:r>
        <w:rPr>
          <w:color w:val="000000"/>
          <w:spacing w:val="0"/>
          <w:w w:val="100"/>
          <w:position w:val="0"/>
        </w:rPr>
        <w:t xml:space="preserve">28, 22765 </w:t>
      </w:r>
      <w:r>
        <w:rPr>
          <w:color w:val="000000"/>
          <w:spacing w:val="0"/>
          <w:w w:val="100"/>
          <w:position w:val="0"/>
        </w:rPr>
        <w:t>Hamburg, Germany</w:t>
      </w:r>
      <w:r>
        <w:rPr>
          <w:rFonts w:ascii="SimSun" w:eastAsia="SimSun" w:hAnsi="SimSun" w:cs="SimSun"/>
          <w:color w:val="000000"/>
          <w:spacing w:val="0"/>
          <w:w w:val="100"/>
          <w:position w:val="0"/>
        </w:rPr>
        <w:t>，主要经营范围为柜员机销售与服务。</w:t>
      </w:r>
    </w:p>
    <w:p>
      <w:pPr>
        <w:pStyle w:val="Style47"/>
        <w:keepNext w:val="0"/>
        <w:keepLines w:val="0"/>
        <w:widowControl w:val="0"/>
        <w:shd w:val="clear" w:color="auto" w:fill="auto"/>
        <w:bidi w:val="0"/>
        <w:spacing w:before="0" w:after="240" w:line="302" w:lineRule="exact"/>
        <w:ind w:left="720" w:right="0" w:firstLine="380"/>
        <w:jc w:val="both"/>
      </w:pPr>
      <w:r>
        <w:rPr>
          <w:rFonts w:ascii="SimSun" w:eastAsia="SimSun" w:hAnsi="SimSun" w:cs="SimSun"/>
          <w:color w:val="000000"/>
          <w:spacing w:val="0"/>
          <w:w w:val="100"/>
          <w:position w:val="0"/>
        </w:rPr>
        <w:t>目前，运通国际有</w:t>
      </w:r>
      <w:r>
        <w:rPr>
          <w:color w:val="000000"/>
          <w:spacing w:val="0"/>
          <w:w w:val="100"/>
          <w:position w:val="0"/>
        </w:rPr>
        <w:t xml:space="preserve">GRG Hongkong Mexico, S.A. DE </w:t>
      </w:r>
      <w:r>
        <w:rPr>
          <w:rFonts w:ascii="SimSun" w:eastAsia="SimSun" w:hAnsi="SimSun" w:cs="SimSun"/>
          <w:color w:val="000000"/>
          <w:spacing w:val="0"/>
          <w:w w:val="100"/>
          <w:position w:val="0"/>
        </w:rPr>
        <w:t>（墨西哥）、</w:t>
      </w:r>
      <w:r>
        <w:rPr>
          <w:color w:val="000000"/>
          <w:spacing w:val="0"/>
          <w:w w:val="100"/>
          <w:position w:val="0"/>
        </w:rPr>
        <w:t xml:space="preserve">Global ATM Parts Co., Limited </w:t>
      </w:r>
      <w:r>
        <w:rPr>
          <w:rFonts w:ascii="SimSun" w:eastAsia="SimSun" w:hAnsi="SimSun" w:cs="SimSun"/>
          <w:color w:val="000000"/>
          <w:spacing w:val="0"/>
          <w:w w:val="100"/>
          <w:position w:val="0"/>
        </w:rPr>
        <w:t>（香港）、</w:t>
      </w:r>
      <w:r>
        <w:rPr>
          <w:color w:val="000000"/>
          <w:spacing w:val="0"/>
          <w:w w:val="100"/>
          <w:position w:val="0"/>
        </w:rPr>
        <w:t xml:space="preserve">GRG Turkiye Bankacilik Ekipmanlari Ltd </w:t>
      </w:r>
      <w:r>
        <w:rPr>
          <w:rFonts w:ascii="SimSun" w:eastAsia="SimSun" w:hAnsi="SimSun" w:cs="SimSun"/>
          <w:color w:val="000000"/>
          <w:spacing w:val="0"/>
          <w:w w:val="100"/>
          <w:position w:val="0"/>
        </w:rPr>
        <w:t>（土耳其）、</w:t>
      </w:r>
      <w:r>
        <w:rPr>
          <w:color w:val="000000"/>
          <w:spacing w:val="0"/>
          <w:w w:val="100"/>
          <w:position w:val="0"/>
        </w:rPr>
        <w:t xml:space="preserve">GRG Banking Equipment（HK） Europe </w:t>
      </w:r>
      <w:r>
        <w:rPr>
          <w:rFonts w:ascii="SimSun" w:eastAsia="SimSun" w:hAnsi="SimSun" w:cs="SimSun"/>
          <w:color w:val="000000"/>
          <w:spacing w:val="0"/>
          <w:w w:val="100"/>
          <w:position w:val="0"/>
        </w:rPr>
        <w:t>（立陶宛）、</w:t>
      </w:r>
      <w:r>
        <w:rPr>
          <w:color w:val="000000"/>
          <w:spacing w:val="0"/>
          <w:w w:val="100"/>
          <w:position w:val="0"/>
        </w:rPr>
        <w:t xml:space="preserve">GRG Deutschland GmbH </w:t>
      </w:r>
      <w:r>
        <w:rPr>
          <w:rFonts w:ascii="SimSun" w:eastAsia="SimSun" w:hAnsi="SimSun" w:cs="SimSun"/>
          <w:color w:val="000000"/>
          <w:spacing w:val="0"/>
          <w:w w:val="100"/>
          <w:position w:val="0"/>
        </w:rPr>
        <w:t>（德国） 五家全资子公司及</w:t>
      </w:r>
      <w:r>
        <w:rPr>
          <w:color w:val="000000"/>
          <w:spacing w:val="0"/>
          <w:w w:val="100"/>
          <w:position w:val="0"/>
        </w:rPr>
        <w:t xml:space="preserve">GRGI </w:t>
      </w:r>
      <w:r>
        <w:rPr>
          <w:rFonts w:ascii="SimSun" w:eastAsia="SimSun" w:hAnsi="SimSun" w:cs="SimSun"/>
          <w:color w:val="000000"/>
          <w:spacing w:val="0"/>
          <w:w w:val="100"/>
          <w:position w:val="0"/>
        </w:rPr>
        <w:t>（澳大利亚）一家参股公司，海外市场拓展力度进一步加大。</w:t>
      </w:r>
    </w:p>
    <w:p>
      <w:pPr>
        <w:pStyle w:val="Style35"/>
        <w:keepNext w:val="0"/>
        <w:keepLines w:val="0"/>
        <w:widowControl w:val="0"/>
        <w:shd w:val="clear" w:color="auto" w:fill="auto"/>
        <w:bidi w:val="0"/>
        <w:spacing w:before="0" w:after="140" w:line="302" w:lineRule="exact"/>
        <w:ind w:left="0" w:right="0" w:firstLine="720"/>
        <w:jc w:val="both"/>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0" w:line="302" w:lineRule="exact"/>
        <w:ind w:left="0" w:right="0" w:firstLine="0"/>
        <w:jc w:val="distribute"/>
      </w:pPr>
      <w:r>
        <w:rPr>
          <w:color w:val="000000"/>
          <w:spacing w:val="0"/>
          <w:w w:val="100"/>
          <w:position w:val="0"/>
        </w:rPr>
        <w:t>V适用口不适用</w:t>
      </w:r>
    </w:p>
    <w:tbl>
      <w:tblPr>
        <w:tblOverlap w:val="never"/>
        <w:jc w:val="center"/>
        <w:tblLayout w:type="fixed"/>
      </w:tblPr>
      <w:tblGrid>
        <w:gridCol w:w="1622"/>
        <w:gridCol w:w="3960"/>
        <w:gridCol w:w="2520"/>
        <w:gridCol w:w="1478"/>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报告期内取得和处置子公司目的</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对整体生产和业</w:t>
            </w:r>
          </w:p>
        </w:tc>
      </w:tr>
    </w:tbl>
    <w:p>
      <w:pPr>
        <w:spacing w:lineRule="exact" w:line="1"/>
        <w:rPr>
          <w:sz w:val="2"/>
          <w:szCs w:val="2"/>
        </w:rPr>
      </w:pPr>
      <w:r>
        <w:br w:type="page"/>
      </w:r>
    </w:p>
    <w:tbl>
      <w:tblPr>
        <w:tblOverlap w:val="never"/>
        <w:jc w:val="center"/>
        <w:tblLayout w:type="fixed"/>
      </w:tblPr>
      <w:tblGrid>
        <w:gridCol w:w="1622"/>
        <w:gridCol w:w="3960"/>
        <w:gridCol w:w="2520"/>
        <w:gridCol w:w="14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式</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绩的影响</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广百小额贷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拓宽公司的盈利渠道，有效优化公司的资产配置， 提高资金的使用效率，创造更大的价值。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新设成立的参股公司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影响投资收益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42.80</w:t>
            </w: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广电汇通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专业从事基于金融服务终端的支付业务。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新设成立的子公司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-23.34</w:t>
            </w:r>
            <w:r>
              <w:rPr>
                <w:rFonts w:ascii="SimSun" w:eastAsia="SimSun" w:hAnsi="SimSun" w:cs="SimSun"/>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为支持广州银通的快速发展及公司整体业务发展 的需要。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收购孙公司</w:t>
            </w:r>
            <w:r>
              <w:rPr>
                <w:color w:val="000000"/>
                <w:spacing w:val="0"/>
                <w:w w:val="100"/>
                <w:position w:val="0"/>
              </w:rPr>
              <w:t>100%</w:t>
            </w:r>
            <w:r>
              <w:rPr>
                <w:rFonts w:ascii="SimSun" w:eastAsia="SimSun" w:hAnsi="SimSun" w:cs="SimSun"/>
                <w:color w:val="000000"/>
                <w:spacing w:val="0"/>
                <w:w w:val="100"/>
                <w:position w:val="0"/>
              </w:rPr>
              <w:t>的股权并增 资，孙公司变更为子公司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1</w:t>
            </w:r>
            <w:r>
              <w:rPr>
                <w:color w:val="000000"/>
                <w:spacing w:val="0"/>
                <w:w w:val="100"/>
                <w:position w:val="0"/>
              </w:rPr>
              <w:t>22.98</w:t>
            </w:r>
            <w:r>
              <w:rPr>
                <w:rFonts w:ascii="SimSun" w:eastAsia="SimSun" w:hAnsi="SimSun" w:cs="SimSun"/>
                <w:color w:val="000000"/>
                <w:spacing w:val="0"/>
                <w:w w:val="100"/>
                <w:position w:val="0"/>
              </w:rPr>
              <w:t>万</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专业从事计算机软、硬件技术及系统集成的开发和 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新设成立的子公司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-7.41</w:t>
            </w:r>
            <w:r>
              <w:rPr>
                <w:rFonts w:ascii="SimSun" w:eastAsia="SimSun" w:hAnsi="SimSun" w:cs="SimSun"/>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龙源环保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解决各股东投入和所持股权不对等的矛盾，理顺龙 源环保的股权关系，促进龙源环保的健康发展。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参股公司资本公积转增股本，由 参股公司变更为控股子公司，公 司股权比例增至</w:t>
            </w:r>
            <w:r>
              <w:rPr>
                <w:color w:val="000000"/>
                <w:spacing w:val="0"/>
                <w:w w:val="100"/>
                <w:position w:val="0"/>
              </w:rPr>
              <w:t>60.1%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-1,301.38</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主要开展货币自动处理设备的维护服务以及金融 服务全外包业务。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新设成立的孙公司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-2.80</w:t>
            </w:r>
            <w:r>
              <w:rPr>
                <w:rFonts w:ascii="SimSun" w:eastAsia="SimSun" w:hAnsi="SimSun" w:cs="SimSun"/>
                <w:color w:val="000000"/>
                <w:spacing w:val="0"/>
                <w:w w:val="100"/>
                <w:position w:val="0"/>
              </w:rPr>
              <w:t>万元</w:t>
            </w:r>
          </w:p>
        </w:tc>
      </w:tr>
      <w:tr>
        <w:trPr>
          <w:trHeight w:val="72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 Deutschland</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GmbH</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主要开展柜员机销售与服务。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新设成立的孙公司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-2.14</w:t>
            </w:r>
            <w:r>
              <w:rPr>
                <w:rFonts w:ascii="SimSun" w:eastAsia="SimSun" w:hAnsi="SimSun" w:cs="SimSun"/>
                <w:color w:val="000000"/>
                <w:spacing w:val="0"/>
                <w:w w:val="100"/>
                <w:position w:val="0"/>
              </w:rPr>
              <w:t>万元</w:t>
            </w:r>
          </w:p>
        </w:tc>
      </w:tr>
    </w:tbl>
    <w:p>
      <w:pPr>
        <w:widowControl w:val="0"/>
        <w:spacing w:after="299" w:line="1" w:lineRule="exact"/>
      </w:pPr>
    </w:p>
    <w:p>
      <w:pPr>
        <w:pStyle w:val="Style44"/>
        <w:keepNext/>
        <w:keepLines/>
        <w:widowControl w:val="0"/>
        <w:shd w:val="clear" w:color="auto" w:fill="auto"/>
        <w:bidi w:val="0"/>
        <w:spacing w:before="0" w:after="360" w:line="240" w:lineRule="auto"/>
        <w:ind w:left="0" w:right="0" w:firstLine="74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、非募集资金投资的重大项目情况</w:t>
      </w:r>
      <w:bookmarkEnd w:id="201"/>
      <w:bookmarkEnd w:id="202"/>
      <w:bookmarkEnd w:id="204"/>
    </w:p>
    <w:p>
      <w:pPr>
        <w:pStyle w:val="Style33"/>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339"/>
        <w:gridCol w:w="1186"/>
        <w:gridCol w:w="1258"/>
        <w:gridCol w:w="1622"/>
        <w:gridCol w:w="3331"/>
        <w:gridCol w:w="1267"/>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计划投资总额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本报告期投入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项目收益情况</w:t>
            </w:r>
          </w:p>
        </w:tc>
      </w:tr>
      <w:tr>
        <w:trPr>
          <w:trHeight w:val="10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广电运通三期核 心技术产业化升 级扩建项目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19,613.00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4,276.81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建设中，未达到可使用状态。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广百小额贷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该公司已于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日注册成立。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影响投资收益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42.80</w:t>
            </w:r>
            <w:r>
              <w:rPr>
                <w:rFonts w:ascii="SimSun" w:eastAsia="SimSun" w:hAnsi="SimSun" w:cs="SimSun"/>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广电汇通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该公司已于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日注册成立。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-23.34</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报告期完成增资，</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日完成工 商登记变更，增资后，公司共持有广州穗 通</w:t>
            </w:r>
            <w:r>
              <w:rPr>
                <w:color w:val="000000"/>
                <w:spacing w:val="0"/>
                <w:w w:val="100"/>
                <w:position w:val="0"/>
              </w:rPr>
              <w:t>2,550</w:t>
            </w:r>
            <w:r>
              <w:rPr>
                <w:rFonts w:ascii="SimSun" w:eastAsia="SimSun" w:hAnsi="SimSun" w:cs="SimSun"/>
                <w:color w:val="000000"/>
                <w:spacing w:val="0"/>
                <w:w w:val="100"/>
                <w:position w:val="0"/>
              </w:rPr>
              <w:t>万股权，占其注册资本的</w:t>
            </w:r>
            <w:r>
              <w:rPr>
                <w:color w:val="000000"/>
                <w:spacing w:val="0"/>
                <w:w w:val="100"/>
                <w:position w:val="0"/>
              </w:rPr>
              <w:t>51%</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1,399.49</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26"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月，完成股权转让、增资及工商 登记变更。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122.98</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该公司已于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日注册成立。</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净利润</w:t>
            </w:r>
            <w:r>
              <w:rPr>
                <w:color w:val="000000"/>
                <w:spacing w:val="0"/>
                <w:w w:val="100"/>
                <w:position w:val="0"/>
              </w:rPr>
              <w:t>-7.41</w:t>
            </w:r>
            <w:r>
              <w:rPr>
                <w:rFonts w:ascii="SimSun" w:eastAsia="SimSun" w:hAnsi="SimSun" w:cs="SimSun"/>
                <w:color w:val="000000"/>
                <w:spacing w:val="0"/>
                <w:w w:val="100"/>
                <w:position w:val="0"/>
              </w:rPr>
              <w:t>万</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42,633.00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26,796.81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27,425.67</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临时公告披露的指定网站查询 日期（如有）</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14 </w:t>
            </w:r>
            <w:r>
              <w:rPr>
                <w:rFonts w:ascii="SimSun" w:eastAsia="SimSun" w:hAnsi="SimSun" w:cs="SimSun"/>
                <w:color w:val="000000"/>
                <w:spacing w:val="0"/>
                <w:w w:val="100"/>
                <w:position w:val="0"/>
              </w:rPr>
              <w:t>日、</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r>
    </w:tbl>
    <w:tbl>
      <w:tblPr>
        <w:tblOverlap w:val="never"/>
        <w:jc w:val="center"/>
        <w:tblLayout w:type="fixed"/>
      </w:tblPr>
      <w:tblGrid>
        <w:gridCol w:w="2525"/>
        <w:gridCol w:w="7478"/>
      </w:tblGrid>
      <w:tr>
        <w:trPr>
          <w:trHeight w:val="290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临时公告披露的指定网站查询 索引（如有）</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刊登在《证券时报》及巨潮资讯网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上的《关于投资建设广电运通三</w:t>
            </w:r>
            <w:r>
              <w:rPr>
                <w:rFonts w:ascii="SimSun" w:eastAsia="SimSun" w:hAnsi="SimSun" w:cs="SimSun"/>
                <w:color w:val="000000"/>
                <w:spacing w:val="0"/>
                <w:w w:val="100"/>
                <w:position w:val="0"/>
              </w:rPr>
              <w:t xml:space="preserve"> 期核心技术产业化升级扩建项目的公告》（公告编号：临</w:t>
            </w:r>
            <w:r>
              <w:rPr>
                <w:color w:val="000000"/>
                <w:spacing w:val="0"/>
                <w:w w:val="100"/>
                <w:position w:val="0"/>
              </w:rPr>
              <w:t>2012-024</w:t>
            </w:r>
            <w:r>
              <w:rPr>
                <w:rFonts w:ascii="SimSun" w:eastAsia="SimSun" w:hAnsi="SimSun" w:cs="SimSun"/>
                <w:color w:val="000000"/>
                <w:spacing w:val="0"/>
                <w:w w:val="100"/>
                <w:position w:val="0"/>
              </w:rPr>
              <w:t>）、《关于参股投资小额贷款公 司的公告》（公告编号：临</w:t>
            </w:r>
            <w:r>
              <w:rPr>
                <w:color w:val="000000"/>
                <w:spacing w:val="0"/>
                <w:w w:val="100"/>
                <w:position w:val="0"/>
              </w:rPr>
              <w:t>2013-006</w:t>
            </w:r>
            <w:r>
              <w:rPr>
                <w:rFonts w:ascii="SimSun" w:eastAsia="SimSun" w:hAnsi="SimSun" w:cs="SimSun"/>
                <w:color w:val="000000"/>
                <w:spacing w:val="0"/>
                <w:w w:val="100"/>
                <w:position w:val="0"/>
              </w:rPr>
              <w:t xml:space="preserve">）、《关于投资成立全资子公司的公告》（公告编号：临 </w:t>
            </w:r>
            <w:r>
              <w:rPr>
                <w:color w:val="000000"/>
                <w:spacing w:val="0"/>
                <w:w w:val="100"/>
                <w:position w:val="0"/>
              </w:rPr>
              <w:t>2013-021</w:t>
            </w:r>
            <w:r>
              <w:rPr>
                <w:rFonts w:ascii="SimSun" w:eastAsia="SimSun" w:hAnsi="SimSun" w:cs="SimSun"/>
                <w:color w:val="000000"/>
                <w:spacing w:val="0"/>
                <w:w w:val="100"/>
                <w:position w:val="0"/>
              </w:rPr>
              <w:t>）、《关于全资子公司完成工商登记的公告》（公告编号：临</w:t>
            </w:r>
            <w:r>
              <w:rPr>
                <w:color w:val="000000"/>
                <w:spacing w:val="0"/>
                <w:w w:val="100"/>
                <w:position w:val="0"/>
              </w:rPr>
              <w:t>2013-023</w:t>
            </w:r>
            <w:r>
              <w:rPr>
                <w:rFonts w:ascii="SimSun" w:eastAsia="SimSun" w:hAnsi="SimSun" w:cs="SimSun"/>
                <w:color w:val="000000"/>
                <w:spacing w:val="0"/>
                <w:w w:val="100"/>
                <w:position w:val="0"/>
              </w:rPr>
              <w:t>）、《关于向控股子 公司增资的公告》（公告编号：临</w:t>
            </w:r>
            <w:r>
              <w:rPr>
                <w:color w:val="000000"/>
                <w:spacing w:val="0"/>
                <w:w w:val="100"/>
                <w:position w:val="0"/>
              </w:rPr>
              <w:t>2013-028</w:t>
            </w:r>
            <w:r>
              <w:rPr>
                <w:rFonts w:ascii="SimSun" w:eastAsia="SimSun" w:hAnsi="SimSun" w:cs="SimSun"/>
                <w:color w:val="000000"/>
                <w:spacing w:val="0"/>
                <w:w w:val="100"/>
                <w:position w:val="0"/>
              </w:rPr>
              <w:t>）、《关于控股子公司完成增资及变更工商登记的公告》</w:t>
            </w:r>
          </w:p>
          <w:p>
            <w:pPr>
              <w:pStyle w:val="Style28"/>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（公告编号：临</w:t>
            </w:r>
            <w:r>
              <w:rPr>
                <w:color w:val="000000"/>
                <w:spacing w:val="0"/>
                <w:w w:val="100"/>
                <w:position w:val="0"/>
              </w:rPr>
              <w:t>2013-034</w:t>
            </w:r>
            <w:r>
              <w:rPr>
                <w:rFonts w:ascii="SimSun" w:eastAsia="SimSun" w:hAnsi="SimSun" w:cs="SimSun"/>
                <w:color w:val="000000"/>
                <w:spacing w:val="0"/>
                <w:w w:val="100"/>
                <w:position w:val="0"/>
              </w:rPr>
              <w:t>）、《关于收购全资孙公司广州广电银通金融电子科技有限公司</w:t>
            </w:r>
            <w:r>
              <w:rPr>
                <w:color w:val="000000"/>
                <w:spacing w:val="0"/>
                <w:w w:val="100"/>
                <w:position w:val="0"/>
              </w:rPr>
              <w:t xml:space="preserve">100% </w:t>
            </w:r>
            <w:r>
              <w:rPr>
                <w:rFonts w:ascii="SimSun" w:eastAsia="SimSun" w:hAnsi="SimSun" w:cs="SimSun"/>
                <w:color w:val="000000"/>
                <w:spacing w:val="0"/>
                <w:w w:val="100"/>
                <w:position w:val="0"/>
              </w:rPr>
              <w:t>股权并增资的进展公告》（公告编号：临</w:t>
            </w:r>
            <w:r>
              <w:rPr>
                <w:color w:val="000000"/>
                <w:spacing w:val="0"/>
                <w:w w:val="100"/>
                <w:position w:val="0"/>
              </w:rPr>
              <w:t>2013-035</w:t>
            </w:r>
            <w:r>
              <w:rPr>
                <w:rFonts w:ascii="SimSun" w:eastAsia="SimSun" w:hAnsi="SimSun" w:cs="SimSun"/>
                <w:color w:val="000000"/>
                <w:spacing w:val="0"/>
                <w:w w:val="100"/>
                <w:position w:val="0"/>
              </w:rPr>
              <w:t>）、《关于参股投资小额贷款公司的进展公告》</w:t>
            </w:r>
          </w:p>
          <w:p>
            <w:pPr>
              <w:pStyle w:val="Style28"/>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（公告编号：临</w:t>
            </w:r>
            <w:r>
              <w:rPr>
                <w:color w:val="000000"/>
                <w:spacing w:val="0"/>
                <w:w w:val="100"/>
                <w:position w:val="0"/>
              </w:rPr>
              <w:t>2013-036</w:t>
            </w:r>
            <w:r>
              <w:rPr>
                <w:rFonts w:ascii="SimSun" w:eastAsia="SimSun" w:hAnsi="SimSun" w:cs="SimSun"/>
                <w:color w:val="000000"/>
                <w:spacing w:val="0"/>
                <w:w w:val="100"/>
                <w:position w:val="0"/>
              </w:rPr>
              <w:t>）、《关于投资成立全资子公司的公告》（公告编号：临</w:t>
            </w:r>
            <w:r>
              <w:rPr>
                <w:color w:val="000000"/>
                <w:spacing w:val="0"/>
                <w:w w:val="100"/>
                <w:position w:val="0"/>
              </w:rPr>
              <w:t>2013-042</w:t>
            </w:r>
            <w:r>
              <w:rPr>
                <w:rFonts w:ascii="SimSun" w:eastAsia="SimSun" w:hAnsi="SimSun" w:cs="SimSun"/>
                <w:color w:val="000000"/>
                <w:spacing w:val="0"/>
                <w:w w:val="100"/>
                <w:position w:val="0"/>
              </w:rPr>
              <w:t>）、《关 于全资子公司完成工商登记的公告》（公告编号：临</w:t>
            </w:r>
            <w:r>
              <w:rPr>
                <w:color w:val="000000"/>
                <w:spacing w:val="0"/>
                <w:w w:val="100"/>
                <w:position w:val="0"/>
              </w:rPr>
              <w:t>2013-043</w:t>
            </w:r>
            <w:r>
              <w:rPr>
                <w:rFonts w:ascii="SimSun" w:eastAsia="SimSun" w:hAnsi="SimSun" w:cs="SimSun"/>
                <w:color w:val="000000"/>
                <w:spacing w:val="0"/>
                <w:w w:val="100"/>
                <w:position w:val="0"/>
              </w:rPr>
              <w:t>）。</w:t>
            </w:r>
          </w:p>
        </w:tc>
      </w:tr>
    </w:tbl>
    <w:p>
      <w:pPr>
        <w:widowControl w:val="0"/>
        <w:spacing w:after="299" w:line="1" w:lineRule="exact"/>
      </w:pPr>
    </w:p>
    <w:p>
      <w:pPr>
        <w:pStyle w:val="Style31"/>
        <w:keepNext/>
        <w:keepLines/>
        <w:widowControl w:val="0"/>
        <w:shd w:val="clear" w:color="auto" w:fill="auto"/>
        <w:tabs>
          <w:tab w:pos="1234" w:val="left"/>
        </w:tabs>
        <w:bidi w:val="0"/>
        <w:spacing w:before="0" w:after="260" w:line="240" w:lineRule="auto"/>
        <w:ind w:left="0" w:right="0" w:firstLine="740"/>
        <w:jc w:val="both"/>
      </w:pPr>
      <w:bookmarkStart w:id="205" w:name="bookmark205"/>
      <w:bookmarkStart w:id="206" w:name="bookmark206"/>
      <w:bookmarkStart w:id="207" w:name="bookmark207"/>
      <w:bookmarkStart w:id="208" w:name="bookmark208"/>
      <w:r>
        <w:rPr>
          <w:color w:val="000000"/>
          <w:spacing w:val="0"/>
          <w:w w:val="100"/>
          <w:position w:val="0"/>
          <w:sz w:val="24"/>
          <w:szCs w:val="24"/>
        </w:rPr>
        <w:t>七</w:t>
      </w:r>
      <w:bookmarkEnd w:id="207"/>
      <w:r>
        <w:rPr>
          <w:color w:val="000000"/>
          <w:spacing w:val="0"/>
          <w:w w:val="100"/>
          <w:position w:val="0"/>
          <w:sz w:val="24"/>
          <w:szCs w:val="24"/>
        </w:rPr>
        <w:t>、</w:t>
        <w:tab/>
        <w:t>公司控制的特殊目的主体情况</w:t>
      </w:r>
      <w:bookmarkEnd w:id="205"/>
      <w:bookmarkEnd w:id="206"/>
      <w:bookmarkEnd w:id="208"/>
    </w:p>
    <w:p>
      <w:pPr>
        <w:pStyle w:val="Style35"/>
        <w:keepNext w:val="0"/>
        <w:keepLines w:val="0"/>
        <w:widowControl w:val="0"/>
        <w:shd w:val="clear" w:color="auto" w:fill="auto"/>
        <w:bidi w:val="0"/>
        <w:spacing w:before="0" w:after="360" w:line="312" w:lineRule="exact"/>
        <w:ind w:left="0" w:right="0" w:firstLine="740"/>
        <w:jc w:val="both"/>
      </w:pPr>
      <w:r>
        <w:rPr>
          <w:color w:val="000000"/>
          <w:spacing w:val="0"/>
          <w:w w:val="100"/>
          <w:position w:val="0"/>
        </w:rPr>
        <w:t>□</w:t>
      </w:r>
      <w:r>
        <w:rPr>
          <w:color w:val="000000"/>
          <w:spacing w:val="0"/>
          <w:w w:val="100"/>
          <w:position w:val="0"/>
        </w:rPr>
        <w:t>适用”不适用</w:t>
      </w:r>
    </w:p>
    <w:p>
      <w:pPr>
        <w:pStyle w:val="Style31"/>
        <w:keepNext/>
        <w:keepLines/>
        <w:widowControl w:val="0"/>
        <w:shd w:val="clear" w:color="auto" w:fill="auto"/>
        <w:tabs>
          <w:tab w:pos="1234" w:val="left"/>
        </w:tabs>
        <w:bidi w:val="0"/>
        <w:spacing w:before="0" w:after="260" w:line="240" w:lineRule="auto"/>
        <w:ind w:left="0" w:right="0" w:firstLine="740"/>
        <w:jc w:val="both"/>
      </w:pPr>
      <w:bookmarkStart w:id="209" w:name="bookmark209"/>
      <w:bookmarkStart w:id="210" w:name="bookmark210"/>
      <w:bookmarkStart w:id="211" w:name="bookmark211"/>
      <w:bookmarkStart w:id="212" w:name="bookmark212"/>
      <w:r>
        <w:rPr>
          <w:color w:val="000000"/>
          <w:spacing w:val="0"/>
          <w:w w:val="100"/>
          <w:position w:val="0"/>
          <w:sz w:val="24"/>
          <w:szCs w:val="24"/>
        </w:rPr>
        <w:t>八</w:t>
      </w:r>
      <w:bookmarkEnd w:id="211"/>
      <w:r>
        <w:rPr>
          <w:color w:val="000000"/>
          <w:spacing w:val="0"/>
          <w:w w:val="100"/>
          <w:position w:val="0"/>
          <w:sz w:val="24"/>
          <w:szCs w:val="24"/>
        </w:rPr>
        <w:t>、</w:t>
        <w:tab/>
        <w:t>公司未来发展的展望</w:t>
      </w:r>
      <w:bookmarkEnd w:id="209"/>
      <w:bookmarkEnd w:id="210"/>
      <w:bookmarkEnd w:id="212"/>
    </w:p>
    <w:p>
      <w:pPr>
        <w:pStyle w:val="Style35"/>
        <w:keepNext w:val="0"/>
        <w:keepLines w:val="0"/>
        <w:widowControl w:val="0"/>
        <w:shd w:val="clear" w:color="auto" w:fill="auto"/>
        <w:bidi w:val="0"/>
        <w:spacing w:before="0" w:line="312" w:lineRule="exact"/>
        <w:ind w:left="1160" w:right="0" w:firstLine="0"/>
        <w:jc w:val="both"/>
      </w:pPr>
      <w:bookmarkStart w:id="213" w:name="bookmark213"/>
      <w:r>
        <w:rPr>
          <w:color w:val="000000"/>
          <w:spacing w:val="0"/>
          <w:w w:val="100"/>
          <w:position w:val="0"/>
        </w:rPr>
        <w:t>（</w:t>
      </w:r>
      <w:bookmarkEnd w:id="213"/>
      <w:r>
        <w:rPr>
          <w:color w:val="000000"/>
          <w:spacing w:val="0"/>
          <w:w w:val="100"/>
          <w:position w:val="0"/>
        </w:rPr>
        <w:t>一）行业发展趋势及市场竞争格局</w:t>
      </w:r>
    </w:p>
    <w:p>
      <w:pPr>
        <w:pStyle w:val="Style35"/>
        <w:keepNext w:val="0"/>
        <w:keepLines w:val="0"/>
        <w:widowControl w:val="0"/>
        <w:shd w:val="clear" w:color="auto" w:fill="auto"/>
        <w:bidi w:val="0"/>
        <w:spacing w:before="0" w:after="0"/>
        <w:ind w:left="1160" w:right="0" w:firstLine="0"/>
        <w:jc w:val="both"/>
      </w:pPr>
      <w:bookmarkStart w:id="214" w:name="bookmark214"/>
      <w:r>
        <w:rPr>
          <w:rFonts w:ascii="Times New Roman" w:eastAsia="Times New Roman" w:hAnsi="Times New Roman" w:cs="Times New Roman"/>
          <w:color w:val="000000"/>
          <w:spacing w:val="0"/>
          <w:w w:val="100"/>
          <w:position w:val="0"/>
        </w:rPr>
        <w:t>1</w:t>
      </w:r>
      <w:bookmarkEnd w:id="214"/>
      <w:r>
        <w:rPr>
          <w:color w:val="000000"/>
          <w:spacing w:val="0"/>
          <w:w w:val="100"/>
          <w:position w:val="0"/>
        </w:rPr>
        <w:t>、行业发展趋势</w:t>
      </w:r>
    </w:p>
    <w:p>
      <w:pPr>
        <w:pStyle w:val="Style35"/>
        <w:keepNext w:val="0"/>
        <w:keepLines w:val="0"/>
        <w:widowControl w:val="0"/>
        <w:shd w:val="clear" w:color="auto" w:fill="auto"/>
        <w:tabs>
          <w:tab w:pos="1512" w:val="left"/>
        </w:tabs>
        <w:bidi w:val="0"/>
        <w:spacing w:before="0" w:after="0" w:line="312" w:lineRule="exact"/>
        <w:ind w:left="1100" w:right="0" w:firstLine="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ATM</w:t>
      </w:r>
      <w:r>
        <w:rPr>
          <w:color w:val="000000"/>
          <w:spacing w:val="0"/>
          <w:w w:val="100"/>
          <w:position w:val="0"/>
        </w:rPr>
        <w:t>市场发展趋势</w:t>
      </w:r>
    </w:p>
    <w:p>
      <w:pPr>
        <w:pStyle w:val="Style35"/>
        <w:keepNext w:val="0"/>
        <w:keepLines w:val="0"/>
        <w:widowControl w:val="0"/>
        <w:shd w:val="clear" w:color="auto" w:fill="auto"/>
        <w:bidi w:val="0"/>
        <w:spacing w:before="0" w:after="0" w:line="312" w:lineRule="exact"/>
        <w:ind w:left="74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日《金融时报》发布的《变革创新•多元繁荣</w:t>
      </w:r>
      <w:r>
        <w:rPr>
          <w:color w:val="000000"/>
          <w:spacing w:val="0"/>
          <w:w w:val="100"/>
          <w:position w:val="0"/>
        </w:rPr>
        <w:t>一一</w:t>
      </w:r>
      <w:r>
        <w:rPr>
          <w:rFonts w:ascii="Times New Roman" w:eastAsia="Times New Roman" w:hAnsi="Times New Roman" w:cs="Times New Roman"/>
          <w:color w:val="000000"/>
          <w:spacing w:val="0"/>
          <w:w w:val="100"/>
          <w:position w:val="0"/>
        </w:rPr>
        <w:t>2013</w:t>
      </w:r>
      <w:r>
        <w:rPr>
          <w:color w:val="000000"/>
          <w:spacing w:val="0"/>
          <w:w w:val="100"/>
          <w:position w:val="0"/>
        </w:rPr>
        <w:t>年中国</w:t>
      </w:r>
      <w:r>
        <w:rPr>
          <w:rFonts w:ascii="Times New Roman" w:eastAsia="Times New Roman" w:hAnsi="Times New Roman" w:cs="Times New Roman"/>
          <w:color w:val="000000"/>
          <w:spacing w:val="0"/>
          <w:w w:val="100"/>
          <w:position w:val="0"/>
        </w:rPr>
        <w:t>ATM</w:t>
      </w:r>
      <w:r>
        <w:rPr>
          <w:color w:val="000000"/>
          <w:spacing w:val="0"/>
          <w:w w:val="100"/>
          <w:position w:val="0"/>
        </w:rPr>
        <w:t>市场发展述评》显示：在全 球范围内，</w:t>
      </w:r>
      <w:r>
        <w:rPr>
          <w:rFonts w:ascii="Times New Roman" w:eastAsia="Times New Roman" w:hAnsi="Times New Roman" w:cs="Times New Roman"/>
          <w:color w:val="000000"/>
          <w:spacing w:val="0"/>
          <w:w w:val="100"/>
          <w:position w:val="0"/>
        </w:rPr>
        <w:t>ATM</w:t>
      </w:r>
      <w:r>
        <w:rPr>
          <w:color w:val="000000"/>
          <w:spacing w:val="0"/>
          <w:w w:val="100"/>
          <w:position w:val="0"/>
        </w:rPr>
        <w:t>市场格局变化不大。全球知名</w:t>
      </w:r>
      <w:r>
        <w:rPr>
          <w:rFonts w:ascii="Times New Roman" w:eastAsia="Times New Roman" w:hAnsi="Times New Roman" w:cs="Times New Roman"/>
          <w:color w:val="000000"/>
          <w:spacing w:val="0"/>
          <w:w w:val="100"/>
          <w:position w:val="0"/>
        </w:rPr>
        <w:t>ATM</w:t>
      </w:r>
      <w:r>
        <w:rPr>
          <w:color w:val="000000"/>
          <w:spacing w:val="0"/>
          <w:w w:val="100"/>
          <w:position w:val="0"/>
        </w:rPr>
        <w:t>市场研究机构</w:t>
      </w:r>
      <w:r>
        <w:rPr>
          <w:rFonts w:ascii="Times New Roman" w:eastAsia="Times New Roman" w:hAnsi="Times New Roman" w:cs="Times New Roman"/>
          <w:color w:val="000000"/>
          <w:spacing w:val="0"/>
          <w:w w:val="100"/>
          <w:position w:val="0"/>
        </w:rPr>
        <w:t>RBR</w:t>
      </w:r>
      <w:r>
        <w:rPr>
          <w:color w:val="000000"/>
          <w:spacing w:val="0"/>
          <w:w w:val="100"/>
          <w:position w:val="0"/>
        </w:rPr>
        <w:t>发布的《全球</w:t>
      </w:r>
      <w:r>
        <w:rPr>
          <w:rFonts w:ascii="Times New Roman" w:eastAsia="Times New Roman" w:hAnsi="Times New Roman" w:cs="Times New Roman"/>
          <w:color w:val="000000"/>
          <w:spacing w:val="0"/>
          <w:w w:val="100"/>
          <w:position w:val="0"/>
        </w:rPr>
        <w:t>ATM</w:t>
      </w:r>
      <w:r>
        <w:rPr>
          <w:color w:val="000000"/>
          <w:spacing w:val="0"/>
          <w:w w:val="100"/>
          <w:position w:val="0"/>
        </w:rPr>
        <w:t>市场趋势预测</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013-2018</w:t>
      </w:r>
      <w:r>
        <w:rPr>
          <w:color w:val="000000"/>
          <w:spacing w:val="0"/>
          <w:w w:val="100"/>
          <w:position w:val="0"/>
        </w:rPr>
        <w:t>》报告 指出，包括中国、印度及印尼在内，未来几年亚太地区依然是全球主要的</w:t>
      </w:r>
      <w:r>
        <w:rPr>
          <w:rFonts w:ascii="Times New Roman" w:eastAsia="Times New Roman" w:hAnsi="Times New Roman" w:cs="Times New Roman"/>
          <w:color w:val="000000"/>
          <w:spacing w:val="0"/>
          <w:w w:val="100"/>
          <w:position w:val="0"/>
        </w:rPr>
        <w:t>ATM</w:t>
      </w:r>
      <w:r>
        <w:rPr>
          <w:color w:val="000000"/>
          <w:spacing w:val="0"/>
          <w:w w:val="100"/>
          <w:position w:val="0"/>
        </w:rPr>
        <w:t>市场。其中，中国地区的增长将占据绝大部 分份额。另据央行的《</w:t>
      </w:r>
      <w:r>
        <w:rPr>
          <w:rFonts w:ascii="Times New Roman" w:eastAsia="Times New Roman" w:hAnsi="Times New Roman" w:cs="Times New Roman"/>
          <w:color w:val="000000"/>
          <w:spacing w:val="0"/>
          <w:w w:val="100"/>
          <w:position w:val="0"/>
        </w:rPr>
        <w:t>2013</w:t>
      </w:r>
      <w:r>
        <w:rPr>
          <w:color w:val="000000"/>
          <w:spacing w:val="0"/>
          <w:w w:val="100"/>
          <w:position w:val="0"/>
        </w:rPr>
        <w:t>年第三季度支付体系运行总体情况》报告，截止到</w:t>
      </w:r>
      <w:r>
        <w:rPr>
          <w:rFonts w:ascii="Times New Roman" w:eastAsia="Times New Roman" w:hAnsi="Times New Roman" w:cs="Times New Roman"/>
          <w:color w:val="000000"/>
          <w:spacing w:val="0"/>
          <w:w w:val="100"/>
          <w:position w:val="0"/>
        </w:rPr>
        <w:t>2013</w:t>
      </w:r>
      <w:r>
        <w:rPr>
          <w:color w:val="000000"/>
          <w:spacing w:val="0"/>
          <w:w w:val="100"/>
          <w:position w:val="0"/>
        </w:rPr>
        <w:t>年第三季度，中国已经正式超越美国， 成为全球最大的</w:t>
      </w:r>
      <w:r>
        <w:rPr>
          <w:rFonts w:ascii="Times New Roman" w:eastAsia="Times New Roman" w:hAnsi="Times New Roman" w:cs="Times New Roman"/>
          <w:color w:val="000000"/>
          <w:spacing w:val="0"/>
          <w:w w:val="100"/>
          <w:position w:val="0"/>
        </w:rPr>
        <w:t>ATM</w:t>
      </w:r>
      <w:r>
        <w:rPr>
          <w:color w:val="000000"/>
          <w:spacing w:val="0"/>
          <w:w w:val="100"/>
          <w:position w:val="0"/>
        </w:rPr>
        <w:t>市场。</w:t>
      </w:r>
    </w:p>
    <w:p>
      <w:pPr>
        <w:pStyle w:val="Style35"/>
        <w:keepNext w:val="0"/>
        <w:keepLines w:val="0"/>
        <w:widowControl w:val="0"/>
        <w:shd w:val="clear" w:color="auto" w:fill="auto"/>
        <w:bidi w:val="0"/>
        <w:spacing w:before="0" w:after="0" w:line="312" w:lineRule="exact"/>
        <w:ind w:left="740" w:right="0" w:firstLine="3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日，中国人民银行发布了《</w:t>
      </w:r>
      <w:r>
        <w:rPr>
          <w:rFonts w:ascii="Times New Roman" w:eastAsia="Times New Roman" w:hAnsi="Times New Roman" w:cs="Times New Roman"/>
          <w:color w:val="000000"/>
          <w:spacing w:val="0"/>
          <w:w w:val="100"/>
          <w:position w:val="0"/>
        </w:rPr>
        <w:t>2013</w:t>
      </w:r>
      <w:r>
        <w:rPr>
          <w:color w:val="000000"/>
          <w:spacing w:val="0"/>
          <w:w w:val="100"/>
          <w:position w:val="0"/>
        </w:rPr>
        <w:t>年支付体系运行总体情况》，截至</w:t>
      </w:r>
      <w:r>
        <w:rPr>
          <w:rFonts w:ascii="Times New Roman" w:eastAsia="Times New Roman" w:hAnsi="Times New Roman" w:cs="Times New Roman"/>
          <w:color w:val="000000"/>
          <w:spacing w:val="0"/>
          <w:w w:val="100"/>
          <w:position w:val="0"/>
        </w:rPr>
        <w:t>2013</w:t>
      </w:r>
      <w:r>
        <w:rPr>
          <w:color w:val="000000"/>
          <w:spacing w:val="0"/>
          <w:w w:val="100"/>
          <w:position w:val="0"/>
        </w:rPr>
        <w:t>年末，银行卡跨行支付系统联网 商户</w:t>
      </w:r>
      <w:r>
        <w:rPr>
          <w:rFonts w:ascii="Times New Roman" w:eastAsia="Times New Roman" w:hAnsi="Times New Roman" w:cs="Times New Roman"/>
          <w:color w:val="000000"/>
          <w:spacing w:val="0"/>
          <w:w w:val="100"/>
          <w:position w:val="0"/>
        </w:rPr>
        <w:t>763.47</w:t>
      </w:r>
      <w:r>
        <w:rPr>
          <w:color w:val="000000"/>
          <w:spacing w:val="0"/>
          <w:w w:val="100"/>
          <w:position w:val="0"/>
        </w:rPr>
        <w:t>万户，联网</w:t>
      </w:r>
      <w:r>
        <w:rPr>
          <w:rFonts w:ascii="Times New Roman" w:eastAsia="Times New Roman" w:hAnsi="Times New Roman" w:cs="Times New Roman"/>
          <w:color w:val="000000"/>
          <w:spacing w:val="0"/>
          <w:w w:val="100"/>
          <w:position w:val="0"/>
        </w:rPr>
        <w:t>POS</w:t>
      </w:r>
      <w:r>
        <w:rPr>
          <w:color w:val="000000"/>
          <w:spacing w:val="0"/>
          <w:w w:val="100"/>
          <w:position w:val="0"/>
        </w:rPr>
        <w:t>机具</w:t>
      </w:r>
      <w:r>
        <w:rPr>
          <w:rFonts w:ascii="Times New Roman" w:eastAsia="Times New Roman" w:hAnsi="Times New Roman" w:cs="Times New Roman"/>
          <w:color w:val="000000"/>
          <w:spacing w:val="0"/>
          <w:w w:val="100"/>
          <w:position w:val="0"/>
        </w:rPr>
        <w:t>1,063.21</w:t>
      </w:r>
      <w:r>
        <w:rPr>
          <w:color w:val="000000"/>
          <w:spacing w:val="0"/>
          <w:w w:val="100"/>
          <w:position w:val="0"/>
        </w:rPr>
        <w:t>万台，</w:t>
      </w:r>
      <w:r>
        <w:rPr>
          <w:rFonts w:ascii="Times New Roman" w:eastAsia="Times New Roman" w:hAnsi="Times New Roman" w:cs="Times New Roman"/>
          <w:color w:val="000000"/>
          <w:spacing w:val="0"/>
          <w:w w:val="100"/>
          <w:position w:val="0"/>
        </w:rPr>
        <w:t>ATM52</w:t>
      </w:r>
      <w:r>
        <w:rPr>
          <w:color w:val="000000"/>
          <w:spacing w:val="0"/>
          <w:w w:val="100"/>
          <w:position w:val="0"/>
        </w:rPr>
        <w:t>万台，较上年末分别增加</w:t>
      </w:r>
      <w:r>
        <w:rPr>
          <w:rFonts w:ascii="Times New Roman" w:eastAsia="Times New Roman" w:hAnsi="Times New Roman" w:cs="Times New Roman"/>
          <w:color w:val="000000"/>
          <w:spacing w:val="0"/>
          <w:w w:val="100"/>
          <w:position w:val="0"/>
        </w:rPr>
        <w:t>280.20</w:t>
      </w:r>
      <w:r>
        <w:rPr>
          <w:color w:val="000000"/>
          <w:spacing w:val="0"/>
          <w:w w:val="100"/>
          <w:position w:val="0"/>
        </w:rPr>
        <w:t>万户、</w:t>
      </w:r>
      <w:r>
        <w:rPr>
          <w:rFonts w:ascii="Times New Roman" w:eastAsia="Times New Roman" w:hAnsi="Times New Roman" w:cs="Times New Roman"/>
          <w:color w:val="000000"/>
          <w:spacing w:val="0"/>
          <w:w w:val="100"/>
          <w:position w:val="0"/>
        </w:rPr>
        <w:t>351.43</w:t>
      </w:r>
      <w:r>
        <w:rPr>
          <w:color w:val="000000"/>
          <w:spacing w:val="0"/>
          <w:w w:val="100"/>
          <w:position w:val="0"/>
        </w:rPr>
        <w:t>万台和</w:t>
      </w:r>
      <w:r>
        <w:rPr>
          <w:rFonts w:ascii="Times New Roman" w:eastAsia="Times New Roman" w:hAnsi="Times New Roman" w:cs="Times New Roman"/>
          <w:color w:val="000000"/>
          <w:spacing w:val="0"/>
          <w:w w:val="100"/>
          <w:position w:val="0"/>
        </w:rPr>
        <w:t>10.44</w:t>
      </w:r>
      <w:r>
        <w:rPr>
          <w:color w:val="000000"/>
          <w:spacing w:val="0"/>
          <w:w w:val="100"/>
          <w:position w:val="0"/>
        </w:rPr>
        <w:t>万台。 截至</w:t>
      </w:r>
      <w:r>
        <w:rPr>
          <w:rFonts w:ascii="Times New Roman" w:eastAsia="Times New Roman" w:hAnsi="Times New Roman" w:cs="Times New Roman"/>
          <w:color w:val="000000"/>
          <w:spacing w:val="0"/>
          <w:w w:val="100"/>
          <w:position w:val="0"/>
        </w:rPr>
        <w:t>2013</w:t>
      </w:r>
      <w:r>
        <w:rPr>
          <w:color w:val="000000"/>
          <w:spacing w:val="0"/>
          <w:w w:val="100"/>
          <w:position w:val="0"/>
        </w:rPr>
        <w:t>年末，每台</w:t>
      </w:r>
      <w:r>
        <w:rPr>
          <w:rFonts w:ascii="Times New Roman" w:eastAsia="Times New Roman" w:hAnsi="Times New Roman" w:cs="Times New Roman"/>
          <w:color w:val="000000"/>
          <w:spacing w:val="0"/>
          <w:w w:val="100"/>
          <w:position w:val="0"/>
        </w:rPr>
        <w:t>ATM</w:t>
      </w:r>
      <w:r>
        <w:rPr>
          <w:color w:val="000000"/>
          <w:spacing w:val="0"/>
          <w:w w:val="100"/>
          <w:position w:val="0"/>
        </w:rPr>
        <w:t>对应的银行卡数量为</w:t>
      </w:r>
      <w:r>
        <w:rPr>
          <w:rFonts w:ascii="Times New Roman" w:eastAsia="Times New Roman" w:hAnsi="Times New Roman" w:cs="Times New Roman"/>
          <w:color w:val="000000"/>
          <w:spacing w:val="0"/>
          <w:w w:val="100"/>
          <w:position w:val="0"/>
        </w:rPr>
        <w:t>8,104</w:t>
      </w:r>
      <w:r>
        <w:rPr>
          <w:color w:val="000000"/>
          <w:spacing w:val="0"/>
          <w:w w:val="100"/>
          <w:position w:val="0"/>
        </w:rPr>
        <w:t>张，较上年末减少</w:t>
      </w:r>
      <w:r>
        <w:rPr>
          <w:rFonts w:ascii="Times New Roman" w:eastAsia="Times New Roman" w:hAnsi="Times New Roman" w:cs="Times New Roman"/>
          <w:color w:val="000000"/>
          <w:spacing w:val="0"/>
          <w:w w:val="100"/>
          <w:position w:val="0"/>
        </w:rPr>
        <w:t>4.71%</w:t>
      </w:r>
      <w:r>
        <w:rPr>
          <w:color w:val="000000"/>
          <w:spacing w:val="0"/>
          <w:w w:val="100"/>
          <w:position w:val="0"/>
        </w:rPr>
        <w:t>；每台</w:t>
      </w:r>
      <w:r>
        <w:rPr>
          <w:rFonts w:ascii="Times New Roman" w:eastAsia="Times New Roman" w:hAnsi="Times New Roman" w:cs="Times New Roman"/>
          <w:color w:val="000000"/>
          <w:spacing w:val="0"/>
          <w:w w:val="100"/>
          <w:position w:val="0"/>
        </w:rPr>
        <w:t>POS</w:t>
      </w:r>
      <w:r>
        <w:rPr>
          <w:color w:val="000000"/>
          <w:spacing w:val="0"/>
          <w:w w:val="100"/>
          <w:position w:val="0"/>
        </w:rPr>
        <w:t>对应的银行卡数量为</w:t>
      </w:r>
      <w:r>
        <w:rPr>
          <w:rFonts w:ascii="Times New Roman" w:eastAsia="Times New Roman" w:hAnsi="Times New Roman" w:cs="Times New Roman"/>
          <w:color w:val="000000"/>
          <w:spacing w:val="0"/>
          <w:w w:val="100"/>
          <w:position w:val="0"/>
        </w:rPr>
        <w:t>396</w:t>
      </w:r>
      <w:r>
        <w:rPr>
          <w:color w:val="000000"/>
          <w:spacing w:val="0"/>
          <w:w w:val="100"/>
          <w:position w:val="0"/>
        </w:rPr>
        <w:t>张，较 上年末减少</w:t>
      </w:r>
      <w:r>
        <w:rPr>
          <w:rFonts w:ascii="Times New Roman" w:eastAsia="Times New Roman" w:hAnsi="Times New Roman" w:cs="Times New Roman"/>
          <w:color w:val="000000"/>
          <w:spacing w:val="0"/>
          <w:w w:val="100"/>
          <w:position w:val="0"/>
        </w:rPr>
        <w:t>20.25%</w:t>
      </w:r>
      <w:r>
        <w:rPr>
          <w:color w:val="000000"/>
          <w:spacing w:val="0"/>
          <w:w w:val="100"/>
          <w:position w:val="0"/>
        </w:rPr>
        <w:t>。由此可见，国内</w:t>
      </w:r>
      <w:r>
        <w:rPr>
          <w:rFonts w:ascii="Times New Roman" w:eastAsia="Times New Roman" w:hAnsi="Times New Roman" w:cs="Times New Roman"/>
          <w:color w:val="000000"/>
          <w:spacing w:val="0"/>
          <w:w w:val="100"/>
          <w:position w:val="0"/>
        </w:rPr>
        <w:t>ATM</w:t>
      </w:r>
      <w:r>
        <w:rPr>
          <w:color w:val="000000"/>
          <w:spacing w:val="0"/>
          <w:w w:val="100"/>
          <w:position w:val="0"/>
        </w:rPr>
        <w:t>布放量仍保持高速增长态势。</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在“棱镜”事件曝光后，信息安全已经被提升至国家战略高度。国家积极倡导和保护自主创新，鼓励自主核心技术的研 发和应用，从十八届三中全会强调的“信息安全”到近期的“自主可控”，政府部门持续表态，银行业去</w:t>
      </w:r>
      <w:r>
        <w:rPr>
          <w:rFonts w:ascii="Times New Roman" w:eastAsia="Times New Roman" w:hAnsi="Times New Roman" w:cs="Times New Roman"/>
          <w:color w:val="000000"/>
          <w:spacing w:val="0"/>
          <w:w w:val="100"/>
          <w:position w:val="0"/>
        </w:rPr>
        <w:t>IOE</w:t>
      </w:r>
      <w:r>
        <w:rPr>
          <w:color w:val="000000"/>
          <w:spacing w:val="0"/>
          <w:w w:val="100"/>
          <w:position w:val="0"/>
        </w:rPr>
        <w:t>化呼声越来越 高，未来银行业国产化替代进程将明显加速。银监会主席尚福林</w:t>
      </w:r>
      <w:r>
        <w:rPr>
          <w:rFonts w:ascii="Times New Roman" w:eastAsia="Times New Roman" w:hAnsi="Times New Roman" w:cs="Times New Roman"/>
          <w:color w:val="000000"/>
          <w:spacing w:val="0"/>
          <w:w w:val="100"/>
          <w:position w:val="0"/>
        </w:rPr>
        <w:t>2012</w:t>
      </w:r>
      <w:r>
        <w:rPr>
          <w:color w:val="000000"/>
          <w:spacing w:val="0"/>
          <w:w w:val="100"/>
          <w:position w:val="0"/>
        </w:rPr>
        <w:t>年底在出席</w:t>
      </w:r>
      <w:r>
        <w:rPr>
          <w:rFonts w:ascii="Times New Roman" w:eastAsia="Times New Roman" w:hAnsi="Times New Roman" w:cs="Times New Roman"/>
          <w:color w:val="000000"/>
          <w:spacing w:val="0"/>
          <w:w w:val="100"/>
          <w:position w:val="0"/>
        </w:rPr>
        <w:t>2012</w:t>
      </w:r>
      <w:r>
        <w:rPr>
          <w:color w:val="000000"/>
          <w:spacing w:val="0"/>
          <w:w w:val="100"/>
          <w:position w:val="0"/>
        </w:rPr>
        <w:t>年中国银行业信息科技风险管理会上 提出，为促进国家自主知识产权发展，鼓励银行采购国产信息设备；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r>
        <w:rPr>
          <w:color w:val="000000"/>
          <w:spacing w:val="0"/>
          <w:w w:val="100"/>
          <w:position w:val="0"/>
        </w:rPr>
        <w:t>，</w:t>
      </w:r>
      <w:r>
        <w:rPr>
          <w:color w:val="000000"/>
          <w:spacing w:val="0"/>
          <w:w w:val="100"/>
          <w:position w:val="0"/>
        </w:rPr>
        <w:t>中国银监会召开的银行业信息科技风 险管理</w:t>
      </w:r>
      <w:r>
        <w:rPr>
          <w:rFonts w:ascii="Times New Roman" w:eastAsia="Times New Roman" w:hAnsi="Times New Roman" w:cs="Times New Roman"/>
          <w:color w:val="000000"/>
          <w:spacing w:val="0"/>
          <w:w w:val="100"/>
          <w:position w:val="0"/>
        </w:rPr>
        <w:t>2013</w:t>
      </w:r>
      <w:r>
        <w:rPr>
          <w:color w:val="000000"/>
          <w:spacing w:val="0"/>
          <w:w w:val="100"/>
          <w:position w:val="0"/>
        </w:rPr>
        <w:t>年会，围绕“安全可控促发展</w:t>
      </w:r>
      <w:r>
        <w:rPr>
          <w:color w:val="000000"/>
          <w:spacing w:val="0"/>
          <w:w w:val="100"/>
          <w:position w:val="0"/>
        </w:rPr>
        <w:t>，</w:t>
      </w:r>
      <w:r>
        <w:rPr>
          <w:color w:val="000000"/>
          <w:spacing w:val="0"/>
          <w:w w:val="100"/>
          <w:position w:val="0"/>
        </w:rPr>
        <w:t>自主创新推转型”的主题，强调银监会将深入贯彻落实十八届三中全会精神，进 一步推进银行业信息化自主可控工作进程，</w:t>
      </w:r>
      <w:r>
        <w:rPr>
          <w:rFonts w:ascii="Times New Roman" w:eastAsia="Times New Roman" w:hAnsi="Times New Roman" w:cs="Times New Roman"/>
          <w:color w:val="000000"/>
          <w:spacing w:val="0"/>
          <w:w w:val="100"/>
          <w:position w:val="0"/>
        </w:rPr>
        <w:t>ATM</w:t>
      </w:r>
      <w:r>
        <w:rPr>
          <w:color w:val="000000"/>
          <w:spacing w:val="0"/>
          <w:w w:val="100"/>
          <w:position w:val="0"/>
        </w:rPr>
        <w:t>国产化趋势显现。</w:t>
      </w:r>
    </w:p>
    <w:p>
      <w:pPr>
        <w:pStyle w:val="Style35"/>
        <w:keepNext w:val="0"/>
        <w:keepLines w:val="0"/>
        <w:widowControl w:val="0"/>
        <w:shd w:val="clear" w:color="auto" w:fill="auto"/>
        <w:tabs>
          <w:tab w:pos="1512" w:val="left"/>
        </w:tabs>
        <w:bidi w:val="0"/>
        <w:spacing w:before="0" w:after="0" w:line="312" w:lineRule="exact"/>
        <w:ind w:left="1100" w:right="0" w:firstLine="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w:t>
        <w:tab/>
        <w:t>轨道交通业发展趋势</w:t>
      </w:r>
    </w:p>
    <w:p>
      <w:pPr>
        <w:pStyle w:val="Style35"/>
        <w:keepNext w:val="0"/>
        <w:keepLines w:val="0"/>
        <w:widowControl w:val="0"/>
        <w:shd w:val="clear" w:color="auto" w:fill="auto"/>
        <w:bidi w:val="0"/>
        <w:spacing w:before="0" w:after="0" w:line="316" w:lineRule="exact"/>
        <w:ind w:left="74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年度，城市轨道交通建设和铁路投资继续保持高增长，建设规模持续扩大。特别是国务院连续出台了多个政策性 文件，为城市轨交和铁路建设创造了更加有利的政策环境。</w:t>
      </w:r>
      <w:r>
        <w:rPr>
          <w:rFonts w:ascii="Times New Roman" w:eastAsia="Times New Roman" w:hAnsi="Times New Roman" w:cs="Times New Roman"/>
          <w:color w:val="000000"/>
          <w:spacing w:val="0"/>
          <w:w w:val="100"/>
          <w:position w:val="0"/>
        </w:rPr>
        <w:t>2014</w:t>
      </w:r>
      <w:r>
        <w:rPr>
          <w:color w:val="000000"/>
          <w:spacing w:val="0"/>
          <w:w w:val="100"/>
          <w:position w:val="0"/>
        </w:rPr>
        <w:t>年在既有和新开工项目双高的作用下，轨道交通投资需求 将首次突破</w:t>
      </w:r>
      <w:r>
        <w:rPr>
          <w:rFonts w:ascii="Times New Roman" w:eastAsia="Times New Roman" w:hAnsi="Times New Roman" w:cs="Times New Roman"/>
          <w:color w:val="000000"/>
          <w:spacing w:val="0"/>
          <w:w w:val="100"/>
          <w:position w:val="0"/>
        </w:rPr>
        <w:t>3000</w:t>
      </w:r>
      <w:r>
        <w:rPr>
          <w:color w:val="000000"/>
          <w:spacing w:val="0"/>
          <w:w w:val="100"/>
          <w:position w:val="0"/>
        </w:rPr>
        <w:t>亿元，预计到</w:t>
      </w:r>
      <w:r>
        <w:rPr>
          <w:rFonts w:ascii="Times New Roman" w:eastAsia="Times New Roman" w:hAnsi="Times New Roman" w:cs="Times New Roman"/>
          <w:color w:val="000000"/>
          <w:spacing w:val="0"/>
          <w:w w:val="100"/>
          <w:position w:val="0"/>
        </w:rPr>
        <w:t>2014</w:t>
      </w:r>
      <w:r>
        <w:rPr>
          <w:color w:val="000000"/>
          <w:spacing w:val="0"/>
          <w:w w:val="100"/>
          <w:position w:val="0"/>
        </w:rPr>
        <w:t>年底，我国轨道交通运营线路累计将达到</w:t>
      </w:r>
      <w:r>
        <w:rPr>
          <w:rFonts w:ascii="Times New Roman" w:eastAsia="Times New Roman" w:hAnsi="Times New Roman" w:cs="Times New Roman"/>
          <w:color w:val="000000"/>
          <w:spacing w:val="0"/>
          <w:w w:val="100"/>
          <w:position w:val="0"/>
        </w:rPr>
        <w:t>88</w:t>
      </w:r>
      <w:r>
        <w:rPr>
          <w:color w:val="000000"/>
          <w:spacing w:val="0"/>
          <w:w w:val="100"/>
          <w:position w:val="0"/>
        </w:rPr>
        <w:t>条，运营总里程将达到</w:t>
      </w:r>
      <w:r>
        <w:rPr>
          <w:rFonts w:ascii="Times New Roman" w:eastAsia="Times New Roman" w:hAnsi="Times New Roman" w:cs="Times New Roman"/>
          <w:color w:val="000000"/>
          <w:spacing w:val="0"/>
          <w:w w:val="100"/>
          <w:position w:val="0"/>
        </w:rPr>
        <w:t>2765</w:t>
      </w:r>
      <w:r>
        <w:rPr>
          <w:color w:val="000000"/>
          <w:spacing w:val="0"/>
          <w:w w:val="100"/>
          <w:position w:val="0"/>
        </w:rPr>
        <w:t>公里，稳居世 界第一位；而同期铁路建设总投资规模预计将达到</w:t>
      </w:r>
      <w:r>
        <w:rPr>
          <w:rFonts w:ascii="Times New Roman" w:eastAsia="Times New Roman" w:hAnsi="Times New Roman" w:cs="Times New Roman"/>
          <w:color w:val="000000"/>
          <w:spacing w:val="0"/>
          <w:w w:val="100"/>
          <w:position w:val="0"/>
        </w:rPr>
        <w:t>6500</w:t>
      </w:r>
      <w:r>
        <w:rPr>
          <w:color w:val="000000"/>
          <w:spacing w:val="0"/>
          <w:w w:val="100"/>
          <w:position w:val="0"/>
        </w:rPr>
        <w:t>亿</w:t>
      </w:r>
      <w:r>
        <w:rPr>
          <w:color w:val="000000"/>
          <w:spacing w:val="0"/>
          <w:w w:val="100"/>
          <w:position w:val="0"/>
        </w:rPr>
        <w:t>一</w:t>
      </w:r>
      <w:r>
        <w:rPr>
          <w:rFonts w:ascii="Times New Roman" w:eastAsia="Times New Roman" w:hAnsi="Times New Roman" w:cs="Times New Roman"/>
          <w:color w:val="000000"/>
          <w:spacing w:val="0"/>
          <w:w w:val="100"/>
          <w:position w:val="0"/>
        </w:rPr>
        <w:t>6700</w:t>
      </w:r>
      <w:r>
        <w:rPr>
          <w:color w:val="000000"/>
          <w:spacing w:val="0"/>
          <w:w w:val="100"/>
          <w:position w:val="0"/>
        </w:rPr>
        <w:t>亿元。城市轨交与铁路双雄引领</w:t>
      </w:r>
      <w:r>
        <w:rPr>
          <w:rFonts w:ascii="Times New Roman" w:eastAsia="Times New Roman" w:hAnsi="Times New Roman" w:cs="Times New Roman"/>
          <w:color w:val="000000"/>
          <w:spacing w:val="0"/>
          <w:w w:val="100"/>
          <w:position w:val="0"/>
        </w:rPr>
        <w:t>2014</w:t>
      </w:r>
      <w:r>
        <w:rPr>
          <w:color w:val="000000"/>
          <w:spacing w:val="0"/>
          <w:w w:val="100"/>
          <w:position w:val="0"/>
        </w:rPr>
        <w:t>年交通建设投资， 总规模逼近万亿元。</w:t>
      </w:r>
    </w:p>
    <w:p>
      <w:pPr>
        <w:pStyle w:val="Style35"/>
        <w:keepNext w:val="0"/>
        <w:keepLines w:val="0"/>
        <w:widowControl w:val="0"/>
        <w:shd w:val="clear" w:color="auto" w:fill="auto"/>
        <w:tabs>
          <w:tab w:pos="1512" w:val="left"/>
        </w:tabs>
        <w:bidi w:val="0"/>
        <w:spacing w:before="0" w:after="0" w:line="312" w:lineRule="exact"/>
        <w:ind w:left="1100" w:right="0" w:firstLine="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w:t>
        <w:tab/>
        <w:t>金融服务外包产业发展趋势</w:t>
      </w:r>
    </w:p>
    <w:p>
      <w:pPr>
        <w:pStyle w:val="Style35"/>
        <w:keepNext w:val="0"/>
        <w:keepLines w:val="0"/>
        <w:widowControl w:val="0"/>
        <w:shd w:val="clear" w:color="auto" w:fill="auto"/>
        <w:bidi w:val="0"/>
        <w:spacing w:before="0" w:after="40" w:line="312" w:lineRule="exact"/>
        <w:ind w:left="1100" w:right="0" w:firstLine="0"/>
        <w:jc w:val="both"/>
      </w:pPr>
      <w:r>
        <w:rPr>
          <w:color w:val="000000"/>
          <w:spacing w:val="0"/>
          <w:w w:val="100"/>
          <w:position w:val="0"/>
        </w:rPr>
        <w:t xml:space="preserve">从全球看，金融服务业是外包市场规模最大、业务模式发展较为成熟的行业，前瞻产业研究院《2013-2017年中国金融 </w:t>
      </w:r>
      <w:r>
        <w:rPr>
          <w:color w:val="000000"/>
          <w:spacing w:val="0"/>
          <w:w w:val="100"/>
          <w:position w:val="0"/>
        </w:rPr>
        <w:t>外包行业市场前瞻与投资战略规划分析报告》显示，金融服务外包行业正处于行业周期的高速成长期，并已成为国际外包市 场的主流。欧美等国际同行的外包项目早已超越简单的操作性后台业务，而是以涵盖复杂环节的多节点整体流程外包为主， 跨国服务提供商通常具有很强的业务流程咨询能力和</w:t>
      </w:r>
      <w:r>
        <w:rPr>
          <w:rFonts w:ascii="Times New Roman" w:eastAsia="Times New Roman" w:hAnsi="Times New Roman" w:cs="Times New Roman"/>
          <w:color w:val="000000"/>
          <w:spacing w:val="0"/>
          <w:w w:val="100"/>
          <w:position w:val="0"/>
        </w:rPr>
        <w:t>IT</w:t>
      </w:r>
      <w:r>
        <w:rPr>
          <w:color w:val="000000"/>
          <w:spacing w:val="0"/>
          <w:w w:val="100"/>
          <w:position w:val="0"/>
        </w:rPr>
        <w:t>系统实施能力，发包商与接包商形成长期稳固的战略合作关系，项 目金额动辄上亿美元，甚至数十亿美元。随着外资银行和跨国服务商的涌入，先进的管理方法与从业规范必将给中国金融服 务外包业带来从概念到实践的全面冲击，进而对本土服务商产生示范效应，从而提高其竞争力和中国金融外包行业整体发展 水平。中国金融服务外包市场规模将不断扩大，市场潜力巨大。</w:t>
      </w:r>
    </w:p>
    <w:p>
      <w:pPr>
        <w:pStyle w:val="Style35"/>
        <w:keepNext w:val="0"/>
        <w:keepLines w:val="0"/>
        <w:widowControl w:val="0"/>
        <w:shd w:val="clear" w:color="auto" w:fill="auto"/>
        <w:bidi w:val="0"/>
        <w:spacing w:before="0" w:after="40" w:line="310" w:lineRule="exact"/>
        <w:ind w:left="740" w:right="0" w:firstLine="360"/>
        <w:jc w:val="both"/>
      </w:pPr>
      <w:r>
        <w:rPr>
          <w:color w:val="000000"/>
          <w:spacing w:val="0"/>
          <w:w w:val="100"/>
          <w:position w:val="0"/>
        </w:rPr>
        <w:t>我国国际服务外包产业“十二五”发展规划将金融服务外包业作为巩固提升的优势领域加快发展，并提出要在扩大现有 行业优势的基础上，不断向高端服务拓展，提高我国金融服务专业化、标准化和国际化水平，我国金融服务外包产业进入了 全新的发展阶段。一是互联网对银行业务的冲击加速了银行对核心业务的转型，二是利率市场化给银行间带来竞争的压力也 在加快，三是同工同酬新政策的应对也在加速，四是服务形象的提升和运维指标考核要求的提高是银行重要的竞争力，上述 几个因素使银行</w:t>
      </w:r>
      <w:r>
        <w:rPr>
          <w:rFonts w:ascii="Times New Roman" w:eastAsia="Times New Roman" w:hAnsi="Times New Roman" w:cs="Times New Roman"/>
          <w:color w:val="000000"/>
          <w:spacing w:val="0"/>
          <w:w w:val="100"/>
          <w:position w:val="0"/>
        </w:rPr>
        <w:t>ATM</w:t>
      </w:r>
      <w:r>
        <w:rPr>
          <w:color w:val="000000"/>
          <w:spacing w:val="0"/>
          <w:w w:val="100"/>
          <w:position w:val="0"/>
        </w:rPr>
        <w:t>管理乃至后台业务外包需求旺盛，促使</w:t>
      </w:r>
      <w:r>
        <w:rPr>
          <w:rFonts w:ascii="Times New Roman" w:eastAsia="Times New Roman" w:hAnsi="Times New Roman" w:cs="Times New Roman"/>
          <w:color w:val="000000"/>
          <w:spacing w:val="0"/>
          <w:w w:val="100"/>
          <w:position w:val="0"/>
        </w:rPr>
        <w:t>ATM</w:t>
      </w:r>
      <w:r>
        <w:rPr>
          <w:color w:val="000000"/>
          <w:spacing w:val="0"/>
          <w:w w:val="100"/>
          <w:position w:val="0"/>
        </w:rPr>
        <w:t>金融业务外包市场需求进一步扩大。</w:t>
      </w:r>
    </w:p>
    <w:p>
      <w:pPr>
        <w:pStyle w:val="Style35"/>
        <w:keepNext w:val="0"/>
        <w:keepLines w:val="0"/>
        <w:widowControl w:val="0"/>
        <w:numPr>
          <w:ilvl w:val="0"/>
          <w:numId w:val="1"/>
        </w:numPr>
        <w:shd w:val="clear" w:color="auto" w:fill="auto"/>
        <w:bidi w:val="0"/>
        <w:spacing w:before="0" w:after="40" w:line="311" w:lineRule="exact"/>
        <w:ind w:left="1100" w:right="0" w:firstLine="0"/>
        <w:jc w:val="both"/>
      </w:pPr>
      <w:bookmarkStart w:id="218" w:name="bookmark218"/>
      <w:bookmarkEnd w:id="218"/>
      <w:r>
        <w:rPr>
          <w:color w:val="000000"/>
          <w:spacing w:val="0"/>
          <w:w w:val="100"/>
          <w:position w:val="0"/>
        </w:rPr>
        <w:t>清分机市场发展趋势</w:t>
      </w:r>
    </w:p>
    <w:p>
      <w:pPr>
        <w:pStyle w:val="Style35"/>
        <w:keepNext w:val="0"/>
        <w:keepLines w:val="0"/>
        <w:widowControl w:val="0"/>
        <w:shd w:val="clear" w:color="auto" w:fill="auto"/>
        <w:bidi w:val="0"/>
        <w:spacing w:before="0" w:line="314" w:lineRule="exact"/>
        <w:ind w:left="740" w:right="0" w:firstLine="360"/>
        <w:jc w:val="both"/>
      </w:pPr>
      <w:r>
        <w:rPr>
          <w:color w:val="000000"/>
          <w:spacing w:val="0"/>
          <w:w w:val="100"/>
          <w:position w:val="0"/>
        </w:rPr>
        <w:t>随着银行业金融机构对中国人民银行货币金银管理各项政策的全面贯彻和落实，围绕着“假币零容忍”、“现钞全额清分”、 “提升流通币票面整洁度”、“纸币冠字号码查询”等政策的推进实施，银行业金融机构尤其是大型国有商业银行对高端金融 机具及系统的需求推动了国内清分机行业保持较高的市场增速。</w:t>
      </w:r>
    </w:p>
    <w:p>
      <w:pPr>
        <w:pStyle w:val="Style35"/>
        <w:keepNext w:val="0"/>
        <w:keepLines w:val="0"/>
        <w:widowControl w:val="0"/>
        <w:shd w:val="clear" w:color="auto" w:fill="auto"/>
        <w:bidi w:val="0"/>
        <w:spacing w:before="0" w:after="0"/>
        <w:ind w:left="1100" w:right="0" w:firstLine="0"/>
        <w:jc w:val="both"/>
      </w:pPr>
      <w:bookmarkStart w:id="219" w:name="bookmark219"/>
      <w:r>
        <w:rPr>
          <w:rFonts w:ascii="Times New Roman" w:eastAsia="Times New Roman" w:hAnsi="Times New Roman" w:cs="Times New Roman"/>
          <w:color w:val="000000"/>
          <w:spacing w:val="0"/>
          <w:w w:val="100"/>
          <w:position w:val="0"/>
        </w:rPr>
        <w:t>2</w:t>
      </w:r>
      <w:bookmarkEnd w:id="219"/>
      <w:r>
        <w:rPr>
          <w:color w:val="000000"/>
          <w:spacing w:val="0"/>
          <w:w w:val="100"/>
          <w:position w:val="0"/>
        </w:rPr>
        <w:t>、市场竞争格局</w:t>
      </w:r>
    </w:p>
    <w:p>
      <w:pPr>
        <w:pStyle w:val="Style35"/>
        <w:keepNext w:val="0"/>
        <w:keepLines w:val="0"/>
        <w:widowControl w:val="0"/>
        <w:numPr>
          <w:ilvl w:val="0"/>
          <w:numId w:val="5"/>
        </w:numPr>
        <w:shd w:val="clear" w:color="auto" w:fill="auto"/>
        <w:tabs>
          <w:tab w:pos="1480" w:val="left"/>
        </w:tabs>
        <w:bidi w:val="0"/>
        <w:spacing w:before="0" w:after="40" w:line="311" w:lineRule="exact"/>
        <w:ind w:left="1100" w:right="0" w:firstLine="0"/>
        <w:jc w:val="both"/>
      </w:pPr>
      <w:bookmarkStart w:id="220" w:name="bookmark220"/>
      <w:bookmarkEnd w:id="220"/>
      <w:r>
        <w:rPr>
          <w:rFonts w:ascii="Times New Roman" w:eastAsia="Times New Roman" w:hAnsi="Times New Roman" w:cs="Times New Roman"/>
          <w:color w:val="000000"/>
          <w:spacing w:val="0"/>
          <w:w w:val="100"/>
          <w:position w:val="0"/>
        </w:rPr>
        <w:t>ATM</w:t>
      </w:r>
      <w:r>
        <w:rPr>
          <w:color w:val="000000"/>
          <w:spacing w:val="0"/>
          <w:w w:val="100"/>
          <w:position w:val="0"/>
        </w:rPr>
        <w:t>市场竞争格局</w:t>
      </w:r>
    </w:p>
    <w:p>
      <w:pPr>
        <w:pStyle w:val="Style35"/>
        <w:keepNext w:val="0"/>
        <w:keepLines w:val="0"/>
        <w:widowControl w:val="0"/>
        <w:shd w:val="clear" w:color="auto" w:fill="auto"/>
        <w:bidi w:val="0"/>
        <w:spacing w:before="0" w:after="40" w:line="307" w:lineRule="exact"/>
        <w:ind w:left="74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rPr>
        <w:t>ATM</w:t>
      </w:r>
      <w:r>
        <w:rPr>
          <w:color w:val="000000"/>
          <w:spacing w:val="0"/>
          <w:w w:val="100"/>
          <w:position w:val="0"/>
        </w:rPr>
        <w:t>领域，由于市场进入壁垒较高，国际市场仍维持原有垄断竞争格局，公司主要竞争对手依然是</w:t>
      </w:r>
      <w:r>
        <w:rPr>
          <w:rFonts w:ascii="Times New Roman" w:eastAsia="Times New Roman" w:hAnsi="Times New Roman" w:cs="Times New Roman"/>
          <w:color w:val="000000"/>
          <w:spacing w:val="0"/>
          <w:w w:val="100"/>
          <w:position w:val="0"/>
        </w:rPr>
        <w:t>Diebold</w:t>
      </w:r>
      <w:r>
        <w:rPr>
          <w:color w:val="000000"/>
          <w:spacing w:val="0"/>
          <w:w w:val="100"/>
          <w:position w:val="0"/>
        </w:rPr>
        <w:t>、</w:t>
      </w:r>
      <w:r>
        <w:rPr>
          <w:rFonts w:ascii="Times New Roman" w:eastAsia="Times New Roman" w:hAnsi="Times New Roman" w:cs="Times New Roman"/>
          <w:color w:val="000000"/>
          <w:spacing w:val="0"/>
          <w:w w:val="100"/>
          <w:position w:val="0"/>
        </w:rPr>
        <w:t>Hitachi</w:t>
      </w:r>
      <w:r>
        <w:rPr>
          <w:color w:val="000000"/>
          <w:spacing w:val="0"/>
          <w:w w:val="100"/>
          <w:position w:val="0"/>
        </w:rPr>
        <w:t xml:space="preserve">、 </w:t>
      </w:r>
      <w:r>
        <w:rPr>
          <w:rFonts w:ascii="Times New Roman" w:eastAsia="Times New Roman" w:hAnsi="Times New Roman" w:cs="Times New Roman"/>
          <w:color w:val="000000"/>
          <w:spacing w:val="0"/>
          <w:w w:val="100"/>
          <w:position w:val="0"/>
        </w:rPr>
        <w:t>NCR</w:t>
      </w:r>
      <w:r>
        <w:rPr>
          <w:color w:val="000000"/>
          <w:spacing w:val="0"/>
          <w:w w:val="100"/>
          <w:position w:val="0"/>
        </w:rPr>
        <w:t>、</w:t>
      </w:r>
      <w:r>
        <w:rPr>
          <w:rFonts w:ascii="Times New Roman" w:eastAsia="Times New Roman" w:hAnsi="Times New Roman" w:cs="Times New Roman"/>
          <w:color w:val="000000"/>
          <w:spacing w:val="0"/>
          <w:w w:val="100"/>
          <w:position w:val="0"/>
        </w:rPr>
        <w:t>Nautilus Hyosung</w:t>
      </w:r>
      <w:r>
        <w:rPr>
          <w:color w:val="000000"/>
          <w:spacing w:val="0"/>
          <w:w w:val="100"/>
          <w:position w:val="0"/>
        </w:rPr>
        <w:t>、</w:t>
      </w:r>
      <w:r>
        <w:rPr>
          <w:rFonts w:ascii="Times New Roman" w:eastAsia="Times New Roman" w:hAnsi="Times New Roman" w:cs="Times New Roman"/>
          <w:color w:val="000000"/>
          <w:spacing w:val="0"/>
          <w:w w:val="100"/>
          <w:position w:val="0"/>
        </w:rPr>
        <w:t xml:space="preserve">OKI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 xml:space="preserve">Wincor Nixdorf </w:t>
      </w:r>
      <w:r>
        <w:rPr>
          <w:color w:val="000000"/>
          <w:spacing w:val="0"/>
          <w:w w:val="100"/>
          <w:position w:val="0"/>
        </w:rPr>
        <w:t>(按字母顺序)。</w:t>
      </w:r>
    </w:p>
    <w:p>
      <w:pPr>
        <w:pStyle w:val="Style35"/>
        <w:keepNext w:val="0"/>
        <w:keepLines w:val="0"/>
        <w:widowControl w:val="0"/>
        <w:shd w:val="clear" w:color="auto" w:fill="auto"/>
        <w:bidi w:val="0"/>
        <w:spacing w:before="0" w:after="40" w:line="314" w:lineRule="exact"/>
        <w:ind w:left="740" w:right="0" w:firstLine="3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月《金融时报》发布的《变革创新•多元繁荣</w:t>
      </w:r>
      <w:r>
        <w:rPr>
          <w:color w:val="000000"/>
          <w:spacing w:val="0"/>
          <w:w w:val="100"/>
          <w:position w:val="0"/>
        </w:rPr>
        <w:t>一</w:t>
      </w:r>
      <w:r>
        <w:rPr>
          <w:rFonts w:ascii="Times New Roman" w:eastAsia="Times New Roman" w:hAnsi="Times New Roman" w:cs="Times New Roman"/>
          <w:color w:val="000000"/>
          <w:spacing w:val="0"/>
          <w:w w:val="100"/>
          <w:position w:val="0"/>
        </w:rPr>
        <w:t>2013</w:t>
      </w:r>
      <w:r>
        <w:rPr>
          <w:color w:val="000000"/>
          <w:spacing w:val="0"/>
          <w:w w:val="100"/>
          <w:position w:val="0"/>
        </w:rPr>
        <w:t>年中国</w:t>
      </w:r>
      <w:r>
        <w:rPr>
          <w:rFonts w:ascii="Times New Roman" w:eastAsia="Times New Roman" w:hAnsi="Times New Roman" w:cs="Times New Roman"/>
          <w:color w:val="000000"/>
          <w:spacing w:val="0"/>
          <w:w w:val="100"/>
          <w:position w:val="0"/>
        </w:rPr>
        <w:t>ATM</w:t>
      </w:r>
      <w:r>
        <w:rPr>
          <w:color w:val="000000"/>
          <w:spacing w:val="0"/>
          <w:w w:val="100"/>
          <w:position w:val="0"/>
        </w:rPr>
        <w:t>市场发展述评》显示：</w:t>
      </w:r>
      <w:r>
        <w:rPr>
          <w:rFonts w:ascii="Times New Roman" w:eastAsia="Times New Roman" w:hAnsi="Times New Roman" w:cs="Times New Roman"/>
          <w:color w:val="000000"/>
          <w:spacing w:val="0"/>
          <w:w w:val="100"/>
          <w:position w:val="0"/>
        </w:rPr>
        <w:t>2013</w:t>
      </w:r>
      <w:r>
        <w:rPr>
          <w:color w:val="000000"/>
          <w:spacing w:val="0"/>
          <w:w w:val="100"/>
          <w:position w:val="0"/>
        </w:rPr>
        <w:t>年，国内各大 国有银行、股份制银行、邮储、城商、农商、农信等金融机构共购买</w:t>
      </w:r>
      <w:r>
        <w:rPr>
          <w:rFonts w:ascii="Times New Roman" w:eastAsia="Times New Roman" w:hAnsi="Times New Roman" w:cs="Times New Roman"/>
          <w:color w:val="000000"/>
          <w:spacing w:val="0"/>
          <w:w w:val="100"/>
          <w:position w:val="0"/>
        </w:rPr>
        <w:t>ATM</w:t>
      </w:r>
      <w:r>
        <w:rPr>
          <w:color w:val="000000"/>
          <w:spacing w:val="0"/>
          <w:w w:val="100"/>
          <w:position w:val="0"/>
        </w:rPr>
        <w:t>设备约</w:t>
      </w:r>
      <w:r>
        <w:rPr>
          <w:rFonts w:ascii="Times New Roman" w:eastAsia="Times New Roman" w:hAnsi="Times New Roman" w:cs="Times New Roman"/>
          <w:color w:val="000000"/>
          <w:spacing w:val="0"/>
          <w:w w:val="100"/>
          <w:position w:val="0"/>
        </w:rPr>
        <w:t>8.56</w:t>
      </w:r>
      <w:r>
        <w:rPr>
          <w:color w:val="000000"/>
          <w:spacing w:val="0"/>
          <w:w w:val="100"/>
          <w:position w:val="0"/>
        </w:rPr>
        <w:t>万台。公司以</w:t>
      </w:r>
      <w:r>
        <w:rPr>
          <w:rFonts w:ascii="Times New Roman" w:eastAsia="Times New Roman" w:hAnsi="Times New Roman" w:cs="Times New Roman"/>
          <w:color w:val="000000"/>
          <w:spacing w:val="0"/>
          <w:w w:val="100"/>
          <w:position w:val="0"/>
        </w:rPr>
        <w:t>19,940</w:t>
      </w:r>
      <w:r>
        <w:rPr>
          <w:color w:val="000000"/>
          <w:spacing w:val="0"/>
          <w:w w:val="100"/>
          <w:position w:val="0"/>
        </w:rPr>
        <w:t>台的年度销售 量继续保持市场占有率第一的位置，后续依次为</w:t>
      </w:r>
      <w:r>
        <w:rPr>
          <w:rFonts w:ascii="Times New Roman" w:eastAsia="Times New Roman" w:hAnsi="Times New Roman" w:cs="Times New Roman"/>
          <w:color w:val="000000"/>
          <w:spacing w:val="0"/>
          <w:w w:val="100"/>
          <w:position w:val="0"/>
        </w:rPr>
        <w:t>Hitachi</w:t>
      </w:r>
      <w:r>
        <w:rPr>
          <w:color w:val="000000"/>
          <w:spacing w:val="0"/>
          <w:w w:val="100"/>
          <w:position w:val="0"/>
        </w:rPr>
        <w:t>、怡化、</w:t>
      </w:r>
      <w:r>
        <w:rPr>
          <w:rFonts w:ascii="Times New Roman" w:eastAsia="Times New Roman" w:hAnsi="Times New Roman" w:cs="Times New Roman"/>
          <w:color w:val="000000"/>
          <w:spacing w:val="0"/>
          <w:w w:val="100"/>
          <w:position w:val="0"/>
        </w:rPr>
        <w:t>NCR</w:t>
      </w:r>
      <w:r>
        <w:rPr>
          <w:color w:val="000000"/>
          <w:spacing w:val="0"/>
          <w:w w:val="100"/>
          <w:position w:val="0"/>
        </w:rPr>
        <w:t>、</w:t>
      </w:r>
      <w:r>
        <w:rPr>
          <w:rFonts w:ascii="Times New Roman" w:eastAsia="Times New Roman" w:hAnsi="Times New Roman" w:cs="Times New Roman"/>
          <w:color w:val="000000"/>
          <w:spacing w:val="0"/>
          <w:w w:val="100"/>
          <w:position w:val="0"/>
        </w:rPr>
        <w:t>Diebold</w:t>
      </w:r>
      <w:r>
        <w:rPr>
          <w:color w:val="000000"/>
          <w:spacing w:val="0"/>
          <w:w w:val="100"/>
          <w:position w:val="0"/>
        </w:rPr>
        <w:t>、</w:t>
      </w:r>
      <w:r>
        <w:rPr>
          <w:rFonts w:ascii="Times New Roman" w:eastAsia="Times New Roman" w:hAnsi="Times New Roman" w:cs="Times New Roman"/>
          <w:color w:val="000000"/>
          <w:spacing w:val="0"/>
          <w:w w:val="100"/>
          <w:position w:val="0"/>
        </w:rPr>
        <w:t>OKI</w:t>
      </w:r>
      <w:r>
        <w:rPr>
          <w:color w:val="000000"/>
          <w:spacing w:val="0"/>
          <w:w w:val="100"/>
          <w:position w:val="0"/>
        </w:rPr>
        <w:t>、</w:t>
      </w:r>
      <w:r>
        <w:rPr>
          <w:rFonts w:ascii="Times New Roman" w:eastAsia="Times New Roman" w:hAnsi="Times New Roman" w:cs="Times New Roman"/>
          <w:color w:val="000000"/>
          <w:spacing w:val="0"/>
          <w:w w:val="100"/>
          <w:position w:val="0"/>
        </w:rPr>
        <w:t>Wincor Nixdorf</w:t>
      </w:r>
      <w:r>
        <w:rPr>
          <w:color w:val="000000"/>
          <w:spacing w:val="0"/>
          <w:w w:val="100"/>
          <w:position w:val="0"/>
        </w:rPr>
        <w:t>、</w:t>
      </w:r>
      <w:r>
        <w:rPr>
          <w:color w:val="000000"/>
          <w:spacing w:val="0"/>
          <w:w w:val="100"/>
          <w:position w:val="0"/>
        </w:rPr>
        <w:t>东方通信与恒银。 统计显示，</w:t>
      </w:r>
      <w:r>
        <w:rPr>
          <w:rFonts w:ascii="Times New Roman" w:eastAsia="Times New Roman" w:hAnsi="Times New Roman" w:cs="Times New Roman"/>
          <w:color w:val="000000"/>
          <w:spacing w:val="0"/>
          <w:w w:val="100"/>
          <w:position w:val="0"/>
        </w:rPr>
        <w:t>2013</w:t>
      </w:r>
      <w:r>
        <w:rPr>
          <w:color w:val="000000"/>
          <w:spacing w:val="0"/>
          <w:w w:val="100"/>
          <w:position w:val="0"/>
        </w:rPr>
        <w:t>年前五大品牌销售量占据全年总量约</w:t>
      </w:r>
      <w:r>
        <w:rPr>
          <w:rFonts w:ascii="Times New Roman" w:eastAsia="Times New Roman" w:hAnsi="Times New Roman" w:cs="Times New Roman"/>
          <w:color w:val="000000"/>
          <w:spacing w:val="0"/>
          <w:w w:val="100"/>
          <w:position w:val="0"/>
        </w:rPr>
        <w:t>73%</w:t>
      </w:r>
      <w:r>
        <w:rPr>
          <w:color w:val="000000"/>
          <w:spacing w:val="0"/>
          <w:w w:val="100"/>
          <w:position w:val="0"/>
        </w:rPr>
        <w:t>，行业竞争变得越来越集中。随着国内存取款一体机市场的扩大， 循环核心技术对市场格局影响更为深刻，公司凭借自主核心技术继续扩大市场份额。预计在</w:t>
      </w:r>
      <w:r>
        <w:rPr>
          <w:rFonts w:ascii="Times New Roman" w:eastAsia="Times New Roman" w:hAnsi="Times New Roman" w:cs="Times New Roman"/>
          <w:color w:val="000000"/>
          <w:spacing w:val="0"/>
          <w:w w:val="100"/>
          <w:position w:val="0"/>
        </w:rPr>
        <w:t>2014</w:t>
      </w:r>
      <w:r>
        <w:rPr>
          <w:color w:val="000000"/>
          <w:spacing w:val="0"/>
          <w:w w:val="100"/>
          <w:position w:val="0"/>
        </w:rPr>
        <w:t>年，受金融安全、海关税 率调整，以及更新换代周期启动、农村金融市场开拓等多重因素影响，</w:t>
      </w:r>
      <w:r>
        <w:rPr>
          <w:rFonts w:ascii="Times New Roman" w:eastAsia="Times New Roman" w:hAnsi="Times New Roman" w:cs="Times New Roman"/>
          <w:color w:val="000000"/>
          <w:spacing w:val="0"/>
          <w:w w:val="100"/>
          <w:position w:val="0"/>
        </w:rPr>
        <w:t>ATM</w:t>
      </w:r>
      <w:r>
        <w:rPr>
          <w:color w:val="000000"/>
          <w:spacing w:val="0"/>
          <w:w w:val="100"/>
          <w:position w:val="0"/>
        </w:rPr>
        <w:t>国产化替代将进一步扩大。</w:t>
      </w:r>
    </w:p>
    <w:p>
      <w:pPr>
        <w:pStyle w:val="Style35"/>
        <w:keepNext w:val="0"/>
        <w:keepLines w:val="0"/>
        <w:widowControl w:val="0"/>
        <w:numPr>
          <w:ilvl w:val="0"/>
          <w:numId w:val="5"/>
        </w:numPr>
        <w:shd w:val="clear" w:color="auto" w:fill="auto"/>
        <w:tabs>
          <w:tab w:pos="1480" w:val="left"/>
        </w:tabs>
        <w:bidi w:val="0"/>
        <w:spacing w:before="0" w:after="40" w:line="311" w:lineRule="exact"/>
        <w:ind w:left="1100" w:right="0" w:firstLine="0"/>
        <w:jc w:val="both"/>
      </w:pPr>
      <w:bookmarkStart w:id="221" w:name="bookmark221"/>
      <w:bookmarkEnd w:id="221"/>
      <w:r>
        <w:rPr>
          <w:color w:val="000000"/>
          <w:spacing w:val="0"/>
          <w:w w:val="100"/>
          <w:position w:val="0"/>
        </w:rPr>
        <w:t>轨道交通市场竞争格局</w:t>
      </w:r>
    </w:p>
    <w:p>
      <w:pPr>
        <w:pStyle w:val="Style35"/>
        <w:keepNext w:val="0"/>
        <w:keepLines w:val="0"/>
        <w:widowControl w:val="0"/>
        <w:shd w:val="clear" w:color="auto" w:fill="auto"/>
        <w:bidi w:val="0"/>
        <w:spacing w:before="0" w:after="40" w:line="311" w:lineRule="exact"/>
        <w:ind w:left="740" w:right="0" w:firstLine="360"/>
        <w:jc w:val="both"/>
      </w:pPr>
      <w:r>
        <w:rPr>
          <w:color w:val="000000"/>
          <w:spacing w:val="0"/>
          <w:w w:val="100"/>
          <w:position w:val="0"/>
        </w:rPr>
        <w:t>我国城市轨道交通的投资主体是各个城市的地方政府，行政上互不隶属，对于当地城市轨道交通建设都拥有充分的自主 权，这就使得参与该行业竞争的商家很多，如国内厂商除广电运通外，还包括上海的邮通、华虹计通、华铭、华腾；南京熊 猫、沈阳新松、大连现代、北京方正、南天智诚、湖北三环、中国软件、浙大网新、深圳现代和四川久远等，国外厂商有韩 国的三星，竞争激烈。在高铁领域，</w:t>
      </w:r>
      <w:r>
        <w:rPr>
          <w:rFonts w:ascii="Times New Roman" w:eastAsia="Times New Roman" w:hAnsi="Times New Roman" w:cs="Times New Roman"/>
          <w:color w:val="000000"/>
          <w:spacing w:val="0"/>
          <w:w w:val="100"/>
          <w:position w:val="0"/>
        </w:rPr>
        <w:t>2013</w:t>
      </w:r>
      <w:r>
        <w:rPr>
          <w:color w:val="000000"/>
          <w:spacing w:val="0"/>
          <w:w w:val="100"/>
          <w:position w:val="0"/>
        </w:rPr>
        <w:t>年，公司继续保持在高铁自动售票机市场上的领先地位，形成垄断核心模块的局 面，竞争厂商主要是新北洋。随着公司纸币识别模块、找零模块及票卡模块等核心技术在市场上的推广使用，公司在城市轨 道交通行业的地位和实力得到不断提升。</w:t>
      </w:r>
    </w:p>
    <w:p>
      <w:pPr>
        <w:pStyle w:val="Style35"/>
        <w:keepNext w:val="0"/>
        <w:keepLines w:val="0"/>
        <w:widowControl w:val="0"/>
        <w:numPr>
          <w:ilvl w:val="0"/>
          <w:numId w:val="5"/>
        </w:numPr>
        <w:shd w:val="clear" w:color="auto" w:fill="auto"/>
        <w:tabs>
          <w:tab w:pos="1485" w:val="left"/>
        </w:tabs>
        <w:bidi w:val="0"/>
        <w:spacing w:before="0" w:after="40" w:line="311" w:lineRule="exact"/>
        <w:ind w:left="1100" w:right="0" w:firstLine="0"/>
        <w:jc w:val="both"/>
      </w:pPr>
      <w:bookmarkStart w:id="222" w:name="bookmark222"/>
      <w:bookmarkEnd w:id="222"/>
      <w:r>
        <w:rPr>
          <w:color w:val="000000"/>
          <w:spacing w:val="0"/>
          <w:w w:val="100"/>
          <w:position w:val="0"/>
        </w:rPr>
        <w:t>金融服务外包市场竞争格局</w:t>
      </w:r>
    </w:p>
    <w:p>
      <w:pPr>
        <w:pStyle w:val="Style35"/>
        <w:keepNext w:val="0"/>
        <w:keepLines w:val="0"/>
        <w:widowControl w:val="0"/>
        <w:shd w:val="clear" w:color="auto" w:fill="auto"/>
        <w:bidi w:val="0"/>
        <w:spacing w:before="0" w:after="40" w:line="309" w:lineRule="exact"/>
        <w:ind w:left="740" w:right="0" w:firstLine="360"/>
        <w:jc w:val="both"/>
      </w:pPr>
      <w:r>
        <w:rPr>
          <w:color w:val="000000"/>
          <w:spacing w:val="0"/>
          <w:w w:val="100"/>
          <w:position w:val="0"/>
        </w:rPr>
        <w:t xml:space="preserve">金融服务外包作为金融业衍生出的一个特殊行业，能够有效降低银行的人力和运营成本，推动银行从低效率、低附加值 的繁琐业务流程向高附加值的业务转型。短短几年，我国金融服务外包业务取得了长足的发展，从简单的数据录入、单据收 送等低附加值的流程，扩展到了 </w:t>
      </w:r>
      <w:r>
        <w:rPr>
          <w:rFonts w:ascii="Times New Roman" w:eastAsia="Times New Roman" w:hAnsi="Times New Roman" w:cs="Times New Roman"/>
          <w:color w:val="000000"/>
          <w:spacing w:val="0"/>
          <w:w w:val="100"/>
          <w:position w:val="0"/>
        </w:rPr>
        <w:t>ATM</w:t>
      </w:r>
      <w:r>
        <w:rPr>
          <w:color w:val="000000"/>
          <w:spacing w:val="0"/>
          <w:w w:val="100"/>
          <w:position w:val="0"/>
        </w:rPr>
        <w:t>设备运营、</w:t>
      </w:r>
      <w:r>
        <w:rPr>
          <w:rFonts w:ascii="Times New Roman" w:eastAsia="Times New Roman" w:hAnsi="Times New Roman" w:cs="Times New Roman"/>
          <w:color w:val="000000"/>
          <w:spacing w:val="0"/>
          <w:w w:val="100"/>
          <w:position w:val="0"/>
        </w:rPr>
        <w:t>IT</w:t>
      </w:r>
      <w:r>
        <w:rPr>
          <w:color w:val="000000"/>
          <w:spacing w:val="0"/>
          <w:w w:val="100"/>
          <w:position w:val="0"/>
        </w:rPr>
        <w:t>软件开发、业务流程改造等更核心的业务流程。随着金融改革逐步推进、 金融服务业开放程度逐渐加大，我国金融行业价值链正不断延伸，金融服务外包领域发展空间和潜力巨大。目前，</w:t>
      </w:r>
      <w:r>
        <w:rPr>
          <w:rFonts w:ascii="Times New Roman" w:eastAsia="Times New Roman" w:hAnsi="Times New Roman" w:cs="Times New Roman"/>
          <w:color w:val="000000"/>
          <w:spacing w:val="0"/>
          <w:w w:val="100"/>
          <w:position w:val="0"/>
        </w:rPr>
        <w:t>ATM</w:t>
      </w:r>
      <w:r>
        <w:rPr>
          <w:color w:val="000000"/>
          <w:spacing w:val="0"/>
          <w:w w:val="100"/>
          <w:position w:val="0"/>
        </w:rPr>
        <w:t xml:space="preserve">行 业外包服务商除公司全资子公司深圳银通及其下属子公司、控股子公司广州穗通外，还有银联商务、三泰电子、深圳威豹、 </w:t>
      </w:r>
      <w:r>
        <w:rPr>
          <w:rFonts w:ascii="Times New Roman" w:eastAsia="Times New Roman" w:hAnsi="Times New Roman" w:cs="Times New Roman"/>
          <w:color w:val="000000"/>
          <w:spacing w:val="0"/>
          <w:w w:val="100"/>
          <w:position w:val="0"/>
        </w:rPr>
        <w:t>Diebold</w:t>
      </w:r>
      <w:r>
        <w:rPr>
          <w:color w:val="000000"/>
          <w:spacing w:val="0"/>
          <w:w w:val="100"/>
          <w:position w:val="0"/>
        </w:rPr>
        <w:t>、中投科技、合荣欣业、</w:t>
      </w:r>
      <w:r>
        <w:rPr>
          <w:rFonts w:ascii="Times New Roman" w:eastAsia="Times New Roman" w:hAnsi="Times New Roman" w:cs="Times New Roman"/>
          <w:color w:val="000000"/>
          <w:spacing w:val="0"/>
          <w:w w:val="100"/>
          <w:position w:val="0"/>
        </w:rPr>
        <w:t>G4S</w:t>
      </w:r>
      <w:r>
        <w:rPr>
          <w:color w:val="000000"/>
          <w:spacing w:val="0"/>
          <w:w w:val="100"/>
          <w:position w:val="0"/>
        </w:rPr>
        <w:t>等。</w:t>
      </w:r>
    </w:p>
    <w:p>
      <w:pPr>
        <w:pStyle w:val="Style35"/>
        <w:keepNext w:val="0"/>
        <w:keepLines w:val="0"/>
        <w:widowControl w:val="0"/>
        <w:numPr>
          <w:ilvl w:val="0"/>
          <w:numId w:val="5"/>
        </w:numPr>
        <w:shd w:val="clear" w:color="auto" w:fill="auto"/>
        <w:tabs>
          <w:tab w:pos="1485" w:val="left"/>
        </w:tabs>
        <w:bidi w:val="0"/>
        <w:spacing w:before="0" w:after="40" w:line="311" w:lineRule="exact"/>
        <w:ind w:left="1100" w:right="0" w:firstLine="0"/>
        <w:jc w:val="both"/>
      </w:pPr>
      <w:bookmarkStart w:id="223" w:name="bookmark223"/>
      <w:bookmarkEnd w:id="223"/>
      <w:r>
        <w:rPr>
          <w:color w:val="000000"/>
          <w:spacing w:val="0"/>
          <w:w w:val="100"/>
          <w:position w:val="0"/>
        </w:rPr>
        <w:t>清分机市场竞争格局</w:t>
      </w:r>
    </w:p>
    <w:p>
      <w:pPr>
        <w:pStyle w:val="Style35"/>
        <w:keepNext w:val="0"/>
        <w:keepLines w:val="0"/>
        <w:widowControl w:val="0"/>
        <w:shd w:val="clear" w:color="auto" w:fill="auto"/>
        <w:bidi w:val="0"/>
        <w:spacing w:before="0" w:after="40" w:line="317" w:lineRule="exact"/>
        <w:ind w:left="740" w:right="0" w:firstLine="360"/>
        <w:jc w:val="both"/>
      </w:pPr>
      <w:r>
        <w:rPr>
          <w:color w:val="000000"/>
          <w:spacing w:val="0"/>
          <w:w w:val="100"/>
          <w:position w:val="0"/>
        </w:rPr>
        <w:t>国内整个清分机行业在</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年呈现了爆发式增长。国外厂商在中国市场的绝对领先地位已经动摇，其业绩增长开始放 缓，国内主流厂商的市场份额快速增长。中智融通作为广电运通的全资子公司和清分机业务开展平台，依托母公司的市场在 </w:t>
      </w:r>
      <w:r>
        <w:rPr>
          <w:color w:val="000000"/>
          <w:spacing w:val="0"/>
          <w:w w:val="100"/>
          <w:position w:val="0"/>
        </w:rPr>
        <w:t>位优势，技术研发和售后服务等优势，快速切入清分机领域，市场反应良好，让竞争对手不容小觑。其他竞争厂商主要有日 本光荣、聚龙股份、中钞信达、古鳌、汇金股份、华夏聚龙、湖南辰泰、鞍山博纵、速必得、圣福伦等。</w:t>
      </w:r>
    </w:p>
    <w:p>
      <w:pPr>
        <w:pStyle w:val="Style35"/>
        <w:keepNext w:val="0"/>
        <w:keepLines w:val="0"/>
        <w:widowControl w:val="0"/>
        <w:numPr>
          <w:ilvl w:val="0"/>
          <w:numId w:val="7"/>
        </w:numPr>
        <w:shd w:val="clear" w:color="auto" w:fill="auto"/>
        <w:tabs>
          <w:tab w:pos="1578" w:val="left"/>
        </w:tabs>
        <w:bidi w:val="0"/>
        <w:spacing w:before="0" w:after="40" w:line="313" w:lineRule="exact"/>
        <w:ind w:left="1100" w:right="0" w:firstLine="0"/>
        <w:jc w:val="both"/>
      </w:pPr>
      <w:bookmarkStart w:id="224" w:name="bookmark224"/>
      <w:bookmarkEnd w:id="224"/>
      <w:r>
        <w:rPr>
          <w:color w:val="000000"/>
          <w:spacing w:val="0"/>
          <w:w w:val="100"/>
          <w:position w:val="0"/>
        </w:rPr>
        <w:t>公司的发展规划</w:t>
      </w:r>
    </w:p>
    <w:p>
      <w:pPr>
        <w:pStyle w:val="Style35"/>
        <w:keepNext w:val="0"/>
        <w:keepLines w:val="0"/>
        <w:widowControl w:val="0"/>
        <w:shd w:val="clear" w:color="auto" w:fill="auto"/>
        <w:bidi w:val="0"/>
        <w:spacing w:before="0" w:after="40" w:line="314" w:lineRule="exact"/>
        <w:ind w:left="740" w:right="0" w:firstLine="360"/>
        <w:jc w:val="both"/>
      </w:pPr>
      <w:r>
        <w:rPr>
          <w:color w:val="000000"/>
          <w:spacing w:val="0"/>
          <w:w w:val="100"/>
          <w:position w:val="0"/>
        </w:rPr>
        <w:t>公司将继续坚持“高端制造业</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高端服务业</w:t>
      </w:r>
      <w:r>
        <w:rPr>
          <w:rFonts w:ascii="Times New Roman" w:eastAsia="Times New Roman" w:hAnsi="Times New Roman" w:cs="Times New Roman"/>
          <w:color w:val="000000"/>
          <w:spacing w:val="0"/>
          <w:w w:val="100"/>
          <w:position w:val="0"/>
        </w:rPr>
        <w:t>”</w:t>
      </w:r>
      <w:r>
        <w:rPr>
          <w:color w:val="000000"/>
          <w:spacing w:val="0"/>
          <w:w w:val="100"/>
          <w:position w:val="0"/>
        </w:rPr>
        <w:t>双轮驱动的战略定位，以市场为导向，夯实核心竞争优势，保持开放的 心态和国际化视野，不断探索新时期的商业模式，动态布局未来产业，持续完善企业发展机制，逐步将公司打造为</w:t>
      </w:r>
      <w:r>
        <w:rPr>
          <w:rFonts w:ascii="Times New Roman" w:eastAsia="Times New Roman" w:hAnsi="Times New Roman" w:cs="Times New Roman"/>
          <w:color w:val="000000"/>
          <w:spacing w:val="0"/>
          <w:w w:val="100"/>
          <w:position w:val="0"/>
        </w:rPr>
        <w:t>“</w:t>
      </w:r>
      <w:r>
        <w:rPr>
          <w:color w:val="000000"/>
          <w:spacing w:val="0"/>
          <w:w w:val="100"/>
          <w:position w:val="0"/>
        </w:rPr>
        <w:t>高端制 造业</w:t>
      </w:r>
      <w:r>
        <w:rPr>
          <w:rFonts w:ascii="Times New Roman" w:eastAsia="Times New Roman" w:hAnsi="Times New Roman" w:cs="Times New Roman"/>
          <w:color w:val="000000"/>
          <w:spacing w:val="0"/>
          <w:w w:val="100"/>
          <w:position w:val="0"/>
        </w:rPr>
        <w:t>”</w:t>
      </w:r>
      <w:r>
        <w:rPr>
          <w:color w:val="000000"/>
          <w:spacing w:val="0"/>
          <w:w w:val="100"/>
          <w:position w:val="0"/>
        </w:rPr>
        <w:t>与</w:t>
      </w:r>
      <w:r>
        <w:rPr>
          <w:rFonts w:ascii="Times New Roman" w:eastAsia="Times New Roman" w:hAnsi="Times New Roman" w:cs="Times New Roman"/>
          <w:color w:val="000000"/>
          <w:spacing w:val="0"/>
          <w:w w:val="100"/>
          <w:position w:val="0"/>
        </w:rPr>
        <w:t>“</w:t>
      </w:r>
      <w:r>
        <w:rPr>
          <w:color w:val="000000"/>
          <w:spacing w:val="0"/>
          <w:w w:val="100"/>
          <w:position w:val="0"/>
        </w:rPr>
        <w:t>高端服务业</w:t>
      </w:r>
      <w:r>
        <w:rPr>
          <w:rFonts w:ascii="Times New Roman" w:eastAsia="Times New Roman" w:hAnsi="Times New Roman" w:cs="Times New Roman"/>
          <w:color w:val="000000"/>
          <w:spacing w:val="0"/>
          <w:w w:val="100"/>
          <w:position w:val="0"/>
        </w:rPr>
        <w:t>”</w:t>
      </w:r>
      <w:r>
        <w:rPr>
          <w:color w:val="000000"/>
          <w:spacing w:val="0"/>
          <w:w w:val="100"/>
          <w:position w:val="0"/>
        </w:rPr>
        <w:t>并重发展的集自主研发、生产、销售及服务为一体的创新型高科技企业，向着“成为全球货币处理设 备及系统解决方案第一品牌”的愿景迈进。</w:t>
      </w:r>
    </w:p>
    <w:p>
      <w:pPr>
        <w:pStyle w:val="Style35"/>
        <w:keepNext w:val="0"/>
        <w:keepLines w:val="0"/>
        <w:widowControl w:val="0"/>
        <w:numPr>
          <w:ilvl w:val="0"/>
          <w:numId w:val="7"/>
        </w:numPr>
        <w:shd w:val="clear" w:color="auto" w:fill="auto"/>
        <w:tabs>
          <w:tab w:pos="1578" w:val="left"/>
        </w:tabs>
        <w:bidi w:val="0"/>
        <w:spacing w:before="0" w:after="40" w:line="313" w:lineRule="exact"/>
        <w:ind w:left="1100" w:right="0" w:firstLine="0"/>
        <w:jc w:val="both"/>
      </w:pPr>
      <w:bookmarkStart w:id="225" w:name="bookmark225"/>
      <w:bookmarkEnd w:id="225"/>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5"/>
        <w:keepNext w:val="0"/>
        <w:keepLines w:val="0"/>
        <w:widowControl w:val="0"/>
        <w:shd w:val="clear" w:color="auto" w:fill="auto"/>
        <w:bidi w:val="0"/>
        <w:spacing w:before="0" w:after="40" w:line="313" w:lineRule="exact"/>
        <w:ind w:left="740" w:right="0" w:firstLine="3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年，公司将紧紧围绕</w:t>
      </w:r>
      <w:r>
        <w:rPr>
          <w:rFonts w:ascii="Times New Roman" w:eastAsia="Times New Roman" w:hAnsi="Times New Roman" w:cs="Times New Roman"/>
          <w:color w:val="000000"/>
          <w:spacing w:val="0"/>
          <w:w w:val="100"/>
          <w:position w:val="0"/>
        </w:rPr>
        <w:t>“</w:t>
      </w:r>
      <w:r>
        <w:rPr>
          <w:color w:val="000000"/>
          <w:spacing w:val="0"/>
          <w:w w:val="100"/>
          <w:position w:val="0"/>
        </w:rPr>
        <w:t>产业与资本双轮驱动，服务与制造并驾齐驱</w:t>
      </w:r>
      <w:r>
        <w:rPr>
          <w:rFonts w:ascii="Times New Roman" w:eastAsia="Times New Roman" w:hAnsi="Times New Roman" w:cs="Times New Roman"/>
          <w:color w:val="000000"/>
          <w:spacing w:val="0"/>
          <w:w w:val="100"/>
          <w:position w:val="0"/>
        </w:rPr>
        <w:t>”</w:t>
      </w:r>
      <w:r>
        <w:rPr>
          <w:color w:val="000000"/>
          <w:spacing w:val="0"/>
          <w:w w:val="100"/>
          <w:position w:val="0"/>
        </w:rPr>
        <w:t>的年度经营主题，以核心技术为基础，充分发挥 同心多元化的优势，通过内延式发展、资本运作两种方式驱动：在传统业务增长上，重点突破，推进降成本、增效益的精益 管理，加速</w:t>
      </w:r>
      <w:r>
        <w:rPr>
          <w:rFonts w:ascii="Times New Roman" w:eastAsia="Times New Roman" w:hAnsi="Times New Roman" w:cs="Times New Roman"/>
          <w:color w:val="000000"/>
          <w:spacing w:val="0"/>
          <w:w w:val="100"/>
          <w:position w:val="0"/>
        </w:rPr>
        <w:t>AFC</w:t>
      </w:r>
      <w:r>
        <w:rPr>
          <w:color w:val="000000"/>
          <w:spacing w:val="0"/>
          <w:w w:val="100"/>
          <w:position w:val="0"/>
        </w:rPr>
        <w:t>模块业务拓展，积极突破海外重点区域市场等工作；在新业务增长上，突破思维定势，做好清分机、</w:t>
      </w:r>
      <w:r>
        <w:rPr>
          <w:rFonts w:ascii="Times New Roman" w:eastAsia="Times New Roman" w:hAnsi="Times New Roman" w:cs="Times New Roman"/>
          <w:color w:val="000000"/>
          <w:spacing w:val="0"/>
          <w:w w:val="100"/>
          <w:position w:val="0"/>
        </w:rPr>
        <w:t xml:space="preserve">VTM </w:t>
      </w:r>
      <w:r>
        <w:rPr>
          <w:color w:val="000000"/>
          <w:spacing w:val="0"/>
          <w:w w:val="100"/>
          <w:position w:val="0"/>
        </w:rPr>
        <w:t>等业务的持续突破，持续培育新业务，并积极探索金融服务外包扩张模式，系统性推动公司全产业链的升级与发展，在新一 轮的全球市场激烈竞争中实现跨越式持续增长。</w:t>
      </w:r>
    </w:p>
    <w:p>
      <w:pPr>
        <w:pStyle w:val="Style35"/>
        <w:keepNext w:val="0"/>
        <w:keepLines w:val="0"/>
        <w:widowControl w:val="0"/>
        <w:shd w:val="clear" w:color="auto" w:fill="auto"/>
        <w:bidi w:val="0"/>
        <w:spacing w:before="0" w:line="313" w:lineRule="exact"/>
        <w:ind w:left="1100" w:right="0" w:firstLine="0"/>
        <w:jc w:val="both"/>
      </w:pPr>
      <w:r>
        <w:rPr>
          <w:color w:val="000000"/>
          <w:spacing w:val="0"/>
          <w:w w:val="100"/>
          <w:position w:val="0"/>
        </w:rPr>
        <w:t>重点做好以下几个方面的工作：</w:t>
      </w:r>
    </w:p>
    <w:p>
      <w:pPr>
        <w:pStyle w:val="Style35"/>
        <w:keepNext w:val="0"/>
        <w:keepLines w:val="0"/>
        <w:widowControl w:val="0"/>
        <w:shd w:val="clear" w:color="auto" w:fill="auto"/>
        <w:bidi w:val="0"/>
        <w:spacing w:before="0" w:after="0"/>
        <w:ind w:left="1100" w:right="0" w:firstLine="0"/>
        <w:jc w:val="both"/>
      </w:pPr>
      <w:bookmarkStart w:id="226" w:name="bookmark226"/>
      <w:r>
        <w:rPr>
          <w:rFonts w:ascii="Times New Roman" w:eastAsia="Times New Roman" w:hAnsi="Times New Roman" w:cs="Times New Roman"/>
          <w:color w:val="000000"/>
          <w:spacing w:val="0"/>
          <w:w w:val="100"/>
          <w:position w:val="0"/>
        </w:rPr>
        <w:t>1</w:t>
      </w:r>
      <w:bookmarkEnd w:id="226"/>
      <w:r>
        <w:rPr>
          <w:color w:val="000000"/>
          <w:spacing w:val="0"/>
          <w:w w:val="100"/>
          <w:position w:val="0"/>
        </w:rPr>
        <w:t>、制造业</w:t>
      </w:r>
    </w:p>
    <w:p>
      <w:pPr>
        <w:pStyle w:val="Style35"/>
        <w:keepNext w:val="0"/>
        <w:keepLines w:val="0"/>
        <w:widowControl w:val="0"/>
        <w:numPr>
          <w:ilvl w:val="0"/>
          <w:numId w:val="9"/>
        </w:numPr>
        <w:shd w:val="clear" w:color="auto" w:fill="auto"/>
        <w:tabs>
          <w:tab w:pos="1491" w:val="left"/>
        </w:tabs>
        <w:bidi w:val="0"/>
        <w:spacing w:before="0" w:after="40" w:line="313" w:lineRule="exact"/>
        <w:ind w:left="1100" w:right="0" w:firstLine="0"/>
        <w:jc w:val="both"/>
      </w:pPr>
      <w:bookmarkStart w:id="227" w:name="bookmark227"/>
      <w:bookmarkEnd w:id="227"/>
      <w:r>
        <w:rPr>
          <w:color w:val="000000"/>
          <w:spacing w:val="0"/>
          <w:w w:val="100"/>
          <w:position w:val="0"/>
        </w:rPr>
        <w:t>全力突破大行，提升存取款一体机市场占有率</w:t>
      </w:r>
    </w:p>
    <w:p>
      <w:pPr>
        <w:pStyle w:val="Style35"/>
        <w:keepNext w:val="0"/>
        <w:keepLines w:val="0"/>
        <w:widowControl w:val="0"/>
        <w:shd w:val="clear" w:color="auto" w:fill="auto"/>
        <w:bidi w:val="0"/>
        <w:spacing w:before="0" w:after="40" w:line="310" w:lineRule="exact"/>
        <w:ind w:left="740" w:right="0" w:firstLine="360"/>
        <w:jc w:val="both"/>
      </w:pPr>
      <w:r>
        <w:rPr>
          <w:color w:val="000000"/>
          <w:spacing w:val="0"/>
          <w:w w:val="100"/>
          <w:position w:val="0"/>
        </w:rPr>
        <w:t>优化营销策略，加强行业组管理，扎实做好立体化营销基础工作，深化各层面客户关系；加强高端策划，进一步增强总 行层面的技术影响力，促进品牌认可度提升，为重点行业入围创造条件；持续挖掘存取款一体机应用优势，集中力量突破大 行，提升存取款一体机市场占有率。营销、研发、服务联动，深耕区域市场，借助渠道拓展、创新产品试点、增值服务等多 样化手段，积极突破区域空白、难点市场。继续推进</w:t>
      </w:r>
      <w:r>
        <w:rPr>
          <w:rFonts w:ascii="Times New Roman" w:eastAsia="Times New Roman" w:hAnsi="Times New Roman" w:cs="Times New Roman"/>
          <w:color w:val="000000"/>
          <w:spacing w:val="0"/>
          <w:w w:val="100"/>
          <w:position w:val="0"/>
        </w:rPr>
        <w:t>VTM</w:t>
      </w:r>
      <w:r>
        <w:rPr>
          <w:color w:val="000000"/>
          <w:spacing w:val="0"/>
          <w:w w:val="100"/>
          <w:position w:val="0"/>
        </w:rPr>
        <w:t>大行测试与入围工作，扩大市场领先优势；重点推广</w:t>
      </w:r>
      <w:r>
        <w:rPr>
          <w:rFonts w:ascii="Times New Roman" w:eastAsia="Times New Roman" w:hAnsi="Times New Roman" w:cs="Times New Roman"/>
          <w:color w:val="000000"/>
          <w:spacing w:val="0"/>
          <w:w w:val="100"/>
          <w:position w:val="0"/>
        </w:rPr>
        <w:t>P2800</w:t>
      </w:r>
      <w:r>
        <w:rPr>
          <w:color w:val="000000"/>
          <w:spacing w:val="0"/>
          <w:w w:val="100"/>
          <w:position w:val="0"/>
        </w:rPr>
        <w:t>大额现 金高速存款方案，力争总行层面突破；积极应对</w:t>
      </w:r>
      <w:r>
        <w:rPr>
          <w:rFonts w:ascii="Times New Roman" w:eastAsia="Times New Roman" w:hAnsi="Times New Roman" w:cs="Times New Roman"/>
          <w:color w:val="000000"/>
          <w:spacing w:val="0"/>
          <w:w w:val="100"/>
          <w:position w:val="0"/>
        </w:rPr>
        <w:t>H90</w:t>
      </w:r>
      <w:r>
        <w:rPr>
          <w:color w:val="000000"/>
          <w:spacing w:val="0"/>
          <w:w w:val="100"/>
          <w:position w:val="0"/>
        </w:rPr>
        <w:t>、</w:t>
      </w:r>
      <w:r>
        <w:rPr>
          <w:rFonts w:ascii="Times New Roman" w:eastAsia="Times New Roman" w:hAnsi="Times New Roman" w:cs="Times New Roman"/>
          <w:color w:val="000000"/>
          <w:spacing w:val="0"/>
          <w:w w:val="100"/>
          <w:position w:val="0"/>
        </w:rPr>
        <w:t>H38N-XDM</w:t>
      </w:r>
      <w:r>
        <w:rPr>
          <w:color w:val="000000"/>
          <w:spacing w:val="0"/>
          <w:w w:val="100"/>
          <w:position w:val="0"/>
        </w:rPr>
        <w:t>等产品的细分市场需求。</w:t>
      </w:r>
    </w:p>
    <w:p>
      <w:pPr>
        <w:pStyle w:val="Style35"/>
        <w:keepNext w:val="0"/>
        <w:keepLines w:val="0"/>
        <w:widowControl w:val="0"/>
        <w:numPr>
          <w:ilvl w:val="0"/>
          <w:numId w:val="9"/>
        </w:numPr>
        <w:shd w:val="clear" w:color="auto" w:fill="auto"/>
        <w:tabs>
          <w:tab w:pos="1491" w:val="left"/>
        </w:tabs>
        <w:bidi w:val="0"/>
        <w:spacing w:before="0" w:after="40" w:line="313" w:lineRule="exact"/>
        <w:ind w:left="1100" w:right="0" w:firstLine="0"/>
        <w:jc w:val="both"/>
      </w:pPr>
      <w:bookmarkStart w:id="228" w:name="bookmark228"/>
      <w:bookmarkEnd w:id="228"/>
      <w:r>
        <w:rPr>
          <w:color w:val="000000"/>
          <w:spacing w:val="0"/>
          <w:w w:val="100"/>
          <w:position w:val="0"/>
        </w:rPr>
        <w:t>突破清分机关键市场，迅速扩大行业影响力</w:t>
      </w:r>
    </w:p>
    <w:p>
      <w:pPr>
        <w:pStyle w:val="Style35"/>
        <w:keepNext w:val="0"/>
        <w:keepLines w:val="0"/>
        <w:widowControl w:val="0"/>
        <w:shd w:val="clear" w:color="auto" w:fill="auto"/>
        <w:bidi w:val="0"/>
        <w:spacing w:before="0" w:after="40" w:line="312" w:lineRule="exact"/>
        <w:ind w:left="740" w:right="0" w:firstLine="360"/>
        <w:jc w:val="both"/>
      </w:pPr>
      <w:r>
        <w:rPr>
          <w:color w:val="000000"/>
          <w:spacing w:val="0"/>
          <w:w w:val="100"/>
          <w:position w:val="0"/>
        </w:rPr>
        <w:t>强化营销网络建设，在已入围的行业内做大做强；做好清分机产品在其他国有大行以及股份制银行的测试与投标工作； 完善渠道政策，深化渠道建设；深入挖掘农信市场的潜力；加大技术培训投入，进一步提升售后服务保障能力；扩大品牌影 响力。</w:t>
      </w:r>
    </w:p>
    <w:p>
      <w:pPr>
        <w:pStyle w:val="Style35"/>
        <w:keepNext w:val="0"/>
        <w:keepLines w:val="0"/>
        <w:widowControl w:val="0"/>
        <w:numPr>
          <w:ilvl w:val="0"/>
          <w:numId w:val="9"/>
        </w:numPr>
        <w:shd w:val="clear" w:color="auto" w:fill="auto"/>
        <w:tabs>
          <w:tab w:pos="1491" w:val="left"/>
        </w:tabs>
        <w:bidi w:val="0"/>
        <w:spacing w:before="0" w:after="40" w:line="313" w:lineRule="exact"/>
        <w:ind w:left="1100" w:right="0" w:firstLine="0"/>
        <w:jc w:val="both"/>
      </w:pPr>
      <w:bookmarkStart w:id="229" w:name="bookmark229"/>
      <w:bookmarkEnd w:id="229"/>
      <w:r>
        <w:rPr>
          <w:color w:val="000000"/>
          <w:spacing w:val="0"/>
          <w:w w:val="100"/>
          <w:position w:val="0"/>
        </w:rPr>
        <w:t>深耕海外重点区域，实现业务可持续发展</w:t>
      </w:r>
    </w:p>
    <w:p>
      <w:pPr>
        <w:pStyle w:val="Style35"/>
        <w:keepNext w:val="0"/>
        <w:keepLines w:val="0"/>
        <w:widowControl w:val="0"/>
        <w:shd w:val="clear" w:color="auto" w:fill="auto"/>
        <w:bidi w:val="0"/>
        <w:spacing w:before="0" w:after="40" w:line="312" w:lineRule="exact"/>
        <w:ind w:left="740" w:right="0" w:firstLine="360"/>
        <w:jc w:val="both"/>
      </w:pPr>
      <w:r>
        <w:rPr>
          <w:color w:val="000000"/>
          <w:spacing w:val="0"/>
          <w:w w:val="100"/>
          <w:position w:val="0"/>
        </w:rPr>
        <w:t>持续深化系统布局，实行重点市场、重点投入、重点突破的市场策略，深入拓展土耳其、伊朗、泰国、越南、沙特、德 国等各区域重点市场，重点推广</w:t>
      </w:r>
      <w:r>
        <w:rPr>
          <w:rFonts w:ascii="Times New Roman" w:eastAsia="Times New Roman" w:hAnsi="Times New Roman" w:cs="Times New Roman"/>
          <w:color w:val="000000"/>
          <w:spacing w:val="0"/>
          <w:w w:val="100"/>
          <w:position w:val="0"/>
        </w:rPr>
        <w:t>N</w:t>
      </w:r>
      <w:r>
        <w:rPr>
          <w:color w:val="000000"/>
          <w:spacing w:val="0"/>
          <w:w w:val="100"/>
          <w:position w:val="0"/>
        </w:rPr>
        <w:t>系列等成熟产品，注重清分机、</w:t>
      </w:r>
      <w:r>
        <w:rPr>
          <w:rFonts w:ascii="Times New Roman" w:eastAsia="Times New Roman" w:hAnsi="Times New Roman" w:cs="Times New Roman"/>
          <w:color w:val="000000"/>
          <w:spacing w:val="0"/>
          <w:w w:val="100"/>
          <w:position w:val="0"/>
        </w:rPr>
        <w:t>VTM</w:t>
      </w:r>
      <w:r>
        <w:rPr>
          <w:color w:val="000000"/>
          <w:spacing w:val="0"/>
          <w:w w:val="100"/>
          <w:position w:val="0"/>
        </w:rPr>
        <w:t>、</w:t>
      </w:r>
      <w:r>
        <w:rPr>
          <w:rFonts w:ascii="Times New Roman" w:eastAsia="Times New Roman" w:hAnsi="Times New Roman" w:cs="Times New Roman"/>
          <w:color w:val="000000"/>
          <w:spacing w:val="0"/>
          <w:w w:val="100"/>
          <w:position w:val="0"/>
        </w:rPr>
        <w:t>P</w:t>
      </w:r>
      <w:r>
        <w:rPr>
          <w:color w:val="000000"/>
          <w:spacing w:val="0"/>
          <w:w w:val="100"/>
          <w:position w:val="0"/>
        </w:rPr>
        <w:t>系列新产品业务模式和市场的选择，实现批量订 单或重要客户入围，培育可持续发展能力。构建海外渠道管理体系，从渠道引入、管控、激励等方面建设长期合作机制，并 继续引进本地化高端人才，构建本地化管理体系，提升业务拓展的持续性。</w:t>
      </w:r>
    </w:p>
    <w:p>
      <w:pPr>
        <w:pStyle w:val="Style35"/>
        <w:keepNext w:val="0"/>
        <w:keepLines w:val="0"/>
        <w:widowControl w:val="0"/>
        <w:numPr>
          <w:ilvl w:val="0"/>
          <w:numId w:val="9"/>
        </w:numPr>
        <w:shd w:val="clear" w:color="auto" w:fill="auto"/>
        <w:tabs>
          <w:tab w:pos="1491" w:val="left"/>
        </w:tabs>
        <w:bidi w:val="0"/>
        <w:spacing w:before="0" w:after="40" w:line="313" w:lineRule="exact"/>
        <w:ind w:left="1100" w:right="0" w:firstLine="0"/>
        <w:jc w:val="both"/>
      </w:pPr>
      <w:bookmarkStart w:id="230" w:name="bookmark230"/>
      <w:bookmarkEnd w:id="230"/>
      <w:r>
        <w:rPr>
          <w:color w:val="000000"/>
          <w:spacing w:val="0"/>
          <w:w w:val="100"/>
          <w:position w:val="0"/>
        </w:rPr>
        <w:t>明晰营销思路，打造</w:t>
      </w:r>
      <w:r>
        <w:rPr>
          <w:rFonts w:ascii="Times New Roman" w:eastAsia="Times New Roman" w:hAnsi="Times New Roman" w:cs="Times New Roman"/>
          <w:color w:val="000000"/>
          <w:spacing w:val="0"/>
          <w:w w:val="100"/>
          <w:position w:val="0"/>
        </w:rPr>
        <w:t>AFC</w:t>
      </w:r>
      <w:r>
        <w:rPr>
          <w:color w:val="000000"/>
          <w:spacing w:val="0"/>
          <w:w w:val="100"/>
          <w:position w:val="0"/>
        </w:rPr>
        <w:t>模块行业领先地位</w:t>
      </w:r>
    </w:p>
    <w:p>
      <w:pPr>
        <w:pStyle w:val="Style35"/>
        <w:keepNext w:val="0"/>
        <w:keepLines w:val="0"/>
        <w:widowControl w:val="0"/>
        <w:shd w:val="clear" w:color="auto" w:fill="auto"/>
        <w:bidi w:val="0"/>
        <w:spacing w:before="0" w:after="40" w:line="314" w:lineRule="exact"/>
        <w:ind w:left="740" w:right="0" w:firstLine="360"/>
        <w:jc w:val="both"/>
      </w:pPr>
      <w:r>
        <w:rPr>
          <w:color w:val="000000"/>
          <w:spacing w:val="0"/>
          <w:w w:val="100"/>
          <w:position w:val="0"/>
        </w:rPr>
        <w:t>围绕地铁、高铁</w:t>
      </w:r>
      <w:r>
        <w:rPr>
          <w:rFonts w:ascii="Times New Roman" w:eastAsia="Times New Roman" w:hAnsi="Times New Roman" w:cs="Times New Roman"/>
          <w:color w:val="000000"/>
          <w:spacing w:val="0"/>
          <w:w w:val="100"/>
          <w:position w:val="0"/>
        </w:rPr>
        <w:t>AFC</w:t>
      </w:r>
      <w:r>
        <w:rPr>
          <w:color w:val="000000"/>
          <w:spacing w:val="0"/>
          <w:w w:val="100"/>
          <w:position w:val="0"/>
        </w:rPr>
        <w:t>核心模块业务主线，聚焦北上广及南京、杭州、长沙等重点市场，加强营销基础工作，多维度开展 与新老业主的沟通和紧密合作；加强区域伙伴合作，密切关注珠三角等城际轨道市场机遇；加强与港铁各层次的交流互动， 深挖市场潜力，利用港铁项目的影响力，重点向两岸四地和东南亚进行项目渗透，持续巩固和提升公司</w:t>
      </w:r>
      <w:r>
        <w:rPr>
          <w:rFonts w:ascii="Times New Roman" w:eastAsia="Times New Roman" w:hAnsi="Times New Roman" w:cs="Times New Roman"/>
          <w:color w:val="000000"/>
          <w:spacing w:val="0"/>
          <w:w w:val="100"/>
          <w:position w:val="0"/>
        </w:rPr>
        <w:t>AFC</w:t>
      </w:r>
      <w:r>
        <w:rPr>
          <w:color w:val="000000"/>
          <w:spacing w:val="0"/>
          <w:w w:val="100"/>
          <w:position w:val="0"/>
        </w:rPr>
        <w:t>整机及核心模块 在地铁、高铁的市场地位。深挖系统集成及零售市场机会，深化客户需求，做好市场布局，在产品定位和产品策略方面形成 一套纲领性的指导文件，积极拓展新业务，寻找新的利润增长点。</w:t>
      </w:r>
    </w:p>
    <w:p>
      <w:pPr>
        <w:pStyle w:val="Style35"/>
        <w:keepNext w:val="0"/>
        <w:keepLines w:val="0"/>
        <w:widowControl w:val="0"/>
        <w:numPr>
          <w:ilvl w:val="0"/>
          <w:numId w:val="9"/>
        </w:numPr>
        <w:shd w:val="clear" w:color="auto" w:fill="auto"/>
        <w:tabs>
          <w:tab w:pos="1491" w:val="left"/>
        </w:tabs>
        <w:bidi w:val="0"/>
        <w:spacing w:before="0" w:after="40" w:line="313" w:lineRule="exact"/>
        <w:ind w:left="1100" w:right="0" w:firstLine="0"/>
        <w:jc w:val="both"/>
      </w:pPr>
      <w:bookmarkStart w:id="231" w:name="bookmark231"/>
      <w:bookmarkEnd w:id="231"/>
      <w:r>
        <w:rPr>
          <w:color w:val="000000"/>
          <w:spacing w:val="0"/>
          <w:w w:val="100"/>
          <w:position w:val="0"/>
        </w:rPr>
        <w:t>深化核心技术研发，持续探索新领域</w:t>
      </w:r>
    </w:p>
    <w:p>
      <w:pPr>
        <w:pStyle w:val="Style35"/>
        <w:keepNext w:val="0"/>
        <w:keepLines w:val="0"/>
        <w:widowControl w:val="0"/>
        <w:shd w:val="clear" w:color="auto" w:fill="auto"/>
        <w:bidi w:val="0"/>
        <w:spacing w:before="0" w:after="40" w:line="314" w:lineRule="exact"/>
        <w:ind w:left="740" w:right="0" w:firstLine="360"/>
        <w:jc w:val="both"/>
      </w:pPr>
      <w:r>
        <w:rPr>
          <w:color w:val="000000"/>
          <w:spacing w:val="0"/>
          <w:w w:val="100"/>
          <w:position w:val="0"/>
        </w:rPr>
        <w:t>组建技术预研和技术平台专业团队，重点开展关键技术预研课题，搭建若干技术和产品平台，提升技术储备；在主导知 识产权的前提下，积极开展技术合作开发，外部成熟技术直接引用，加速产品升级；继续开展研发管理平台建设，完善项目 流程、行为规范和激励机制；注重技术经验传承与质量意识沉淀，持续推进研发文化建设；深度挖掘银行现金业务链，密切 关注移动互联网等新技术趋势，探索新业务机会。</w:t>
      </w:r>
    </w:p>
    <w:p>
      <w:pPr>
        <w:pStyle w:val="Style35"/>
        <w:keepNext w:val="0"/>
        <w:keepLines w:val="0"/>
        <w:widowControl w:val="0"/>
        <w:shd w:val="clear" w:color="auto" w:fill="auto"/>
        <w:bidi w:val="0"/>
        <w:spacing w:before="0" w:after="0" w:line="312" w:lineRule="exact"/>
        <w:ind w:left="1100" w:right="0" w:firstLine="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6</w:t>
      </w:r>
      <w:r>
        <w:rPr>
          <w:color w:val="000000"/>
          <w:spacing w:val="0"/>
          <w:w w:val="100"/>
          <w:position w:val="0"/>
        </w:rPr>
        <w:t>）依托信息化平台，全面提升精益制造能力</w:t>
      </w:r>
    </w:p>
    <w:p>
      <w:pPr>
        <w:pStyle w:val="Style35"/>
        <w:keepNext w:val="0"/>
        <w:keepLines w:val="0"/>
        <w:widowControl w:val="0"/>
        <w:shd w:val="clear" w:color="auto" w:fill="auto"/>
        <w:bidi w:val="0"/>
        <w:spacing w:before="0" w:after="0" w:line="317" w:lineRule="exact"/>
        <w:ind w:left="740" w:right="0" w:firstLine="360"/>
        <w:jc w:val="both"/>
      </w:pPr>
      <w:r>
        <w:rPr>
          <w:color w:val="000000"/>
          <w:spacing w:val="0"/>
          <w:w w:val="100"/>
          <w:position w:val="0"/>
        </w:rPr>
        <w:t>结合</w:t>
      </w:r>
      <w:r>
        <w:rPr>
          <w:rFonts w:ascii="Times New Roman" w:eastAsia="Times New Roman" w:hAnsi="Times New Roman" w:cs="Times New Roman"/>
          <w:color w:val="000000"/>
          <w:spacing w:val="0"/>
          <w:w w:val="100"/>
          <w:position w:val="0"/>
        </w:rPr>
        <w:t>ERP</w:t>
      </w:r>
      <w:r>
        <w:rPr>
          <w:color w:val="000000"/>
          <w:spacing w:val="0"/>
          <w:w w:val="100"/>
          <w:position w:val="0"/>
        </w:rPr>
        <w:t>系统应用，推进生产各环节精益化管理，加大</w:t>
      </w:r>
      <w:r>
        <w:rPr>
          <w:rFonts w:ascii="Times New Roman" w:eastAsia="Times New Roman" w:hAnsi="Times New Roman" w:cs="Times New Roman"/>
          <w:color w:val="000000"/>
          <w:spacing w:val="0"/>
          <w:w w:val="100"/>
          <w:position w:val="0"/>
        </w:rPr>
        <w:t>VMI</w:t>
      </w:r>
      <w:r>
        <w:rPr>
          <w:color w:val="000000"/>
          <w:spacing w:val="0"/>
          <w:w w:val="100"/>
          <w:position w:val="0"/>
        </w:rPr>
        <w:t>管理模式推行力度，进一步提升库存周转率；提高设计变更 批量导入效率，加强试制过程管控，引入量化评估方法，推广计件生产；优化供应链管控策略，持续构建良性竞争格局，供 应链质量管控由现状管理向生命周期管理转变；梳理岗位质量要求，建立全过程质量监管体系，扩展</w:t>
      </w:r>
      <w:r>
        <w:rPr>
          <w:rFonts w:ascii="Times New Roman" w:eastAsia="Times New Roman" w:hAnsi="Times New Roman" w:cs="Times New Roman"/>
          <w:color w:val="000000"/>
          <w:spacing w:val="0"/>
          <w:w w:val="100"/>
          <w:position w:val="0"/>
        </w:rPr>
        <w:t>FMEA</w:t>
      </w:r>
      <w:r>
        <w:rPr>
          <w:color w:val="000000"/>
          <w:spacing w:val="0"/>
          <w:w w:val="100"/>
          <w:position w:val="0"/>
        </w:rPr>
        <w:t xml:space="preserve">, </w:t>
      </w:r>
      <w:r>
        <w:rPr>
          <w:rFonts w:ascii="Times New Roman" w:eastAsia="Times New Roman" w:hAnsi="Times New Roman" w:cs="Times New Roman"/>
          <w:color w:val="000000"/>
          <w:spacing w:val="0"/>
          <w:w w:val="100"/>
          <w:position w:val="0"/>
        </w:rPr>
        <w:t>FTA</w:t>
      </w:r>
      <w:r>
        <w:rPr>
          <w:color w:val="000000"/>
          <w:spacing w:val="0"/>
          <w:w w:val="100"/>
          <w:position w:val="0"/>
        </w:rPr>
        <w:t>工具应用， 推进质量可靠性专项改进，积极推进质量成本核算与考核。</w:t>
      </w:r>
    </w:p>
    <w:p>
      <w:pPr>
        <w:pStyle w:val="Style35"/>
        <w:keepNext w:val="0"/>
        <w:keepLines w:val="0"/>
        <w:widowControl w:val="0"/>
        <w:shd w:val="clear" w:color="auto" w:fill="auto"/>
        <w:bidi w:val="0"/>
        <w:spacing w:before="0" w:after="0" w:line="312" w:lineRule="exact"/>
        <w:ind w:left="1280" w:right="0" w:firstLine="0"/>
        <w:jc w:val="left"/>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、服务业</w:t>
      </w:r>
    </w:p>
    <w:p>
      <w:pPr>
        <w:pStyle w:val="Style35"/>
        <w:keepNext w:val="0"/>
        <w:keepLines w:val="0"/>
        <w:widowControl w:val="0"/>
        <w:shd w:val="clear" w:color="auto" w:fill="auto"/>
        <w:tabs>
          <w:tab w:pos="1497" w:val="left"/>
        </w:tabs>
        <w:bidi w:val="0"/>
        <w:spacing w:before="0" w:after="0" w:line="312" w:lineRule="exact"/>
        <w:ind w:left="1100" w:right="0" w:firstLine="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w:t>
        <w:tab/>
        <w:t>提升一线服务能力，持续打造维保服务优势</w:t>
      </w:r>
    </w:p>
    <w:p>
      <w:pPr>
        <w:pStyle w:val="Style35"/>
        <w:keepNext w:val="0"/>
        <w:keepLines w:val="0"/>
        <w:widowControl w:val="0"/>
        <w:shd w:val="clear" w:color="auto" w:fill="auto"/>
        <w:bidi w:val="0"/>
        <w:spacing w:before="0" w:after="0" w:line="315" w:lineRule="exact"/>
        <w:ind w:left="740" w:right="0" w:firstLine="360"/>
        <w:jc w:val="both"/>
      </w:pPr>
      <w:r>
        <w:rPr>
          <w:color w:val="000000"/>
          <w:spacing w:val="0"/>
          <w:w w:val="100"/>
          <w:position w:val="0"/>
        </w:rPr>
        <w:t>统筹制定重点客户保障方案，开展集中监控、统一调度、统一指挥、统一管理的智能服务试点；加强驻行式</w:t>
      </w:r>
      <w:r>
        <w:rPr>
          <w:rFonts w:ascii="Times New Roman" w:eastAsia="Times New Roman" w:hAnsi="Times New Roman" w:cs="Times New Roman"/>
          <w:color w:val="000000"/>
          <w:spacing w:val="0"/>
          <w:w w:val="100"/>
          <w:position w:val="0"/>
        </w:rPr>
        <w:t>AOC</w:t>
      </w:r>
      <w:r>
        <w:rPr>
          <w:color w:val="000000"/>
          <w:spacing w:val="0"/>
          <w:w w:val="100"/>
          <w:position w:val="0"/>
        </w:rPr>
        <w:t>推广， 提高集中监控业务覆盖率，变被动响应为主动响应；加强对区域服务的管理、监督，以客户满意为导向，结合联动考核机制 促进服务质量与效率提升；进一步完善</w:t>
      </w:r>
      <w:r>
        <w:rPr>
          <w:rFonts w:ascii="Times New Roman" w:eastAsia="Times New Roman" w:hAnsi="Times New Roman" w:cs="Times New Roman"/>
          <w:color w:val="000000"/>
          <w:spacing w:val="0"/>
          <w:w w:val="100"/>
          <w:position w:val="0"/>
        </w:rPr>
        <w:t>MA</w:t>
      </w:r>
      <w:r>
        <w:rPr>
          <w:color w:val="000000"/>
          <w:spacing w:val="0"/>
          <w:w w:val="100"/>
          <w:position w:val="0"/>
        </w:rPr>
        <w:t>等信息管理平台，推进</w:t>
      </w:r>
      <w:r>
        <w:rPr>
          <w:rFonts w:ascii="Times New Roman" w:eastAsia="Times New Roman" w:hAnsi="Times New Roman" w:cs="Times New Roman"/>
          <w:color w:val="000000"/>
          <w:spacing w:val="0"/>
          <w:w w:val="100"/>
          <w:position w:val="0"/>
        </w:rPr>
        <w:t>BI</w:t>
      </w:r>
      <w:r>
        <w:rPr>
          <w:color w:val="000000"/>
          <w:spacing w:val="0"/>
          <w:w w:val="100"/>
          <w:position w:val="0"/>
        </w:rPr>
        <w:t>管理视图应用，促进区域信息化建设，持续打造维保服 务优势。</w:t>
      </w:r>
    </w:p>
    <w:p>
      <w:pPr>
        <w:pStyle w:val="Style35"/>
        <w:keepNext w:val="0"/>
        <w:keepLines w:val="0"/>
        <w:widowControl w:val="0"/>
        <w:shd w:val="clear" w:color="auto" w:fill="auto"/>
        <w:tabs>
          <w:tab w:pos="1497" w:val="left"/>
        </w:tabs>
        <w:bidi w:val="0"/>
        <w:spacing w:before="0" w:after="0" w:line="312" w:lineRule="exact"/>
        <w:ind w:left="1100" w:right="0" w:firstLine="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w:t>
        <w:tab/>
        <w:t>完善平台、多点突破，推动外包业务快速扩张</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抢抓机遇，落实服务战略部署，以投资、并购、合资、合作等资本手段，加速长三角、珠三角及各重点区域服务布局； 已布局项目，积极向周边辐射，提升规模效应与运作效率。协同推进服务产品策划与开发，</w:t>
      </w:r>
      <w:r>
        <w:rPr>
          <w:rFonts w:ascii="Times New Roman" w:eastAsia="Times New Roman" w:hAnsi="Times New Roman" w:cs="Times New Roman"/>
          <w:color w:val="000000"/>
          <w:spacing w:val="0"/>
          <w:w w:val="100"/>
          <w:position w:val="0"/>
        </w:rPr>
        <w:t>RFID</w:t>
      </w:r>
      <w:r>
        <w:rPr>
          <w:color w:val="000000"/>
          <w:spacing w:val="0"/>
          <w:w w:val="100"/>
          <w:position w:val="0"/>
        </w:rPr>
        <w:t>钞箱管理系统、多品牌电 子动态密码锁管理平台、</w:t>
      </w:r>
      <w:r>
        <w:rPr>
          <w:rFonts w:ascii="Times New Roman" w:eastAsia="Times New Roman" w:hAnsi="Times New Roman" w:cs="Times New Roman"/>
          <w:color w:val="000000"/>
          <w:spacing w:val="0"/>
          <w:w w:val="100"/>
          <w:position w:val="0"/>
        </w:rPr>
        <w:t>ATM</w:t>
      </w:r>
      <w:r>
        <w:rPr>
          <w:color w:val="000000"/>
          <w:spacing w:val="0"/>
          <w:w w:val="100"/>
          <w:position w:val="0"/>
        </w:rPr>
        <w:t>现金预测管理系统等服务产品独立包装并推广；抓紧视频监控、现金零售服务、钞币跟踪等 业务上线；开展</w:t>
      </w:r>
      <w:r>
        <w:rPr>
          <w:rFonts w:ascii="Times New Roman" w:eastAsia="Times New Roman" w:hAnsi="Times New Roman" w:cs="Times New Roman"/>
          <w:color w:val="000000"/>
          <w:spacing w:val="0"/>
          <w:w w:val="100"/>
          <w:position w:val="0"/>
        </w:rPr>
        <w:t>ATM</w:t>
      </w:r>
      <w:r>
        <w:rPr>
          <w:color w:val="000000"/>
          <w:spacing w:val="0"/>
          <w:w w:val="100"/>
          <w:position w:val="0"/>
        </w:rPr>
        <w:t>钞箱分拣系统开发及推广等工作。推进服务标准化建设，打造外包服务行业标杆；强化风险管控体系 建设，引入视频安防监控等技术手段管控风险，保障服务安全，推动外包业务快速扩张。</w:t>
      </w:r>
    </w:p>
    <w:p>
      <w:pPr>
        <w:pStyle w:val="Style35"/>
        <w:keepNext w:val="0"/>
        <w:keepLines w:val="0"/>
        <w:widowControl w:val="0"/>
        <w:shd w:val="clear" w:color="auto" w:fill="auto"/>
        <w:tabs>
          <w:tab w:pos="1497" w:val="left"/>
        </w:tabs>
        <w:bidi w:val="0"/>
        <w:spacing w:before="0" w:after="0" w:line="312" w:lineRule="exact"/>
        <w:ind w:left="1100" w:right="0" w:firstLine="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w:t>
        <w:tab/>
        <w:t>积极策划、拓宽渠道，构筑龙源环保工业园综合优势</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通过完善自身招商环境，提升技术、服务、配套、报价等多方面吸引力，形成综合优势；积极调整招商策略，策划并推 进与政府部门、商会、行业资深人士互利合作招商；重点在废水处理工艺、处理技术、监督管理等方面进行优化完善，降低 处理成本；积极引进环保专业人才，策划、开展环保研究项目，逐步培育核心技术能力，打造环保工业园综合优势，早日实 现扭亏为盈。</w:t>
      </w:r>
    </w:p>
    <w:p>
      <w:pPr>
        <w:pStyle w:val="Style35"/>
        <w:keepNext w:val="0"/>
        <w:keepLines w:val="0"/>
        <w:widowControl w:val="0"/>
        <w:shd w:val="clear" w:color="auto" w:fill="auto"/>
        <w:tabs>
          <w:tab w:pos="1425" w:val="left"/>
        </w:tabs>
        <w:bidi w:val="0"/>
        <w:spacing w:before="0" w:after="0" w:line="312" w:lineRule="exact"/>
        <w:ind w:left="1100" w:right="0" w:firstLine="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w:t>
        <w:tab/>
        <w:t>围绕主业、强力推进，以资本运作助推公司发展</w:t>
      </w:r>
    </w:p>
    <w:p>
      <w:pPr>
        <w:pStyle w:val="Style35"/>
        <w:keepNext w:val="0"/>
        <w:keepLines w:val="0"/>
        <w:widowControl w:val="0"/>
        <w:shd w:val="clear" w:color="auto" w:fill="auto"/>
        <w:bidi w:val="0"/>
        <w:spacing w:before="0" w:after="0" w:line="314" w:lineRule="exact"/>
        <w:ind w:left="740" w:right="0" w:firstLine="360"/>
        <w:jc w:val="both"/>
      </w:pPr>
      <w:r>
        <w:rPr>
          <w:color w:val="000000"/>
          <w:spacing w:val="0"/>
          <w:w w:val="100"/>
          <w:position w:val="0"/>
        </w:rPr>
        <w:t>推进主业并购投资，投资专业团队与各业务板块紧密协作，争取在投资上有所突破；着重配合、促进金融外包服务等新 业务，加快市场布局。继续做好低风险固定收益项目投资；积极开展外部专业资源合作，协力在现有产业链延伸方向上筛选、 评估相关产业并购机会，择机切入。构建投资集中管理体系，完善投资工作程序与规则，提升投资工作各环节的严谨性、科 学性；持续开展项目投后管理跟踪工作。</w:t>
      </w:r>
    </w:p>
    <w:p>
      <w:pPr>
        <w:pStyle w:val="Style35"/>
        <w:keepNext w:val="0"/>
        <w:keepLines w:val="0"/>
        <w:widowControl w:val="0"/>
        <w:shd w:val="clear" w:color="auto" w:fill="auto"/>
        <w:tabs>
          <w:tab w:pos="1425" w:val="left"/>
        </w:tabs>
        <w:bidi w:val="0"/>
        <w:spacing w:before="0" w:after="0" w:line="312" w:lineRule="exact"/>
        <w:ind w:left="1100" w:right="0" w:firstLine="0"/>
        <w:jc w:val="both"/>
      </w:pPr>
      <w:bookmarkStart w:id="238" w:name="bookmark238"/>
      <w:r>
        <w:rPr>
          <w:rFonts w:ascii="Times New Roman" w:eastAsia="Times New Roman" w:hAnsi="Times New Roman" w:cs="Times New Roman"/>
          <w:color w:val="000000"/>
          <w:spacing w:val="0"/>
          <w:w w:val="100"/>
          <w:position w:val="0"/>
        </w:rPr>
        <w:t>4</w:t>
      </w:r>
      <w:bookmarkEnd w:id="238"/>
      <w:r>
        <w:rPr>
          <w:color w:val="000000"/>
          <w:spacing w:val="0"/>
          <w:w w:val="100"/>
          <w:position w:val="0"/>
        </w:rPr>
        <w:t>、</w:t>
        <w:tab/>
        <w:t>推进集团化管理体系建设</w:t>
      </w:r>
    </w:p>
    <w:p>
      <w:pPr>
        <w:pStyle w:val="Style35"/>
        <w:keepNext w:val="0"/>
        <w:keepLines w:val="0"/>
        <w:widowControl w:val="0"/>
        <w:shd w:val="clear" w:color="auto" w:fill="auto"/>
        <w:bidi w:val="0"/>
        <w:spacing w:before="0" w:after="0" w:line="308" w:lineRule="exact"/>
        <w:ind w:left="740" w:right="0" w:firstLine="360"/>
        <w:jc w:val="both"/>
      </w:pPr>
      <w:r>
        <w:rPr>
          <w:color w:val="000000"/>
          <w:spacing w:val="0"/>
          <w:w w:val="100"/>
          <w:position w:val="0"/>
        </w:rPr>
        <w:t>从集团化组织发展定位出发，梳理公司总部与各业务板块的管理分工，调整资源配置，加强总部“服务、管理、监督” 职能，促进各板块自主管理能力建设。加强关键岗位人才引进和后备梯队建设；遵循集团化管理思路，完善各板块考核激励 机制，优化跨系统交叉考核并精品化。规划运通品牌管控体系，促进总部与子公司的品牌决策规范化；结合各板块业务特点， 促进和谐统一、各具特色的企业文化体系形成。继续大力推进信息化建设，重点关注</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PLM</w:t>
      </w:r>
      <w:r>
        <w:rPr>
          <w:color w:val="000000"/>
          <w:spacing w:val="0"/>
          <w:w w:val="100"/>
          <w:position w:val="0"/>
        </w:rPr>
        <w:t xml:space="preserve">上线运行状况，积极开展 </w:t>
      </w:r>
      <w:r>
        <w:rPr>
          <w:rFonts w:ascii="Times New Roman" w:eastAsia="Times New Roman" w:hAnsi="Times New Roman" w:cs="Times New Roman"/>
          <w:color w:val="000000"/>
          <w:spacing w:val="0"/>
          <w:w w:val="100"/>
          <w:position w:val="0"/>
        </w:rPr>
        <w:t>OA</w:t>
      </w:r>
      <w:r>
        <w:rPr>
          <w:color w:val="000000"/>
          <w:spacing w:val="0"/>
          <w:w w:val="100"/>
          <w:position w:val="0"/>
        </w:rPr>
        <w:t>改造等信息化项目，促进信息系统整合优化，推进集团化管理体系建设。</w:t>
      </w:r>
    </w:p>
    <w:p>
      <w:pPr>
        <w:pStyle w:val="Style35"/>
        <w:keepNext w:val="0"/>
        <w:keepLines w:val="0"/>
        <w:widowControl w:val="0"/>
        <w:shd w:val="clear" w:color="auto" w:fill="auto"/>
        <w:bidi w:val="0"/>
        <w:spacing w:before="0" w:after="0" w:line="312" w:lineRule="exact"/>
        <w:ind w:left="1100" w:right="0" w:firstLine="0"/>
        <w:jc w:val="both"/>
      </w:pPr>
      <w:bookmarkStart w:id="239" w:name="bookmark239"/>
      <w:r>
        <w:rPr>
          <w:color w:val="000000"/>
          <w:spacing w:val="0"/>
          <w:w w:val="100"/>
          <w:position w:val="0"/>
        </w:rPr>
        <w:t>（</w:t>
      </w:r>
      <w:bookmarkEnd w:id="239"/>
      <w:r>
        <w:rPr>
          <w:color w:val="000000"/>
          <w:spacing w:val="0"/>
          <w:w w:val="100"/>
          <w:position w:val="0"/>
        </w:rPr>
        <w:t>四）资金需求及使用计划</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根据公司“十二五”规划部署及逐步实施，新项目的投入、产业链的整合、产能的扩张等都将会增加资金需求。目前公 司资产结构稳健、偿债能力较强、信贷资信良好，各种融资渠道畅通，公司及各子公司发展的资金来源有充足的保障。公司 将根据发展步伐及实际资金需求，结合自身财务状况，合理利用各种融资方式，确保未来发展的资金需求，促进公司持续健 康发展。</w:t>
      </w:r>
    </w:p>
    <w:p>
      <w:pPr>
        <w:pStyle w:val="Style35"/>
        <w:keepNext w:val="0"/>
        <w:keepLines w:val="0"/>
        <w:widowControl w:val="0"/>
        <w:shd w:val="clear" w:color="auto" w:fill="auto"/>
        <w:bidi w:val="0"/>
        <w:spacing w:before="0" w:after="0" w:line="312" w:lineRule="exact"/>
        <w:ind w:left="0" w:right="0" w:firstLine="1000"/>
        <w:jc w:val="left"/>
      </w:pPr>
      <w:bookmarkStart w:id="240" w:name="bookmark240"/>
      <w:r>
        <w:rPr>
          <w:color w:val="000000"/>
          <w:spacing w:val="0"/>
          <w:w w:val="100"/>
          <w:position w:val="0"/>
        </w:rPr>
        <w:t>（</w:t>
      </w:r>
      <w:bookmarkEnd w:id="240"/>
      <w:r>
        <w:rPr>
          <w:color w:val="000000"/>
          <w:spacing w:val="0"/>
          <w:w w:val="100"/>
          <w:position w:val="0"/>
        </w:rPr>
        <w:t>五）风险因素</w:t>
      </w:r>
    </w:p>
    <w:p>
      <w:pPr>
        <w:pStyle w:val="Style35"/>
        <w:keepNext w:val="0"/>
        <w:keepLines w:val="0"/>
        <w:widowControl w:val="0"/>
        <w:shd w:val="clear" w:color="auto" w:fill="auto"/>
        <w:bidi w:val="0"/>
        <w:spacing w:before="0" w:after="0" w:line="312" w:lineRule="exact"/>
        <w:ind w:left="1100" w:right="0" w:firstLine="0"/>
        <w:jc w:val="both"/>
      </w:pPr>
      <w:bookmarkStart w:id="241" w:name="bookmark241"/>
      <w:r>
        <w:rPr>
          <w:rFonts w:ascii="Times New Roman" w:eastAsia="Times New Roman" w:hAnsi="Times New Roman" w:cs="Times New Roman"/>
          <w:color w:val="000000"/>
          <w:spacing w:val="0"/>
          <w:w w:val="100"/>
          <w:position w:val="0"/>
        </w:rPr>
        <w:t>1</w:t>
      </w:r>
      <w:bookmarkEnd w:id="241"/>
      <w:r>
        <w:rPr>
          <w:color w:val="000000"/>
          <w:spacing w:val="0"/>
          <w:w w:val="100"/>
          <w:position w:val="0"/>
        </w:rPr>
        <w:t>、市场竞争加剧、产品价格下降风险</w:t>
      </w:r>
    </w:p>
    <w:p>
      <w:pPr>
        <w:pStyle w:val="Style35"/>
        <w:keepNext w:val="0"/>
        <w:keepLines w:val="0"/>
        <w:widowControl w:val="0"/>
        <w:shd w:val="clear" w:color="auto" w:fill="auto"/>
        <w:bidi w:val="0"/>
        <w:spacing w:before="0" w:line="312" w:lineRule="exact"/>
        <w:ind w:left="1100" w:right="0" w:firstLine="0"/>
        <w:jc w:val="both"/>
      </w:pPr>
      <w:r>
        <w:rPr>
          <w:color w:val="000000"/>
          <w:spacing w:val="0"/>
          <w:w w:val="100"/>
          <w:position w:val="0"/>
        </w:rPr>
        <w:t>近年来，</w:t>
      </w:r>
      <w:r>
        <w:rPr>
          <w:rFonts w:ascii="Times New Roman" w:eastAsia="Times New Roman" w:hAnsi="Times New Roman" w:cs="Times New Roman"/>
          <w:color w:val="000000"/>
          <w:spacing w:val="0"/>
          <w:w w:val="100"/>
          <w:position w:val="0"/>
        </w:rPr>
        <w:t>ATM</w:t>
      </w:r>
      <w:r>
        <w:rPr>
          <w:color w:val="000000"/>
          <w:spacing w:val="0"/>
          <w:w w:val="100"/>
          <w:position w:val="0"/>
        </w:rPr>
        <w:t xml:space="preserve">行业市场竞争日趋激烈，产品价格逐年下降，一线老牌国外厂商实力强劲，二三线国内外品牌厂商不断 </w:t>
      </w:r>
      <w:r>
        <w:rPr>
          <w:color w:val="000000"/>
          <w:spacing w:val="0"/>
          <w:w w:val="100"/>
          <w:position w:val="0"/>
        </w:rPr>
        <w:t>崛起，公司的市场占有率和盈利能力可能存在下降的风险。为此，公司一是要充分发挥核心技术优势，进一步降低成本，提 高产品竞争力；二是要加大市场拓展力度，努力抢占市场份额，扩大销量。</w:t>
      </w:r>
    </w:p>
    <w:p>
      <w:pPr>
        <w:pStyle w:val="Style35"/>
        <w:keepNext w:val="0"/>
        <w:keepLines w:val="0"/>
        <w:widowControl w:val="0"/>
        <w:shd w:val="clear" w:color="auto" w:fill="auto"/>
        <w:tabs>
          <w:tab w:pos="1454" w:val="left"/>
        </w:tabs>
        <w:bidi w:val="0"/>
        <w:spacing w:before="0" w:after="0"/>
        <w:ind w:left="1100" w:right="0" w:firstLine="0"/>
        <w:jc w:val="both"/>
      </w:pPr>
      <w:bookmarkStart w:id="242" w:name="bookmark242"/>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等新产品市场推广风险</w:t>
      </w:r>
    </w:p>
    <w:p>
      <w:pPr>
        <w:pStyle w:val="Style35"/>
        <w:keepNext w:val="0"/>
        <w:keepLines w:val="0"/>
        <w:widowControl w:val="0"/>
        <w:shd w:val="clear" w:color="auto" w:fill="auto"/>
        <w:bidi w:val="0"/>
        <w:spacing w:before="0" w:line="319" w:lineRule="exact"/>
        <w:ind w:left="740" w:right="0" w:firstLine="360"/>
        <w:jc w:val="both"/>
      </w:pPr>
      <w:r>
        <w:rPr>
          <w:color w:val="000000"/>
          <w:spacing w:val="0"/>
          <w:w w:val="100"/>
          <w:position w:val="0"/>
        </w:rPr>
        <w:t>目前，公司清分机、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等新产品市场推广良好，如果公司未来不能有效地拓展新市场，会失去新业务市场对公司利 润的贡献度。为此，公司将顺应市场趋势，加大力度做好清分机、</w:t>
      </w:r>
      <w:r>
        <w:rPr>
          <w:rFonts w:ascii="Times New Roman" w:eastAsia="Times New Roman" w:hAnsi="Times New Roman" w:cs="Times New Roman"/>
          <w:color w:val="000000"/>
          <w:spacing w:val="0"/>
          <w:w w:val="100"/>
          <w:position w:val="0"/>
        </w:rPr>
        <w:t>VTM</w:t>
      </w:r>
      <w:r>
        <w:rPr>
          <w:color w:val="000000"/>
          <w:spacing w:val="0"/>
          <w:w w:val="100"/>
          <w:position w:val="0"/>
        </w:rPr>
        <w:t>等新产品的市场持续突破，积极贴近客户需求全力 推进其他新产品的研发和销售，不断挖掘新的利润增长点。</w:t>
      </w:r>
    </w:p>
    <w:p>
      <w:pPr>
        <w:pStyle w:val="Style35"/>
        <w:keepNext w:val="0"/>
        <w:keepLines w:val="0"/>
        <w:widowControl w:val="0"/>
        <w:shd w:val="clear" w:color="auto" w:fill="auto"/>
        <w:tabs>
          <w:tab w:pos="1454" w:val="left"/>
        </w:tabs>
        <w:bidi w:val="0"/>
        <w:spacing w:before="0" w:after="0"/>
        <w:ind w:left="1100" w:right="0" w:firstLine="0"/>
        <w:jc w:val="both"/>
      </w:pPr>
      <w:bookmarkStart w:id="243" w:name="bookmark243"/>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经营管理风险</w:t>
      </w:r>
    </w:p>
    <w:p>
      <w:pPr>
        <w:pStyle w:val="Style35"/>
        <w:keepNext w:val="0"/>
        <w:keepLines w:val="0"/>
        <w:widowControl w:val="0"/>
        <w:shd w:val="clear" w:color="auto" w:fill="auto"/>
        <w:bidi w:val="0"/>
        <w:spacing w:before="0" w:line="313" w:lineRule="exact"/>
        <w:ind w:left="740" w:right="0" w:firstLine="360"/>
        <w:jc w:val="both"/>
      </w:pPr>
      <w:r>
        <w:rPr>
          <w:color w:val="000000"/>
          <w:spacing w:val="0"/>
          <w:w w:val="100"/>
          <w:position w:val="0"/>
        </w:rPr>
        <w:t>随着公司业务规模持续扩大，分子公司及孙公司不断增多，公司组织结构和管理体系日趋复杂，经营管理能力和全面协 调能力面临着挑战，公司若不能建立起与之相适应的组织模式和管理制度，形成有效的激励与约束机制，则可能给公司正常 的生产经营管理带来一定的风险。为此，公司将加强集团化管控，梳理公司总部与各业务板块及分子公司的管理分工，调整 资源配置，加强总部“服务、管理、监督”职能，促进各板块及分子公司的自主经营管理能力，实现集团化统一管理，最终 使公司管理水平适应公司规模迅速扩张的需要。</w:t>
      </w:r>
    </w:p>
    <w:p>
      <w:pPr>
        <w:pStyle w:val="Style35"/>
        <w:keepNext w:val="0"/>
        <w:keepLines w:val="0"/>
        <w:widowControl w:val="0"/>
        <w:shd w:val="clear" w:color="auto" w:fill="auto"/>
        <w:tabs>
          <w:tab w:pos="1454" w:val="left"/>
        </w:tabs>
        <w:bidi w:val="0"/>
        <w:spacing w:before="0" w:after="0"/>
        <w:ind w:left="1100" w:right="0" w:firstLine="0"/>
        <w:jc w:val="both"/>
      </w:pPr>
      <w:bookmarkStart w:id="244" w:name="bookmark244"/>
      <w:r>
        <w:rPr>
          <w:rFonts w:ascii="Times New Roman" w:eastAsia="Times New Roman" w:hAnsi="Times New Roman" w:cs="Times New Roman"/>
          <w:color w:val="000000"/>
          <w:spacing w:val="0"/>
          <w:w w:val="100"/>
          <w:position w:val="0"/>
        </w:rPr>
        <w:t>4</w:t>
      </w:r>
      <w:bookmarkEnd w:id="244"/>
      <w:r>
        <w:rPr>
          <w:color w:val="000000"/>
          <w:spacing w:val="0"/>
          <w:w w:val="100"/>
          <w:position w:val="0"/>
        </w:rPr>
        <w:t>、</w:t>
        <w:tab/>
        <w:t>人力资源风险</w:t>
      </w:r>
    </w:p>
    <w:p>
      <w:pPr>
        <w:pStyle w:val="Style35"/>
        <w:keepNext w:val="0"/>
        <w:keepLines w:val="0"/>
        <w:widowControl w:val="0"/>
        <w:shd w:val="clear" w:color="auto" w:fill="auto"/>
        <w:bidi w:val="0"/>
        <w:spacing w:before="0" w:after="360" w:line="313" w:lineRule="exact"/>
        <w:ind w:left="740" w:right="0" w:firstLine="360"/>
        <w:jc w:val="both"/>
      </w:pPr>
      <w:r>
        <w:rPr>
          <w:color w:val="000000"/>
          <w:spacing w:val="0"/>
          <w:w w:val="100"/>
          <w:position w:val="0"/>
        </w:rPr>
        <w:t>随着公司业务规模持续扩大，人员进一步扩张，公司（含全资、控股子公司）员工总人数从</w:t>
      </w:r>
      <w:r>
        <w:rPr>
          <w:rFonts w:ascii="Times New Roman" w:eastAsia="Times New Roman" w:hAnsi="Times New Roman" w:cs="Times New Roman"/>
          <w:color w:val="000000"/>
          <w:spacing w:val="0"/>
          <w:w w:val="100"/>
          <w:position w:val="0"/>
        </w:rPr>
        <w:t>2012</w:t>
      </w:r>
      <w:r>
        <w:rPr>
          <w:color w:val="000000"/>
          <w:spacing w:val="0"/>
          <w:w w:val="100"/>
          <w:position w:val="0"/>
        </w:rPr>
        <w:t>年的</w:t>
      </w:r>
      <w:r>
        <w:rPr>
          <w:rFonts w:ascii="Times New Roman" w:eastAsia="Times New Roman" w:hAnsi="Times New Roman" w:cs="Times New Roman"/>
          <w:color w:val="000000"/>
          <w:spacing w:val="0"/>
          <w:w w:val="100"/>
          <w:position w:val="0"/>
        </w:rPr>
        <w:t>4,700</w:t>
      </w:r>
      <w:r>
        <w:rPr>
          <w:color w:val="000000"/>
          <w:spacing w:val="0"/>
          <w:w w:val="100"/>
          <w:position w:val="0"/>
        </w:rPr>
        <w:t xml:space="preserve">多人增加至 </w:t>
      </w:r>
      <w:r>
        <w:rPr>
          <w:rFonts w:ascii="Times New Roman" w:eastAsia="Times New Roman" w:hAnsi="Times New Roman" w:cs="Times New Roman"/>
          <w:color w:val="000000"/>
          <w:spacing w:val="0"/>
          <w:w w:val="100"/>
          <w:position w:val="0"/>
        </w:rPr>
        <w:t>6,800</w:t>
      </w:r>
      <w:r>
        <w:rPr>
          <w:color w:val="000000"/>
          <w:spacing w:val="0"/>
          <w:w w:val="100"/>
          <w:position w:val="0"/>
        </w:rPr>
        <w:t>多人，人员规模的迅速扩张必将对公司人力资源战略提出更大的挑战，如果公司不能吸引、留住或培养出足够的技术、 管理、服务和制造人员，或发生大量的人员流失，公司的发展将面临人员短缺的风险。公司将加强人力资源管理，及时调整 人才引进体系、薪酬体系、激励考核体系以及培训体系等多方面人力资源管理体系，确保人才的供应和管理机制满足公司发 展的需要。</w:t>
      </w:r>
    </w:p>
    <w:p>
      <w:pPr>
        <w:pStyle w:val="Style31"/>
        <w:keepNext/>
        <w:keepLines/>
        <w:widowControl w:val="0"/>
        <w:shd w:val="clear" w:color="auto" w:fill="auto"/>
        <w:bidi w:val="0"/>
        <w:spacing w:before="0" w:after="240" w:line="240" w:lineRule="auto"/>
        <w:ind w:left="0" w:right="0" w:firstLine="740"/>
        <w:jc w:val="both"/>
      </w:pPr>
      <w:bookmarkStart w:id="245" w:name="bookmark245"/>
      <w:bookmarkStart w:id="246" w:name="bookmark246"/>
      <w:bookmarkStart w:id="247" w:name="bookmark247"/>
      <w:bookmarkStart w:id="248" w:name="bookmark248"/>
      <w:r>
        <w:rPr>
          <w:color w:val="000000"/>
          <w:spacing w:val="0"/>
          <w:w w:val="100"/>
          <w:position w:val="0"/>
          <w:sz w:val="24"/>
          <w:szCs w:val="24"/>
        </w:rPr>
        <w:t>九</w:t>
      </w:r>
      <w:bookmarkEnd w:id="247"/>
      <w:r>
        <w:rPr>
          <w:color w:val="000000"/>
          <w:spacing w:val="0"/>
          <w:w w:val="100"/>
          <w:position w:val="0"/>
          <w:sz w:val="24"/>
          <w:szCs w:val="24"/>
        </w:rPr>
        <w:t>、董事会对会计师事务所本报告期“非标准审计报告”的说明</w:t>
      </w:r>
      <w:bookmarkEnd w:id="245"/>
      <w:bookmarkEnd w:id="246"/>
      <w:bookmarkEnd w:id="248"/>
    </w:p>
    <w:p>
      <w:pPr>
        <w:pStyle w:val="Style35"/>
        <w:keepNext w:val="0"/>
        <w:keepLines w:val="0"/>
        <w:widowControl w:val="0"/>
        <w:shd w:val="clear" w:color="auto" w:fill="auto"/>
        <w:bidi w:val="0"/>
        <w:spacing w:before="0" w:after="360" w:line="313" w:lineRule="exact"/>
        <w:ind w:left="1100" w:right="0" w:firstLine="0"/>
        <w:jc w:val="both"/>
      </w:pPr>
      <w:r>
        <w:rPr>
          <w:color w:val="000000"/>
          <w:spacing w:val="0"/>
          <w:w w:val="100"/>
          <w:position w:val="0"/>
        </w:rPr>
        <w:t>公司年度财务报告未被会计师事务所出具非标准审计报告。</w:t>
      </w:r>
    </w:p>
    <w:p>
      <w:pPr>
        <w:pStyle w:val="Style31"/>
        <w:keepNext/>
        <w:keepLines/>
        <w:widowControl w:val="0"/>
        <w:shd w:val="clear" w:color="auto" w:fill="auto"/>
        <w:bidi w:val="0"/>
        <w:spacing w:before="0" w:after="240" w:line="240" w:lineRule="auto"/>
        <w:ind w:left="0" w:right="0" w:firstLine="740"/>
        <w:jc w:val="both"/>
      </w:pPr>
      <w:bookmarkStart w:id="249" w:name="bookmark249"/>
      <w:bookmarkStart w:id="250" w:name="bookmark250"/>
      <w:bookmarkStart w:id="251" w:name="bookmark251"/>
      <w:r>
        <w:rPr>
          <w:color w:val="000000"/>
          <w:spacing w:val="0"/>
          <w:w w:val="100"/>
          <w:position w:val="0"/>
          <w:sz w:val="24"/>
          <w:szCs w:val="24"/>
        </w:rPr>
        <w:t>十、与上年度财务报告相比，会计政策、会计估计和核算方法发生变化的情况说明</w:t>
      </w:r>
      <w:bookmarkEnd w:id="249"/>
      <w:bookmarkEnd w:id="250"/>
      <w:bookmarkEnd w:id="251"/>
    </w:p>
    <w:p>
      <w:pPr>
        <w:pStyle w:val="Style35"/>
        <w:keepNext w:val="0"/>
        <w:keepLines w:val="0"/>
        <w:widowControl w:val="0"/>
        <w:shd w:val="clear" w:color="auto" w:fill="auto"/>
        <w:bidi w:val="0"/>
        <w:spacing w:before="0" w:after="360" w:line="313" w:lineRule="exact"/>
        <w:ind w:left="1100" w:right="0" w:firstLine="0"/>
        <w:jc w:val="both"/>
      </w:pPr>
      <w:r>
        <w:rPr>
          <w:color w:val="000000"/>
          <w:spacing w:val="0"/>
          <w:w w:val="100"/>
          <w:position w:val="0"/>
        </w:rPr>
        <w:t>公司本年度财务报告与上年度相比会计政策、会计估算和核算方法未发生变化。</w:t>
      </w:r>
    </w:p>
    <w:p>
      <w:pPr>
        <w:pStyle w:val="Style31"/>
        <w:keepNext/>
        <w:keepLines/>
        <w:widowControl w:val="0"/>
        <w:shd w:val="clear" w:color="auto" w:fill="auto"/>
        <w:bidi w:val="0"/>
        <w:spacing w:before="0" w:after="240" w:line="240" w:lineRule="auto"/>
        <w:ind w:left="0" w:right="0" w:firstLine="740"/>
        <w:jc w:val="both"/>
      </w:pPr>
      <w:bookmarkStart w:id="252" w:name="bookmark252"/>
      <w:bookmarkStart w:id="253" w:name="bookmark253"/>
      <w:bookmarkStart w:id="254" w:name="bookmark254"/>
      <w:r>
        <w:rPr>
          <w:color w:val="000000"/>
          <w:spacing w:val="0"/>
          <w:w w:val="100"/>
          <w:position w:val="0"/>
          <w:sz w:val="24"/>
          <w:szCs w:val="24"/>
        </w:rPr>
        <w:t>十一、报告期内发生重大会计差错更正需追溯重述的情况说明</w:t>
      </w:r>
      <w:bookmarkEnd w:id="252"/>
      <w:bookmarkEnd w:id="253"/>
      <w:bookmarkEnd w:id="254"/>
    </w:p>
    <w:p>
      <w:pPr>
        <w:pStyle w:val="Style35"/>
        <w:keepNext w:val="0"/>
        <w:keepLines w:val="0"/>
        <w:widowControl w:val="0"/>
        <w:shd w:val="clear" w:color="auto" w:fill="auto"/>
        <w:bidi w:val="0"/>
        <w:spacing w:before="0" w:after="360" w:line="313" w:lineRule="exact"/>
        <w:ind w:left="1100" w:right="0" w:firstLine="0"/>
        <w:jc w:val="both"/>
      </w:pPr>
      <w:r>
        <w:rPr>
          <w:color w:val="000000"/>
          <w:spacing w:val="0"/>
          <w:w w:val="100"/>
          <w:position w:val="0"/>
        </w:rPr>
        <w:t>报告期内未发生重大会计差错更正而追溯重述的情形。</w:t>
      </w:r>
    </w:p>
    <w:p>
      <w:pPr>
        <w:pStyle w:val="Style31"/>
        <w:keepNext/>
        <w:keepLines/>
        <w:widowControl w:val="0"/>
        <w:shd w:val="clear" w:color="auto" w:fill="auto"/>
        <w:bidi w:val="0"/>
        <w:spacing w:before="0" w:after="240" w:line="240" w:lineRule="auto"/>
        <w:ind w:left="0" w:right="0" w:firstLine="740"/>
        <w:jc w:val="both"/>
      </w:pPr>
      <w:bookmarkStart w:id="255" w:name="bookmark255"/>
      <w:bookmarkStart w:id="256" w:name="bookmark256"/>
      <w:bookmarkStart w:id="257" w:name="bookmark257"/>
      <w:r>
        <w:rPr>
          <w:color w:val="000000"/>
          <w:spacing w:val="0"/>
          <w:w w:val="100"/>
          <w:position w:val="0"/>
          <w:sz w:val="24"/>
          <w:szCs w:val="24"/>
        </w:rPr>
        <w:t>十二、与上年度财务报告相比，合并报表范围发生变化的情况说明</w:t>
      </w:r>
      <w:bookmarkEnd w:id="255"/>
      <w:bookmarkEnd w:id="256"/>
      <w:bookmarkEnd w:id="257"/>
    </w:p>
    <w:p>
      <w:pPr>
        <w:pStyle w:val="Style35"/>
        <w:keepNext w:val="0"/>
        <w:keepLines w:val="0"/>
        <w:widowControl w:val="0"/>
        <w:shd w:val="clear" w:color="auto" w:fill="auto"/>
        <w:bidi w:val="0"/>
        <w:spacing w:before="0" w:line="317" w:lineRule="exact"/>
        <w:ind w:left="740" w:right="0" w:firstLine="360"/>
        <w:jc w:val="both"/>
      </w:pPr>
      <w:r>
        <w:rPr>
          <w:color w:val="000000"/>
          <w:spacing w:val="0"/>
          <w:w w:val="100"/>
          <w:position w:val="0"/>
        </w:rPr>
        <w:t>（一）与上期相比本期新增合并单位</w:t>
      </w:r>
      <w:r>
        <w:rPr>
          <w:rFonts w:ascii="Times New Roman" w:eastAsia="Times New Roman" w:hAnsi="Times New Roman" w:cs="Times New Roman"/>
          <w:color w:val="000000"/>
          <w:spacing w:val="0"/>
          <w:w w:val="100"/>
          <w:position w:val="0"/>
        </w:rPr>
        <w:t>9</w:t>
      </w:r>
      <w:r>
        <w:rPr>
          <w:color w:val="000000"/>
          <w:spacing w:val="0"/>
          <w:w w:val="100"/>
          <w:position w:val="0"/>
        </w:rPr>
        <w:t>家，原因为：本期新设立两家子公司，两家子公司的子公司，控股一家子公司， 相应控股四家子公司的子公司。</w:t>
      </w:r>
    </w:p>
    <w:p>
      <w:pPr>
        <w:pStyle w:val="Style35"/>
        <w:keepNext w:val="0"/>
        <w:keepLines w:val="0"/>
        <w:widowControl w:val="0"/>
        <w:shd w:val="clear" w:color="auto" w:fill="auto"/>
        <w:tabs>
          <w:tab w:pos="1434" w:val="left"/>
        </w:tabs>
        <w:bidi w:val="0"/>
        <w:spacing w:before="0" w:after="0"/>
        <w:ind w:left="1100" w:right="0" w:firstLine="0"/>
        <w:jc w:val="both"/>
      </w:pPr>
      <w:bookmarkStart w:id="258" w:name="bookmark258"/>
      <w:r>
        <w:rPr>
          <w:rFonts w:ascii="Times New Roman" w:eastAsia="Times New Roman" w:hAnsi="Times New Roman" w:cs="Times New Roman"/>
          <w:color w:val="000000"/>
          <w:spacing w:val="0"/>
          <w:w w:val="100"/>
          <w:position w:val="0"/>
        </w:rPr>
        <w:t>1</w:t>
      </w:r>
      <w:bookmarkEnd w:id="258"/>
      <w:r>
        <w:rPr>
          <w:color w:val="000000"/>
          <w:spacing w:val="0"/>
          <w:w w:val="100"/>
          <w:position w:val="0"/>
        </w:rPr>
        <w:t>、</w:t>
        <w:tab/>
        <w:t>广州广电汇通金融服务有限公司</w:t>
      </w:r>
    </w:p>
    <w:p>
      <w:pPr>
        <w:pStyle w:val="Style35"/>
        <w:keepNext w:val="0"/>
        <w:keepLines w:val="0"/>
        <w:widowControl w:val="0"/>
        <w:shd w:val="clear" w:color="auto" w:fill="auto"/>
        <w:bidi w:val="0"/>
        <w:spacing w:before="0" w:line="312" w:lineRule="exact"/>
        <w:ind w:left="740" w:right="0" w:firstLine="360"/>
        <w:jc w:val="both"/>
      </w:pPr>
      <w:r>
        <w:rPr>
          <w:color w:val="000000"/>
          <w:spacing w:val="0"/>
          <w:w w:val="100"/>
          <w:position w:val="0"/>
        </w:rPr>
        <w:t>广州广电汇通金融服务有限公司成立于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日，注册资本及投资总额为人民币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万元，由公司全额出资 人民币</w:t>
      </w:r>
      <w:r>
        <w:rPr>
          <w:rFonts w:ascii="Times New Roman" w:eastAsia="Times New Roman" w:hAnsi="Times New Roman" w:cs="Times New Roman"/>
          <w:color w:val="000000"/>
          <w:spacing w:val="0"/>
          <w:w w:val="100"/>
          <w:position w:val="0"/>
        </w:rPr>
        <w:t>10,000</w:t>
      </w:r>
      <w:r>
        <w:rPr>
          <w:color w:val="000000"/>
          <w:spacing w:val="0"/>
          <w:w w:val="100"/>
          <w:position w:val="0"/>
        </w:rPr>
        <w:t>万元，占股比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35"/>
        <w:keepNext w:val="0"/>
        <w:keepLines w:val="0"/>
        <w:widowControl w:val="0"/>
        <w:shd w:val="clear" w:color="auto" w:fill="auto"/>
        <w:tabs>
          <w:tab w:pos="1454" w:val="left"/>
        </w:tabs>
        <w:bidi w:val="0"/>
        <w:spacing w:before="0" w:after="0"/>
        <w:ind w:left="1100" w:right="0" w:firstLine="0"/>
        <w:jc w:val="both"/>
      </w:pPr>
      <w:bookmarkStart w:id="259" w:name="bookmark259"/>
      <w:r>
        <w:rPr>
          <w:rFonts w:ascii="Times New Roman" w:eastAsia="Times New Roman" w:hAnsi="Times New Roman" w:cs="Times New Roman"/>
          <w:color w:val="000000"/>
          <w:spacing w:val="0"/>
          <w:w w:val="100"/>
          <w:position w:val="0"/>
        </w:rPr>
        <w:t>2</w:t>
      </w:r>
      <w:bookmarkEnd w:id="259"/>
      <w:r>
        <w:rPr>
          <w:color w:val="000000"/>
          <w:spacing w:val="0"/>
          <w:w w:val="100"/>
          <w:position w:val="0"/>
        </w:rPr>
        <w:t>、</w:t>
        <w:tab/>
        <w:t>广州广电运通信息科技有限公司</w:t>
      </w:r>
    </w:p>
    <w:p>
      <w:pPr>
        <w:pStyle w:val="Style35"/>
        <w:keepNext w:val="0"/>
        <w:keepLines w:val="0"/>
        <w:widowControl w:val="0"/>
        <w:shd w:val="clear" w:color="auto" w:fill="auto"/>
        <w:bidi w:val="0"/>
        <w:spacing w:before="0" w:line="312" w:lineRule="exact"/>
        <w:ind w:left="740" w:right="0" w:firstLine="360"/>
        <w:jc w:val="both"/>
      </w:pPr>
      <w:r>
        <w:rPr>
          <w:color w:val="000000"/>
          <w:spacing w:val="0"/>
          <w:w w:val="100"/>
          <w:position w:val="0"/>
        </w:rPr>
        <w:t>广州广电运通信息科技有限公司成立于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日，注册资本及投资总额为人民币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万元，由公司全额出 资人民币</w:t>
      </w:r>
      <w:r>
        <w:rPr>
          <w:rFonts w:ascii="Times New Roman" w:eastAsia="Times New Roman" w:hAnsi="Times New Roman" w:cs="Times New Roman"/>
          <w:color w:val="000000"/>
          <w:spacing w:val="0"/>
          <w:w w:val="100"/>
          <w:position w:val="0"/>
        </w:rPr>
        <w:t>1,000</w:t>
      </w:r>
      <w:r>
        <w:rPr>
          <w:color w:val="000000"/>
          <w:spacing w:val="0"/>
          <w:w w:val="100"/>
          <w:position w:val="0"/>
        </w:rPr>
        <w:t>万元，占股比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35"/>
        <w:keepNext w:val="0"/>
        <w:keepLines w:val="0"/>
        <w:widowControl w:val="0"/>
        <w:shd w:val="clear" w:color="auto" w:fill="auto"/>
        <w:tabs>
          <w:tab w:pos="1454" w:val="left"/>
        </w:tabs>
        <w:bidi w:val="0"/>
        <w:spacing w:before="0" w:after="240"/>
        <w:ind w:left="1100" w:right="0" w:firstLine="0"/>
        <w:jc w:val="both"/>
      </w:pPr>
      <w:bookmarkStart w:id="260" w:name="bookmark260"/>
      <w:r>
        <w:rPr>
          <w:rFonts w:ascii="Times New Roman" w:eastAsia="Times New Roman" w:hAnsi="Times New Roman" w:cs="Times New Roman"/>
          <w:color w:val="000000"/>
          <w:spacing w:val="0"/>
          <w:w w:val="100"/>
          <w:position w:val="0"/>
        </w:rPr>
        <w:t>3</w:t>
      </w:r>
      <w:bookmarkEnd w:id="260"/>
      <w:r>
        <w:rPr>
          <w:color w:val="000000"/>
          <w:spacing w:val="0"/>
          <w:w w:val="100"/>
          <w:position w:val="0"/>
        </w:rPr>
        <w:t>、</w:t>
        <w:tab/>
        <w:t>广州市龙源环保科技有限公司</w:t>
      </w:r>
    </w:p>
    <w:p>
      <w:pPr>
        <w:pStyle w:val="Style35"/>
        <w:keepNext w:val="0"/>
        <w:keepLines w:val="0"/>
        <w:widowControl w:val="0"/>
        <w:shd w:val="clear" w:color="auto" w:fill="auto"/>
        <w:bidi w:val="0"/>
        <w:spacing w:before="0" w:line="311" w:lineRule="exact"/>
        <w:ind w:left="740" w:right="0" w:firstLine="360"/>
        <w:jc w:val="both"/>
      </w:pPr>
      <w:r>
        <w:rPr>
          <w:color w:val="000000"/>
          <w:spacing w:val="0"/>
          <w:w w:val="100"/>
          <w:position w:val="0"/>
        </w:rPr>
        <w:t>为解决各股东投入和所持股权不对等的矛盾，理顺龙源环保的股权关系，促进龙源环保的健康发展，各股东经友好协商， 一致同意将龙源环保的资本公积</w:t>
      </w:r>
      <w:r>
        <w:rPr>
          <w:rFonts w:ascii="Times New Roman" w:eastAsia="Times New Roman" w:hAnsi="Times New Roman" w:cs="Times New Roman"/>
          <w:color w:val="000000"/>
          <w:spacing w:val="0"/>
          <w:w w:val="100"/>
          <w:position w:val="0"/>
        </w:rPr>
        <w:t>60,968,627.00</w:t>
      </w:r>
      <w:r>
        <w:rPr>
          <w:color w:val="000000"/>
          <w:spacing w:val="0"/>
          <w:w w:val="100"/>
          <w:position w:val="0"/>
        </w:rPr>
        <w:t>元全部转为公司增加投入的注册资本。完成本次资本公积金转增资本后，龙 源环保的注册资本总额由</w:t>
      </w:r>
      <w:r>
        <w:rPr>
          <w:rFonts w:ascii="Times New Roman" w:eastAsia="Times New Roman" w:hAnsi="Times New Roman" w:cs="Times New Roman"/>
          <w:color w:val="000000"/>
          <w:spacing w:val="0"/>
          <w:w w:val="100"/>
          <w:position w:val="0"/>
        </w:rPr>
        <w:t>218,431,373.00</w:t>
      </w:r>
      <w:r>
        <w:rPr>
          <w:color w:val="000000"/>
          <w:spacing w:val="0"/>
          <w:w w:val="100"/>
          <w:position w:val="0"/>
        </w:rPr>
        <w:t>元增加到</w:t>
      </w:r>
      <w:r>
        <w:rPr>
          <w:rFonts w:ascii="Times New Roman" w:eastAsia="Times New Roman" w:hAnsi="Times New Roman" w:cs="Times New Roman"/>
          <w:color w:val="000000"/>
          <w:spacing w:val="0"/>
          <w:w w:val="100"/>
          <w:position w:val="0"/>
        </w:rPr>
        <w:t>279,400,000.00</w:t>
      </w:r>
      <w:r>
        <w:rPr>
          <w:color w:val="000000"/>
          <w:spacing w:val="0"/>
          <w:w w:val="100"/>
          <w:position w:val="0"/>
        </w:rPr>
        <w:t>元；公司持有的龙源环保注册资本金额由</w:t>
      </w:r>
      <w:r>
        <w:rPr>
          <w:rFonts w:ascii="Times New Roman" w:eastAsia="Times New Roman" w:hAnsi="Times New Roman" w:cs="Times New Roman"/>
          <w:color w:val="000000"/>
          <w:spacing w:val="0"/>
          <w:w w:val="100"/>
          <w:position w:val="0"/>
        </w:rPr>
        <w:t xml:space="preserve">107,031,373.00 </w:t>
      </w:r>
      <w:r>
        <w:rPr>
          <w:color w:val="000000"/>
          <w:spacing w:val="0"/>
          <w:w w:val="100"/>
          <w:position w:val="0"/>
        </w:rPr>
        <w:t>元增加到</w:t>
      </w:r>
      <w:r>
        <w:rPr>
          <w:rFonts w:ascii="Times New Roman" w:eastAsia="Times New Roman" w:hAnsi="Times New Roman" w:cs="Times New Roman"/>
          <w:color w:val="000000"/>
          <w:spacing w:val="0"/>
          <w:w w:val="100"/>
          <w:position w:val="0"/>
        </w:rPr>
        <w:t>168,000,000.00</w:t>
      </w:r>
      <w:r>
        <w:rPr>
          <w:color w:val="000000"/>
          <w:spacing w:val="0"/>
          <w:w w:val="100"/>
          <w:position w:val="0"/>
        </w:rPr>
        <w:t>元，持股比例由原</w:t>
      </w:r>
      <w:r>
        <w:rPr>
          <w:rFonts w:ascii="Times New Roman" w:eastAsia="Times New Roman" w:hAnsi="Times New Roman" w:cs="Times New Roman"/>
          <w:color w:val="000000"/>
          <w:spacing w:val="0"/>
          <w:w w:val="100"/>
          <w:position w:val="0"/>
        </w:rPr>
        <w:t>49%</w:t>
      </w:r>
      <w:r>
        <w:rPr>
          <w:color w:val="000000"/>
          <w:spacing w:val="0"/>
          <w:w w:val="100"/>
          <w:position w:val="0"/>
        </w:rPr>
        <w:t>增加到</w:t>
      </w:r>
      <w:r>
        <w:rPr>
          <w:rFonts w:ascii="Times New Roman" w:eastAsia="Times New Roman" w:hAnsi="Times New Roman" w:cs="Times New Roman"/>
          <w:color w:val="000000"/>
          <w:spacing w:val="0"/>
          <w:w w:val="100"/>
          <w:position w:val="0"/>
        </w:rPr>
        <w:t>60.1%</w:t>
      </w:r>
      <w:r>
        <w:rPr>
          <w:color w:val="000000"/>
          <w:spacing w:val="0"/>
          <w:w w:val="100"/>
          <w:position w:val="0"/>
        </w:rPr>
        <w:t>；原股东张伟询、方容波、江健辉、谢志耀四个自然人合计持 有的注册资本金额不变，为</w:t>
      </w:r>
      <w:r>
        <w:rPr>
          <w:rFonts w:ascii="Times New Roman" w:eastAsia="Times New Roman" w:hAnsi="Times New Roman" w:cs="Times New Roman"/>
          <w:color w:val="000000"/>
          <w:spacing w:val="0"/>
          <w:w w:val="100"/>
          <w:position w:val="0"/>
        </w:rPr>
        <w:t>111,400,000.00</w:t>
      </w:r>
      <w:r>
        <w:rPr>
          <w:color w:val="000000"/>
          <w:spacing w:val="0"/>
          <w:w w:val="100"/>
          <w:position w:val="0"/>
        </w:rPr>
        <w:t>元，持股比例由原</w:t>
      </w:r>
      <w:r>
        <w:rPr>
          <w:rFonts w:ascii="Times New Roman" w:eastAsia="Times New Roman" w:hAnsi="Times New Roman" w:cs="Times New Roman"/>
          <w:color w:val="000000"/>
          <w:spacing w:val="0"/>
          <w:w w:val="100"/>
          <w:position w:val="0"/>
        </w:rPr>
        <w:t>51%</w:t>
      </w:r>
      <w:r>
        <w:rPr>
          <w:color w:val="000000"/>
          <w:spacing w:val="0"/>
          <w:w w:val="100"/>
          <w:position w:val="0"/>
        </w:rPr>
        <w:t>变为</w:t>
      </w:r>
      <w:r>
        <w:rPr>
          <w:rFonts w:ascii="Times New Roman" w:eastAsia="Times New Roman" w:hAnsi="Times New Roman" w:cs="Times New Roman"/>
          <w:color w:val="000000"/>
          <w:spacing w:val="0"/>
          <w:w w:val="100"/>
          <w:position w:val="0"/>
        </w:rPr>
        <w:t xml:space="preserve">39.9% </w:t>
      </w:r>
      <w:r>
        <w:rPr>
          <w:color w:val="000000"/>
          <w:spacing w:val="0"/>
          <w:w w:val="100"/>
          <w:position w:val="0"/>
        </w:rPr>
        <w:t>（张伟询、方容波、江健辉、谢志耀为一致行 动人）。本次变更后，龙源环保由公司的参股公司变为公司的控股子公司，公司于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日将龙源环保纳入公司合 并报表范围。</w:t>
      </w:r>
    </w:p>
    <w:p>
      <w:pPr>
        <w:pStyle w:val="Style35"/>
        <w:keepNext w:val="0"/>
        <w:keepLines w:val="0"/>
        <w:widowControl w:val="0"/>
        <w:shd w:val="clear" w:color="auto" w:fill="auto"/>
        <w:tabs>
          <w:tab w:pos="1437" w:val="left"/>
        </w:tabs>
        <w:bidi w:val="0"/>
        <w:spacing w:before="0" w:after="0"/>
        <w:ind w:left="1100" w:right="0" w:firstLine="0"/>
        <w:jc w:val="both"/>
      </w:pPr>
      <w:bookmarkStart w:id="261" w:name="bookmark261"/>
      <w:r>
        <w:rPr>
          <w:rFonts w:ascii="Times New Roman" w:eastAsia="Times New Roman" w:hAnsi="Times New Roman" w:cs="Times New Roman"/>
          <w:color w:val="000000"/>
          <w:spacing w:val="0"/>
          <w:w w:val="100"/>
          <w:position w:val="0"/>
        </w:rPr>
        <w:t>4</w:t>
      </w:r>
      <w:bookmarkEnd w:id="261"/>
      <w:r>
        <w:rPr>
          <w:color w:val="000000"/>
          <w:spacing w:val="0"/>
          <w:w w:val="100"/>
          <w:position w:val="0"/>
        </w:rPr>
        <w:t>、</w:t>
        <w:tab/>
        <w:t>赣州中联环保科技开发有限公司</w:t>
      </w:r>
    </w:p>
    <w:p>
      <w:pPr>
        <w:pStyle w:val="Style35"/>
        <w:keepNext w:val="0"/>
        <w:keepLines w:val="0"/>
        <w:widowControl w:val="0"/>
        <w:shd w:val="clear" w:color="auto" w:fill="auto"/>
        <w:bidi w:val="0"/>
        <w:spacing w:before="0" w:line="310" w:lineRule="exact"/>
        <w:ind w:left="740" w:right="0" w:firstLine="360"/>
        <w:jc w:val="both"/>
      </w:pPr>
      <w:r>
        <w:rPr>
          <w:color w:val="000000"/>
          <w:spacing w:val="0"/>
          <w:w w:val="100"/>
          <w:position w:val="0"/>
        </w:rPr>
        <w:t>赣州中联环保科技开发有限公司是广州南雅集团有限公司出资组建，于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日获准成立，注册资本人民币 </w:t>
      </w:r>
      <w:r>
        <w:rPr>
          <w:rFonts w:ascii="Times New Roman" w:eastAsia="Times New Roman" w:hAnsi="Times New Roman" w:cs="Times New Roman"/>
          <w:color w:val="000000"/>
          <w:spacing w:val="0"/>
          <w:w w:val="100"/>
          <w:position w:val="0"/>
        </w:rPr>
        <w:t>150</w:t>
      </w:r>
      <w:r>
        <w:rPr>
          <w:color w:val="000000"/>
          <w:spacing w:val="0"/>
          <w:w w:val="100"/>
          <w:position w:val="0"/>
        </w:rPr>
        <w:t>万元。其后经多次股权变更，目前注册资本人民币</w:t>
      </w:r>
      <w:r>
        <w:rPr>
          <w:rFonts w:ascii="Times New Roman" w:eastAsia="Times New Roman" w:hAnsi="Times New Roman" w:cs="Times New Roman"/>
          <w:color w:val="000000"/>
          <w:spacing w:val="0"/>
          <w:w w:val="100"/>
          <w:position w:val="0"/>
        </w:rPr>
        <w:t>1,000</w:t>
      </w:r>
      <w:r>
        <w:rPr>
          <w:color w:val="000000"/>
          <w:spacing w:val="0"/>
          <w:w w:val="100"/>
          <w:position w:val="0"/>
        </w:rPr>
        <w:t>万元。龙源环保出资</w:t>
      </w:r>
      <w:r>
        <w:rPr>
          <w:rFonts w:ascii="Times New Roman" w:eastAsia="Times New Roman" w:hAnsi="Times New Roman" w:cs="Times New Roman"/>
          <w:color w:val="000000"/>
          <w:spacing w:val="0"/>
          <w:w w:val="100"/>
          <w:position w:val="0"/>
        </w:rPr>
        <w:t>1,000</w:t>
      </w:r>
      <w:r>
        <w:rPr>
          <w:color w:val="000000"/>
          <w:spacing w:val="0"/>
          <w:w w:val="100"/>
          <w:position w:val="0"/>
        </w:rPr>
        <w:t>万元，占注册资本</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。公司于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日将龙源环保纳入公司合并报表范围，相应的也将赣州中联环保科技开发有限公司纳入公司合并报表范围。</w:t>
      </w:r>
    </w:p>
    <w:p>
      <w:pPr>
        <w:pStyle w:val="Style35"/>
        <w:keepNext w:val="0"/>
        <w:keepLines w:val="0"/>
        <w:widowControl w:val="0"/>
        <w:shd w:val="clear" w:color="auto" w:fill="auto"/>
        <w:tabs>
          <w:tab w:pos="1437" w:val="left"/>
        </w:tabs>
        <w:bidi w:val="0"/>
        <w:spacing w:before="0" w:after="0"/>
        <w:ind w:left="1100" w:right="0" w:firstLine="0"/>
        <w:jc w:val="both"/>
      </w:pPr>
      <w:bookmarkStart w:id="262" w:name="bookmark262"/>
      <w:r>
        <w:rPr>
          <w:rFonts w:ascii="Times New Roman" w:eastAsia="Times New Roman" w:hAnsi="Times New Roman" w:cs="Times New Roman"/>
          <w:color w:val="000000"/>
          <w:spacing w:val="0"/>
          <w:w w:val="100"/>
          <w:position w:val="0"/>
        </w:rPr>
        <w:t>5</w:t>
      </w:r>
      <w:bookmarkEnd w:id="262"/>
      <w:r>
        <w:rPr>
          <w:color w:val="000000"/>
          <w:spacing w:val="0"/>
          <w:w w:val="100"/>
          <w:position w:val="0"/>
        </w:rPr>
        <w:t>、</w:t>
        <w:tab/>
        <w:t>赣州龙源环保产业经营管理有限公司</w:t>
      </w:r>
    </w:p>
    <w:p>
      <w:pPr>
        <w:pStyle w:val="Style35"/>
        <w:keepNext w:val="0"/>
        <w:keepLines w:val="0"/>
        <w:widowControl w:val="0"/>
        <w:shd w:val="clear" w:color="auto" w:fill="auto"/>
        <w:bidi w:val="0"/>
        <w:spacing w:before="0" w:line="314" w:lineRule="exact"/>
        <w:ind w:left="740" w:right="0" w:firstLine="360"/>
        <w:jc w:val="both"/>
      </w:pPr>
      <w:r>
        <w:rPr>
          <w:color w:val="000000"/>
          <w:spacing w:val="0"/>
          <w:w w:val="100"/>
          <w:position w:val="0"/>
        </w:rPr>
        <w:t>赣州龙源环保产业经营管理有限公司是赣州中联环保科技开发有限公司出资组建，于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日获准成立，注册 资本人民币</w:t>
      </w:r>
      <w:r>
        <w:rPr>
          <w:rFonts w:ascii="Times New Roman" w:eastAsia="Times New Roman" w:hAnsi="Times New Roman" w:cs="Times New Roman"/>
          <w:color w:val="000000"/>
          <w:spacing w:val="0"/>
          <w:w w:val="100"/>
          <w:position w:val="0"/>
        </w:rPr>
        <w:t>50</w:t>
      </w:r>
      <w:r>
        <w:rPr>
          <w:color w:val="000000"/>
          <w:spacing w:val="0"/>
          <w:w w:val="100"/>
          <w:position w:val="0"/>
        </w:rPr>
        <w:t>万元，其中赣州中联环保科技开发有限公司出资</w:t>
      </w:r>
      <w:r>
        <w:rPr>
          <w:rFonts w:ascii="Times New Roman" w:eastAsia="Times New Roman" w:hAnsi="Times New Roman" w:cs="Times New Roman"/>
          <w:color w:val="000000"/>
          <w:spacing w:val="0"/>
          <w:w w:val="100"/>
          <w:position w:val="0"/>
        </w:rPr>
        <w:t>50</w:t>
      </w:r>
      <w:r>
        <w:rPr>
          <w:color w:val="000000"/>
          <w:spacing w:val="0"/>
          <w:w w:val="100"/>
          <w:position w:val="0"/>
        </w:rPr>
        <w:t>万元人民币，占注册资本</w:t>
      </w:r>
      <w:r>
        <w:rPr>
          <w:rFonts w:ascii="Times New Roman" w:eastAsia="Times New Roman" w:hAnsi="Times New Roman" w:cs="Times New Roman"/>
          <w:color w:val="000000"/>
          <w:spacing w:val="0"/>
          <w:w w:val="100"/>
          <w:position w:val="0"/>
        </w:rPr>
        <w:t>100%</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日将赣州中联环保科技开发有限公司纳入公司合并报表范围，相应的也将赣州龙源环保产业经营管理有限公司纳入公司合并 报表范围。</w:t>
      </w:r>
    </w:p>
    <w:p>
      <w:pPr>
        <w:pStyle w:val="Style35"/>
        <w:keepNext w:val="0"/>
        <w:keepLines w:val="0"/>
        <w:widowControl w:val="0"/>
        <w:shd w:val="clear" w:color="auto" w:fill="auto"/>
        <w:tabs>
          <w:tab w:pos="1437" w:val="left"/>
        </w:tabs>
        <w:bidi w:val="0"/>
        <w:spacing w:before="0" w:after="0"/>
        <w:ind w:left="1100" w:right="0" w:firstLine="0"/>
        <w:jc w:val="both"/>
      </w:pPr>
      <w:bookmarkStart w:id="263" w:name="bookmark263"/>
      <w:r>
        <w:rPr>
          <w:rFonts w:ascii="Times New Roman" w:eastAsia="Times New Roman" w:hAnsi="Times New Roman" w:cs="Times New Roman"/>
          <w:color w:val="000000"/>
          <w:spacing w:val="0"/>
          <w:w w:val="100"/>
          <w:position w:val="0"/>
        </w:rPr>
        <w:t>6</w:t>
      </w:r>
      <w:bookmarkEnd w:id="263"/>
      <w:r>
        <w:rPr>
          <w:color w:val="000000"/>
          <w:spacing w:val="0"/>
          <w:w w:val="100"/>
          <w:position w:val="0"/>
        </w:rPr>
        <w:t>、</w:t>
        <w:tab/>
        <w:t>赣州中联电镀原料配送经营服务有限公司</w:t>
      </w:r>
    </w:p>
    <w:p>
      <w:pPr>
        <w:pStyle w:val="Style35"/>
        <w:keepNext w:val="0"/>
        <w:keepLines w:val="0"/>
        <w:widowControl w:val="0"/>
        <w:shd w:val="clear" w:color="auto" w:fill="auto"/>
        <w:bidi w:val="0"/>
        <w:spacing w:before="0" w:line="312" w:lineRule="exact"/>
        <w:ind w:left="740" w:right="0" w:firstLine="360"/>
        <w:jc w:val="left"/>
      </w:pPr>
      <w:r>
        <w:rPr>
          <w:color w:val="000000"/>
          <w:spacing w:val="0"/>
          <w:w w:val="100"/>
          <w:position w:val="0"/>
        </w:rPr>
        <w:t>赣州中联电镀原料配送经营服务有限公司是赣州中联环保科技开发有限公司出资组建，于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日获准成立， 注册资本人民币</w:t>
      </w:r>
      <w:r>
        <w:rPr>
          <w:rFonts w:ascii="Times New Roman" w:eastAsia="Times New Roman" w:hAnsi="Times New Roman" w:cs="Times New Roman"/>
          <w:color w:val="000000"/>
          <w:spacing w:val="0"/>
          <w:w w:val="100"/>
          <w:position w:val="0"/>
        </w:rPr>
        <w:t>100</w:t>
      </w:r>
      <w:r>
        <w:rPr>
          <w:color w:val="000000"/>
          <w:spacing w:val="0"/>
          <w:w w:val="100"/>
          <w:position w:val="0"/>
        </w:rPr>
        <w:t>万元，其中赣州中联环保科技开发有限公司出资</w:t>
      </w:r>
      <w:r>
        <w:rPr>
          <w:rFonts w:ascii="Times New Roman" w:eastAsia="Times New Roman" w:hAnsi="Times New Roman" w:cs="Times New Roman"/>
          <w:color w:val="000000"/>
          <w:spacing w:val="0"/>
          <w:w w:val="100"/>
          <w:position w:val="0"/>
        </w:rPr>
        <w:t>100</w:t>
      </w:r>
      <w:r>
        <w:rPr>
          <w:color w:val="000000"/>
          <w:spacing w:val="0"/>
          <w:w w:val="100"/>
          <w:position w:val="0"/>
        </w:rPr>
        <w:t>万元人民币，占注册资本</w:t>
      </w:r>
      <w:r>
        <w:rPr>
          <w:rFonts w:ascii="Times New Roman" w:eastAsia="Times New Roman" w:hAnsi="Times New Roman" w:cs="Times New Roman"/>
          <w:color w:val="000000"/>
          <w:spacing w:val="0"/>
          <w:w w:val="100"/>
          <w:position w:val="0"/>
        </w:rPr>
        <w:t>100%</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日将赣州中联环保科技开发有限公司纳入公司合并报表范围，相应的也将赣州中联电镀原料配送经营服务有限公司纳 入公司合并报表范围。</w:t>
      </w:r>
    </w:p>
    <w:p>
      <w:pPr>
        <w:pStyle w:val="Style35"/>
        <w:keepNext w:val="0"/>
        <w:keepLines w:val="0"/>
        <w:widowControl w:val="0"/>
        <w:shd w:val="clear" w:color="auto" w:fill="auto"/>
        <w:tabs>
          <w:tab w:pos="1437" w:val="left"/>
        </w:tabs>
        <w:bidi w:val="0"/>
        <w:spacing w:before="0" w:after="0"/>
        <w:ind w:left="1100" w:right="0" w:firstLine="0"/>
        <w:jc w:val="both"/>
      </w:pPr>
      <w:bookmarkStart w:id="264" w:name="bookmark264"/>
      <w:r>
        <w:rPr>
          <w:rFonts w:ascii="Times New Roman" w:eastAsia="Times New Roman" w:hAnsi="Times New Roman" w:cs="Times New Roman"/>
          <w:color w:val="000000"/>
          <w:spacing w:val="0"/>
          <w:w w:val="100"/>
          <w:position w:val="0"/>
        </w:rPr>
        <w:t>7</w:t>
      </w:r>
      <w:bookmarkEnd w:id="264"/>
      <w:r>
        <w:rPr>
          <w:color w:val="000000"/>
          <w:spacing w:val="0"/>
          <w:w w:val="100"/>
          <w:position w:val="0"/>
        </w:rPr>
        <w:t>、</w:t>
        <w:tab/>
        <w:t>天津市福龙源环保科技开发有限公司</w:t>
      </w:r>
    </w:p>
    <w:p>
      <w:pPr>
        <w:pStyle w:val="Style35"/>
        <w:keepNext w:val="0"/>
        <w:keepLines w:val="0"/>
        <w:widowControl w:val="0"/>
        <w:shd w:val="clear" w:color="auto" w:fill="auto"/>
        <w:bidi w:val="0"/>
        <w:spacing w:before="0" w:line="317" w:lineRule="exact"/>
        <w:ind w:left="740" w:right="0" w:firstLine="360"/>
        <w:jc w:val="both"/>
      </w:pPr>
      <w:r>
        <w:rPr>
          <w:color w:val="000000"/>
          <w:spacing w:val="0"/>
          <w:w w:val="100"/>
          <w:position w:val="0"/>
        </w:rPr>
        <w:t>天津市福龙源环保科技开发有限公司由龙源环保出资组建，于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日批准成立，注册资本为</w:t>
      </w:r>
      <w:r>
        <w:rPr>
          <w:rFonts w:ascii="Times New Roman" w:eastAsia="Times New Roman" w:hAnsi="Times New Roman" w:cs="Times New Roman"/>
          <w:color w:val="000000"/>
          <w:spacing w:val="0"/>
          <w:w w:val="100"/>
          <w:position w:val="0"/>
        </w:rPr>
        <w:t>1,500</w:t>
      </w:r>
      <w:r>
        <w:rPr>
          <w:color w:val="000000"/>
          <w:spacing w:val="0"/>
          <w:w w:val="100"/>
          <w:position w:val="0"/>
        </w:rPr>
        <w:t>万元人民 币，其中龙源环保出资</w:t>
      </w:r>
      <w:r>
        <w:rPr>
          <w:rFonts w:ascii="Times New Roman" w:eastAsia="Times New Roman" w:hAnsi="Times New Roman" w:cs="Times New Roman"/>
          <w:color w:val="000000"/>
          <w:spacing w:val="0"/>
          <w:w w:val="100"/>
          <w:position w:val="0"/>
        </w:rPr>
        <w:t>1,500</w:t>
      </w:r>
      <w:r>
        <w:rPr>
          <w:color w:val="000000"/>
          <w:spacing w:val="0"/>
          <w:w w:val="100"/>
          <w:position w:val="0"/>
        </w:rPr>
        <w:t>万元人民币，持股比例为</w:t>
      </w:r>
      <w:r>
        <w:rPr>
          <w:rFonts w:ascii="Times New Roman" w:eastAsia="Times New Roman" w:hAnsi="Times New Roman" w:cs="Times New Roman"/>
          <w:color w:val="000000"/>
          <w:spacing w:val="0"/>
          <w:w w:val="100"/>
          <w:position w:val="0"/>
        </w:rPr>
        <w:t>100%</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日将龙源环保纳入公司合并报表范围， 相应的也将天津市福龙源环保科技开发有限公司纳入公司合并报表范围。</w:t>
      </w:r>
    </w:p>
    <w:p>
      <w:pPr>
        <w:pStyle w:val="Style35"/>
        <w:keepNext w:val="0"/>
        <w:keepLines w:val="0"/>
        <w:widowControl w:val="0"/>
        <w:shd w:val="clear" w:color="auto" w:fill="auto"/>
        <w:tabs>
          <w:tab w:pos="1437" w:val="left"/>
        </w:tabs>
        <w:bidi w:val="0"/>
        <w:spacing w:before="0" w:after="0"/>
        <w:ind w:left="1100" w:right="0" w:firstLine="0"/>
        <w:jc w:val="both"/>
      </w:pPr>
      <w:bookmarkStart w:id="265" w:name="bookmark265"/>
      <w:r>
        <w:rPr>
          <w:rFonts w:ascii="Times New Roman" w:eastAsia="Times New Roman" w:hAnsi="Times New Roman" w:cs="Times New Roman"/>
          <w:color w:val="000000"/>
          <w:spacing w:val="0"/>
          <w:w w:val="100"/>
          <w:position w:val="0"/>
        </w:rPr>
        <w:t>8</w:t>
      </w:r>
      <w:bookmarkEnd w:id="265"/>
      <w:r>
        <w:rPr>
          <w:color w:val="000000"/>
          <w:spacing w:val="0"/>
          <w:w w:val="100"/>
          <w:position w:val="0"/>
        </w:rPr>
        <w:t>、</w:t>
        <w:tab/>
        <w:t>宜昌宜通金融服务有限公司</w:t>
      </w:r>
    </w:p>
    <w:p>
      <w:pPr>
        <w:pStyle w:val="Style35"/>
        <w:keepNext w:val="0"/>
        <w:keepLines w:val="0"/>
        <w:widowControl w:val="0"/>
        <w:shd w:val="clear" w:color="auto" w:fill="auto"/>
        <w:bidi w:val="0"/>
        <w:spacing w:before="0" w:line="307" w:lineRule="exact"/>
        <w:ind w:left="740" w:right="0" w:firstLine="360"/>
        <w:jc w:val="both"/>
      </w:pPr>
      <w:r>
        <w:rPr>
          <w:color w:val="000000"/>
          <w:spacing w:val="0"/>
          <w:w w:val="100"/>
          <w:position w:val="0"/>
        </w:rPr>
        <w:t>宜昌宜通金融服务有限公司成立于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日，注册资本及投资总额为人民币</w:t>
      </w:r>
      <w:r>
        <w:rPr>
          <w:rFonts w:ascii="Times New Roman" w:eastAsia="Times New Roman" w:hAnsi="Times New Roman" w:cs="Times New Roman"/>
          <w:color w:val="000000"/>
          <w:spacing w:val="0"/>
          <w:w w:val="100"/>
          <w:position w:val="0"/>
        </w:rPr>
        <w:t>300</w:t>
      </w:r>
      <w:r>
        <w:rPr>
          <w:color w:val="000000"/>
          <w:spacing w:val="0"/>
          <w:w w:val="100"/>
          <w:position w:val="0"/>
        </w:rPr>
        <w:t>万元，其中公司的全资子公司 深圳银通出资人民币</w:t>
      </w:r>
      <w:r>
        <w:rPr>
          <w:rFonts w:ascii="Times New Roman" w:eastAsia="Times New Roman" w:hAnsi="Times New Roman" w:cs="Times New Roman"/>
          <w:color w:val="000000"/>
          <w:spacing w:val="0"/>
          <w:w w:val="100"/>
          <w:position w:val="0"/>
        </w:rPr>
        <w:t>153</w:t>
      </w:r>
      <w:r>
        <w:rPr>
          <w:color w:val="000000"/>
          <w:spacing w:val="0"/>
          <w:w w:val="100"/>
          <w:position w:val="0"/>
        </w:rPr>
        <w:t>万元，占股比</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47"/>
        <w:keepNext w:val="0"/>
        <w:keepLines w:val="0"/>
        <w:widowControl w:val="0"/>
        <w:shd w:val="clear" w:color="auto" w:fill="auto"/>
        <w:tabs>
          <w:tab w:pos="1437" w:val="left"/>
        </w:tabs>
        <w:bidi w:val="0"/>
        <w:spacing w:before="0" w:after="0" w:line="360" w:lineRule="auto"/>
        <w:ind w:left="1100" w:right="0" w:firstLine="0"/>
        <w:jc w:val="both"/>
      </w:pPr>
      <w:bookmarkStart w:id="266" w:name="bookmark266"/>
      <w:r>
        <w:rPr>
          <w:color w:val="000000"/>
          <w:spacing w:val="0"/>
          <w:w w:val="100"/>
          <w:position w:val="0"/>
        </w:rPr>
        <w:t>9</w:t>
      </w:r>
      <w:bookmarkEnd w:id="266"/>
      <w:r>
        <w:rPr>
          <w:rFonts w:ascii="SimSun" w:eastAsia="SimSun" w:hAnsi="SimSun" w:cs="SimSun"/>
          <w:color w:val="000000"/>
          <w:spacing w:val="0"/>
          <w:w w:val="100"/>
          <w:position w:val="0"/>
        </w:rPr>
        <w:t>、</w:t>
        <w:tab/>
      </w:r>
      <w:r>
        <w:rPr>
          <w:color w:val="000000"/>
          <w:spacing w:val="0"/>
          <w:w w:val="100"/>
          <w:position w:val="0"/>
        </w:rPr>
        <w:t>GRG Deutschland GmbH</w:t>
      </w:r>
    </w:p>
    <w:p>
      <w:pPr>
        <w:pStyle w:val="Style35"/>
        <w:keepNext w:val="0"/>
        <w:keepLines w:val="0"/>
        <w:widowControl w:val="0"/>
        <w:shd w:val="clear" w:color="auto" w:fill="auto"/>
        <w:bidi w:val="0"/>
        <w:spacing w:before="0" w:after="0" w:line="312" w:lineRule="exact"/>
        <w:ind w:left="740" w:right="0" w:firstLine="360"/>
        <w:jc w:val="both"/>
      </w:pPr>
      <w:r>
        <w:rPr>
          <w:rFonts w:ascii="Times New Roman" w:eastAsia="Times New Roman" w:hAnsi="Times New Roman" w:cs="Times New Roman"/>
          <w:color w:val="000000"/>
          <w:spacing w:val="0"/>
          <w:w w:val="100"/>
          <w:position w:val="0"/>
        </w:rPr>
        <w:t>GRG Deutschland GmbH</w:t>
      </w:r>
      <w:r>
        <w:rPr>
          <w:color w:val="000000"/>
          <w:spacing w:val="0"/>
          <w:w w:val="100"/>
          <w:position w:val="0"/>
        </w:rPr>
        <w:t>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日，注册资本及投资总额为</w:t>
      </w:r>
      <w:r>
        <w:rPr>
          <w:rFonts w:ascii="Times New Roman" w:eastAsia="Times New Roman" w:hAnsi="Times New Roman" w:cs="Times New Roman"/>
          <w:color w:val="000000"/>
          <w:spacing w:val="0"/>
          <w:w w:val="100"/>
          <w:position w:val="0"/>
        </w:rPr>
        <w:t>5</w:t>
      </w:r>
      <w:r>
        <w:rPr>
          <w:color w:val="000000"/>
          <w:spacing w:val="0"/>
          <w:w w:val="100"/>
          <w:position w:val="0"/>
        </w:rPr>
        <w:t>万欧元，由公司的全资子公司运通国际 全额出资欧元</w:t>
      </w:r>
      <w:r>
        <w:rPr>
          <w:rFonts w:ascii="Times New Roman" w:eastAsia="Times New Roman" w:hAnsi="Times New Roman" w:cs="Times New Roman"/>
          <w:color w:val="000000"/>
          <w:spacing w:val="0"/>
          <w:w w:val="100"/>
          <w:position w:val="0"/>
        </w:rPr>
        <w:t>5</w:t>
      </w:r>
      <w:r>
        <w:rPr>
          <w:color w:val="000000"/>
          <w:spacing w:val="0"/>
          <w:w w:val="100"/>
          <w:position w:val="0"/>
        </w:rPr>
        <w:t>万元，占股比</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35"/>
        <w:keepNext w:val="0"/>
        <w:keepLines w:val="0"/>
        <w:widowControl w:val="0"/>
        <w:shd w:val="clear" w:color="auto" w:fill="auto"/>
        <w:bidi w:val="0"/>
        <w:spacing w:before="0" w:after="0" w:line="312" w:lineRule="exact"/>
        <w:ind w:left="1100" w:right="0" w:firstLine="0"/>
        <w:jc w:val="both"/>
      </w:pPr>
      <w:r>
        <w:rPr>
          <w:color w:val="000000"/>
          <w:spacing w:val="0"/>
          <w:w w:val="100"/>
          <w:position w:val="0"/>
        </w:rPr>
        <w:t>（二）本期减少合并单位一家，原因为：本期注销一家子公司的子公司。</w:t>
      </w:r>
    </w:p>
    <w:p>
      <w:pPr>
        <w:pStyle w:val="Style35"/>
        <w:keepNext w:val="0"/>
        <w:keepLines w:val="0"/>
        <w:widowControl w:val="0"/>
        <w:shd w:val="clear" w:color="auto" w:fill="auto"/>
        <w:bidi w:val="0"/>
        <w:spacing w:before="0" w:after="360" w:line="312" w:lineRule="exact"/>
        <w:ind w:left="740" w:right="0" w:firstLine="360"/>
        <w:jc w:val="both"/>
      </w:pPr>
      <w:r>
        <w:rPr>
          <w:color w:val="000000"/>
          <w:spacing w:val="0"/>
          <w:w w:val="100"/>
          <w:position w:val="0"/>
        </w:rPr>
        <w:t>2013年10月31日子公司龙源环保注销其子公司天津市福龙源环保科技开发有限公司，自注销日起不再纳入合并报表 范围。</w:t>
      </w:r>
    </w:p>
    <w:p>
      <w:pPr>
        <w:pStyle w:val="Style31"/>
        <w:keepNext/>
        <w:keepLines/>
        <w:widowControl w:val="0"/>
        <w:shd w:val="clear" w:color="auto" w:fill="auto"/>
        <w:bidi w:val="0"/>
        <w:spacing w:before="0" w:after="260" w:line="240" w:lineRule="auto"/>
        <w:ind w:left="0" w:right="0" w:firstLine="740"/>
        <w:jc w:val="both"/>
      </w:pPr>
      <w:bookmarkStart w:id="267" w:name="bookmark267"/>
      <w:bookmarkStart w:id="268" w:name="bookmark268"/>
      <w:bookmarkStart w:id="269" w:name="bookmark269"/>
      <w:r>
        <w:rPr>
          <w:color w:val="000000"/>
          <w:spacing w:val="0"/>
          <w:w w:val="100"/>
          <w:position w:val="0"/>
          <w:sz w:val="24"/>
          <w:szCs w:val="24"/>
        </w:rPr>
        <w:t>十三、公司利润分配及分红派息情况</w:t>
      </w:r>
      <w:bookmarkEnd w:id="267"/>
      <w:bookmarkEnd w:id="268"/>
      <w:bookmarkEnd w:id="269"/>
    </w:p>
    <w:p>
      <w:pPr>
        <w:pStyle w:val="Style3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报告期内利润分配政策特别是现金分红政策的制定、执行或调整情况</w:t>
      </w:r>
    </w:p>
    <w:p>
      <w:pPr>
        <w:pStyle w:val="Style3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w:t>
      </w:r>
      <w:r>
        <w:rPr>
          <w:color w:val="000000"/>
          <w:spacing w:val="0"/>
          <w:w w:val="100"/>
          <w:position w:val="0"/>
        </w:rPr>
        <w:t>适用V不适用</w:t>
      </w:r>
    </w:p>
    <w:p>
      <w:pPr>
        <w:pStyle w:val="Style3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35"/>
        <w:keepNext w:val="0"/>
        <w:keepLines w:val="0"/>
        <w:widowControl w:val="0"/>
        <w:shd w:val="clear" w:color="auto" w:fill="auto"/>
        <w:bidi w:val="0"/>
        <w:spacing w:before="0" w:line="312" w:lineRule="exact"/>
        <w:ind w:left="1160" w:right="0" w:firstLine="0"/>
        <w:jc w:val="both"/>
      </w:pPr>
      <w:bookmarkStart w:id="270" w:name="bookmark270"/>
      <w:r>
        <w:rPr>
          <w:color w:val="000000"/>
          <w:spacing w:val="0"/>
          <w:w w:val="100"/>
          <w:position w:val="0"/>
        </w:rPr>
        <w:t>1</w:t>
      </w:r>
      <w:bookmarkEnd w:id="270"/>
      <w:r>
        <w:rPr>
          <w:color w:val="000000"/>
          <w:spacing w:val="0"/>
          <w:w w:val="100"/>
          <w:position w:val="0"/>
        </w:rPr>
        <w:t>、公司2011年利润分配方案及资本公积金转增股份方案</w:t>
      </w:r>
    </w:p>
    <w:p>
      <w:pPr>
        <w:pStyle w:val="Style35"/>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 xml:space="preserve">以2011年12月31日公司总股本444,784,111股为基数，向全体股东每10股派发现金红利1元（含税），共计分配利润 </w:t>
      </w:r>
      <w:r>
        <w:rPr>
          <w:color w:val="000000"/>
          <w:spacing w:val="0"/>
          <w:w w:val="100"/>
          <w:position w:val="0"/>
        </w:rPr>
        <w:t>44,478,411.10</w:t>
      </w:r>
      <w:r>
        <w:rPr>
          <w:color w:val="000000"/>
          <w:spacing w:val="0"/>
          <w:w w:val="100"/>
          <w:position w:val="0"/>
        </w:rPr>
        <w:t>元，剩余未分配利润</w:t>
      </w:r>
      <w:r>
        <w:rPr>
          <w:color w:val="000000"/>
          <w:spacing w:val="0"/>
          <w:w w:val="100"/>
          <w:position w:val="0"/>
        </w:rPr>
        <w:t>1,338,709,541.92</w:t>
      </w:r>
      <w:r>
        <w:rPr>
          <w:color w:val="000000"/>
          <w:spacing w:val="0"/>
          <w:w w:val="100"/>
          <w:position w:val="0"/>
        </w:rPr>
        <w:t>元结转至下一年度。同时，以2011年12月31日公司总股本444,784,111 股为基数，以资本公积金转增股本，向全体股东每10股转增4股，合计转增177,913,644股，转增后股本为622,697,755股。</w:t>
      </w:r>
    </w:p>
    <w:p>
      <w:pPr>
        <w:pStyle w:val="Style35"/>
        <w:keepNext w:val="0"/>
        <w:keepLines w:val="0"/>
        <w:widowControl w:val="0"/>
        <w:shd w:val="clear" w:color="auto" w:fill="auto"/>
        <w:tabs>
          <w:tab w:pos="1472" w:val="left"/>
        </w:tabs>
        <w:bidi w:val="0"/>
        <w:spacing w:before="0" w:after="0" w:line="318" w:lineRule="exact"/>
        <w:ind w:left="1160" w:right="0" w:firstLine="0"/>
        <w:jc w:val="left"/>
      </w:pPr>
      <w:bookmarkStart w:id="271" w:name="bookmark271"/>
      <w:r>
        <w:rPr>
          <w:color w:val="000000"/>
          <w:spacing w:val="0"/>
          <w:w w:val="100"/>
          <w:position w:val="0"/>
        </w:rPr>
        <w:t>2</w:t>
      </w:r>
      <w:bookmarkEnd w:id="271"/>
      <w:r>
        <w:rPr>
          <w:color w:val="000000"/>
          <w:spacing w:val="0"/>
          <w:w w:val="100"/>
          <w:position w:val="0"/>
        </w:rPr>
        <w:t>、</w:t>
        <w:tab/>
        <w:t>公司2012年利润分配方案</w:t>
      </w:r>
    </w:p>
    <w:p>
      <w:pPr>
        <w:pStyle w:val="Style35"/>
        <w:keepNext w:val="0"/>
        <w:keepLines w:val="0"/>
        <w:widowControl w:val="0"/>
        <w:shd w:val="clear" w:color="auto" w:fill="auto"/>
        <w:bidi w:val="0"/>
        <w:spacing w:before="0" w:after="0" w:line="318" w:lineRule="exact"/>
        <w:ind w:left="740" w:right="0" w:firstLine="360"/>
        <w:jc w:val="both"/>
      </w:pPr>
      <w:r>
        <w:rPr>
          <w:color w:val="000000"/>
          <w:spacing w:val="0"/>
          <w:w w:val="100"/>
          <w:position w:val="0"/>
        </w:rPr>
        <w:t>以2012年12月31日公司总股本622,697,755股为基数，向全体股东每10股送2股红股，派发现金红利3元（含税）</w:t>
      </w:r>
      <w:r>
        <w:rPr>
          <w:i/>
          <w:iCs/>
          <w:color w:val="000000"/>
          <w:spacing w:val="0"/>
          <w:w w:val="100"/>
          <w:position w:val="0"/>
        </w:rPr>
        <w:t xml:space="preserve">， </w:t>
      </w:r>
      <w:r>
        <w:rPr>
          <w:color w:val="000000"/>
          <w:spacing w:val="0"/>
          <w:w w:val="100"/>
          <w:position w:val="0"/>
        </w:rPr>
        <w:t>分配送出红股124,539,551股，派发现金红利</w:t>
      </w:r>
      <w:r>
        <w:rPr>
          <w:color w:val="000000"/>
          <w:spacing w:val="0"/>
          <w:w w:val="100"/>
          <w:position w:val="0"/>
        </w:rPr>
        <w:t>186,809,326.5</w:t>
      </w:r>
      <w:r>
        <w:rPr>
          <w:color w:val="000000"/>
          <w:spacing w:val="0"/>
          <w:w w:val="100"/>
          <w:position w:val="0"/>
        </w:rPr>
        <w:t>0元，共计分配利润</w:t>
      </w:r>
      <w:r>
        <w:rPr>
          <w:color w:val="000000"/>
          <w:spacing w:val="0"/>
          <w:w w:val="100"/>
          <w:position w:val="0"/>
        </w:rPr>
        <w:t>311,348,877.50</w:t>
      </w:r>
      <w:r>
        <w:rPr>
          <w:color w:val="000000"/>
          <w:spacing w:val="0"/>
          <w:w w:val="100"/>
          <w:position w:val="0"/>
        </w:rPr>
        <w:t xml:space="preserve">元，剩余未分配利润 </w:t>
      </w:r>
      <w:r>
        <w:rPr>
          <w:color w:val="000000"/>
          <w:spacing w:val="0"/>
          <w:w w:val="100"/>
          <w:position w:val="0"/>
        </w:rPr>
        <w:t>1,509,570,990.49</w:t>
      </w:r>
      <w:r>
        <w:rPr>
          <w:color w:val="000000"/>
          <w:spacing w:val="0"/>
          <w:w w:val="100"/>
          <w:position w:val="0"/>
        </w:rPr>
        <w:t>元结转至下一年度，送红股后公司总股本变更为747,237,306股。2012年度，公司不进行资本公积转增 股本。</w:t>
      </w:r>
    </w:p>
    <w:p>
      <w:pPr>
        <w:pStyle w:val="Style35"/>
        <w:keepNext w:val="0"/>
        <w:keepLines w:val="0"/>
        <w:widowControl w:val="0"/>
        <w:shd w:val="clear" w:color="auto" w:fill="auto"/>
        <w:tabs>
          <w:tab w:pos="1472" w:val="left"/>
        </w:tabs>
        <w:bidi w:val="0"/>
        <w:spacing w:before="0" w:after="0" w:line="318" w:lineRule="exact"/>
        <w:ind w:left="1160" w:right="0" w:firstLine="0"/>
        <w:jc w:val="left"/>
      </w:pPr>
      <w:bookmarkStart w:id="272" w:name="bookmark272"/>
      <w:r>
        <w:rPr>
          <w:color w:val="000000"/>
          <w:spacing w:val="0"/>
          <w:w w:val="100"/>
          <w:position w:val="0"/>
        </w:rPr>
        <w:t>3</w:t>
      </w:r>
      <w:bookmarkEnd w:id="272"/>
      <w:r>
        <w:rPr>
          <w:color w:val="000000"/>
          <w:spacing w:val="0"/>
          <w:w w:val="100"/>
          <w:position w:val="0"/>
        </w:rPr>
        <w:t>、</w:t>
        <w:tab/>
        <w:t>公司2013年利润分配方案</w:t>
      </w:r>
    </w:p>
    <w:p>
      <w:pPr>
        <w:pStyle w:val="Style35"/>
        <w:keepNext w:val="0"/>
        <w:keepLines w:val="0"/>
        <w:widowControl w:val="0"/>
        <w:shd w:val="clear" w:color="auto" w:fill="auto"/>
        <w:bidi w:val="0"/>
        <w:spacing w:before="0" w:after="220" w:line="318" w:lineRule="exact"/>
        <w:ind w:left="740" w:right="0" w:firstLine="360"/>
        <w:jc w:val="both"/>
      </w:pPr>
      <w:r>
        <w:rPr>
          <w:color w:val="000000"/>
          <w:spacing w:val="0"/>
          <w:w w:val="100"/>
          <w:position w:val="0"/>
        </w:rPr>
        <w:t>以2013年12月31日公司总股本747,237,306股为基数，向全体股东每10股送2股红股，派发现金红利2元（含税）</w:t>
      </w:r>
      <w:r>
        <w:rPr>
          <w:i/>
          <w:iCs/>
          <w:color w:val="000000"/>
          <w:spacing w:val="0"/>
          <w:w w:val="100"/>
          <w:position w:val="0"/>
        </w:rPr>
        <w:t xml:space="preserve">， </w:t>
      </w:r>
      <w:r>
        <w:rPr>
          <w:color w:val="000000"/>
          <w:spacing w:val="0"/>
          <w:w w:val="100"/>
          <w:position w:val="0"/>
        </w:rPr>
        <w:t>本次分配送出红股149,447,461股，派发现金红利</w:t>
      </w:r>
      <w:r>
        <w:rPr>
          <w:color w:val="000000"/>
          <w:spacing w:val="0"/>
          <w:w w:val="100"/>
          <w:position w:val="0"/>
        </w:rPr>
        <w:t>149,447,461.20</w:t>
      </w:r>
      <w:r>
        <w:rPr>
          <w:color w:val="000000"/>
          <w:spacing w:val="0"/>
          <w:w w:val="100"/>
          <w:position w:val="0"/>
        </w:rPr>
        <w:t>元，共计分配利润</w:t>
      </w:r>
      <w:r>
        <w:rPr>
          <w:color w:val="000000"/>
          <w:spacing w:val="0"/>
          <w:w w:val="100"/>
          <w:position w:val="0"/>
        </w:rPr>
        <w:t>298,894,922.20</w:t>
      </w:r>
      <w:r>
        <w:rPr>
          <w:color w:val="000000"/>
          <w:spacing w:val="0"/>
          <w:w w:val="100"/>
          <w:position w:val="0"/>
        </w:rPr>
        <w:t xml:space="preserve">元，剩余未分配利润 </w:t>
      </w:r>
      <w:r>
        <w:rPr>
          <w:color w:val="000000"/>
          <w:spacing w:val="0"/>
          <w:w w:val="100"/>
          <w:position w:val="0"/>
        </w:rPr>
        <w:t>1,787,819,757.95</w:t>
      </w:r>
      <w:r>
        <w:rPr>
          <w:color w:val="000000"/>
          <w:spacing w:val="0"/>
          <w:w w:val="100"/>
          <w:position w:val="0"/>
        </w:rPr>
        <w:t>元结转至下一年度，送红股后公司总股本变更为896,684,767股。2013年度，公司不进行资本公积转增 股本。</w:t>
      </w:r>
    </w:p>
    <w:p>
      <w:pPr>
        <w:pStyle w:val="Style35"/>
        <w:keepNext w:val="0"/>
        <w:keepLines w:val="0"/>
        <w:widowControl w:val="0"/>
        <w:shd w:val="clear" w:color="auto" w:fill="auto"/>
        <w:bidi w:val="0"/>
        <w:spacing w:before="0" w:line="318" w:lineRule="exact"/>
        <w:ind w:left="0" w:right="0" w:firstLine="74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占合并报表中归属于上市公 司股东的净利润的比率（%）</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 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149,447,461.20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705,076,417.95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2012 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186,809,326.50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578,631,983.99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2011 年</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44,478,411.10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506,533,839.64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740"/>
        <w:jc w:val="both"/>
      </w:pPr>
      <w:r>
        <w:rPr>
          <w:color w:val="000000"/>
          <w:spacing w:val="0"/>
          <w:w w:val="100"/>
          <w:position w:val="0"/>
        </w:rPr>
        <w:t>公司报告期内盈利且母公司未分配利润为正但未提出现金红利分配预案</w:t>
      </w:r>
    </w:p>
    <w:p>
      <w:pPr>
        <w:pStyle w:val="Style35"/>
        <w:keepNext w:val="0"/>
        <w:keepLines w:val="0"/>
        <w:widowControl w:val="0"/>
        <w:shd w:val="clear" w:color="auto" w:fill="auto"/>
        <w:bidi w:val="0"/>
        <w:spacing w:before="0" w:after="340" w:line="240" w:lineRule="auto"/>
        <w:ind w:left="0" w:right="0" w:firstLine="740"/>
        <w:jc w:val="both"/>
      </w:pPr>
      <w:r>
        <w:rPr>
          <w:color w:val="000000"/>
          <w:spacing w:val="0"/>
          <w:w w:val="100"/>
          <w:position w:val="0"/>
        </w:rPr>
        <w:t>□</w:t>
      </w:r>
      <w:r>
        <w:rPr>
          <w:color w:val="000000"/>
          <w:spacing w:val="0"/>
          <w:w w:val="100"/>
          <w:position w:val="0"/>
        </w:rPr>
        <w:t>适用V不适用</w:t>
      </w:r>
    </w:p>
    <w:p>
      <w:pPr>
        <w:pStyle w:val="Style31"/>
        <w:keepNext/>
        <w:keepLines/>
        <w:widowControl w:val="0"/>
        <w:shd w:val="clear" w:color="auto" w:fill="auto"/>
        <w:bidi w:val="0"/>
        <w:spacing w:before="0" w:after="340" w:line="240" w:lineRule="auto"/>
        <w:ind w:left="0" w:right="0" w:firstLine="740"/>
        <w:jc w:val="both"/>
      </w:pPr>
      <w:bookmarkStart w:id="273" w:name="bookmark273"/>
      <w:bookmarkStart w:id="274" w:name="bookmark274"/>
      <w:bookmarkStart w:id="275" w:name="bookmark275"/>
      <w:r>
        <w:rPr>
          <w:color w:val="000000"/>
          <w:spacing w:val="0"/>
          <w:w w:val="100"/>
          <w:position w:val="0"/>
          <w:sz w:val="24"/>
          <w:szCs w:val="24"/>
        </w:rPr>
        <w:t>十四、本报告期利润分配及资本公积金转增股本预案</w:t>
      </w:r>
      <w:bookmarkEnd w:id="273"/>
      <w:bookmarkEnd w:id="274"/>
      <w:bookmarkEnd w:id="275"/>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747,237,306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149,447,461.20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2,086,714,680.15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39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682" w:hRule="exact"/>
        </w:trPr>
        <w:tc>
          <w:tcPr>
            <w:gridSpan w:val="2"/>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经立信会计师事务所（特殊普通合伙）审计确认，公司（母公司）</w:t>
            </w:r>
            <w:r>
              <w:rPr>
                <w:color w:val="000000"/>
                <w:spacing w:val="0"/>
                <w:w w:val="100"/>
                <w:position w:val="0"/>
              </w:rPr>
              <w:t>2013</w:t>
            </w:r>
            <w:r>
              <w:rPr>
                <w:rFonts w:ascii="SimSun" w:eastAsia="SimSun" w:hAnsi="SimSun" w:cs="SimSun"/>
                <w:color w:val="000000"/>
                <w:spacing w:val="0"/>
                <w:w w:val="100"/>
                <w:position w:val="0"/>
              </w:rPr>
              <w:t>年度实现净利润</w:t>
            </w:r>
            <w:r>
              <w:rPr>
                <w:color w:val="000000"/>
                <w:spacing w:val="0"/>
                <w:w w:val="100"/>
                <w:position w:val="0"/>
              </w:rPr>
              <w:t>641,270,766.29</w:t>
            </w:r>
            <w:r>
              <w:rPr>
                <w:rFonts w:ascii="SimSun" w:eastAsia="SimSun" w:hAnsi="SimSun" w:cs="SimSun"/>
                <w:color w:val="000000"/>
                <w:spacing w:val="0"/>
                <w:w w:val="100"/>
                <w:position w:val="0"/>
              </w:rPr>
              <w:t>元。依照《公 司法》和《公司章程》的规定，提取法定盈余公积金</w:t>
            </w:r>
            <w:r>
              <w:rPr>
                <w:color w:val="000000"/>
                <w:spacing w:val="0"/>
                <w:w w:val="100"/>
                <w:position w:val="0"/>
              </w:rPr>
              <w:t>64,127,076.63</w:t>
            </w:r>
            <w:r>
              <w:rPr>
                <w:rFonts w:ascii="SimSun" w:eastAsia="SimSun" w:hAnsi="SimSun" w:cs="SimSun"/>
                <w:color w:val="000000"/>
                <w:spacing w:val="0"/>
                <w:w w:val="100"/>
                <w:position w:val="0"/>
              </w:rPr>
              <w:t>元后，公司可供股东分配利润为</w:t>
            </w:r>
            <w:r>
              <w:rPr>
                <w:color w:val="000000"/>
                <w:spacing w:val="0"/>
                <w:w w:val="100"/>
                <w:position w:val="0"/>
              </w:rPr>
              <w:t>2,086,714,680.15</w:t>
            </w:r>
            <w:r>
              <w:rPr>
                <w:rFonts w:ascii="SimSun" w:eastAsia="SimSun" w:hAnsi="SimSun" w:cs="SimSun"/>
                <w:color w:val="000000"/>
                <w:spacing w:val="0"/>
                <w:w w:val="100"/>
                <w:position w:val="0"/>
              </w:rPr>
              <w:t>元（含</w:t>
            </w:r>
          </w:p>
        </w:tc>
      </w:tr>
    </w:tbl>
    <w:p>
      <w:pPr>
        <w:pStyle w:val="Style4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740"/>
        <w:jc w:val="both"/>
      </w:pPr>
      <w:r>
        <w:rPr>
          <w:rFonts w:ascii="SimSun" w:eastAsia="SimSun" w:hAnsi="SimSun" w:cs="SimSun"/>
          <w:color w:val="000000"/>
          <w:spacing w:val="0"/>
          <w:w w:val="100"/>
          <w:position w:val="0"/>
        </w:rPr>
        <w:t>以前年度未分配利润</w:t>
      </w:r>
      <w:r>
        <w:rPr>
          <w:color w:val="000000"/>
          <w:spacing w:val="0"/>
          <w:w w:val="100"/>
          <w:position w:val="0"/>
        </w:rPr>
        <w:t>1,509,570,990.49</w:t>
      </w:r>
      <w:r>
        <w:rPr>
          <w:rFonts w:ascii="SimSun" w:eastAsia="SimSun" w:hAnsi="SimSun" w:cs="SimSun"/>
          <w:color w:val="000000"/>
          <w:spacing w:val="0"/>
          <w:w w:val="100"/>
          <w:position w:val="0"/>
        </w:rPr>
        <w:t>元）。</w:t>
      </w:r>
    </w:p>
    <w:p>
      <w:pPr>
        <w:pStyle w:val="Style3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0" w:lineRule="exact"/>
        <w:ind w:left="740" w:right="0" w:firstLine="360"/>
        <w:jc w:val="both"/>
      </w:pPr>
      <w:r>
        <w:rPr>
          <w:color w:val="000000"/>
          <w:spacing w:val="0"/>
          <w:w w:val="100"/>
          <w:position w:val="0"/>
        </w:rPr>
        <w:t>根据公司利润实现情况和公司发展需要，</w:t>
      </w:r>
      <w:r>
        <w:rPr>
          <w:rFonts w:ascii="Times New Roman" w:eastAsia="Times New Roman" w:hAnsi="Times New Roman" w:cs="Times New Roman"/>
          <w:color w:val="000000"/>
          <w:spacing w:val="0"/>
          <w:w w:val="100"/>
          <w:position w:val="0"/>
        </w:rPr>
        <w:t>2013</w:t>
      </w:r>
      <w:r>
        <w:rPr>
          <w:color w:val="000000"/>
          <w:spacing w:val="0"/>
          <w:w w:val="100"/>
          <w:position w:val="0"/>
        </w:rPr>
        <w:t>年度公司利润分配预案为：以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 xml:space="preserve">747,237,306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股红股，派发现金红利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元（含税），本次分配送出红股</w:t>
      </w:r>
      <w:r>
        <w:rPr>
          <w:rFonts w:ascii="Times New Roman" w:eastAsia="Times New Roman" w:hAnsi="Times New Roman" w:cs="Times New Roman"/>
          <w:color w:val="000000"/>
          <w:spacing w:val="0"/>
          <w:w w:val="100"/>
          <w:position w:val="0"/>
        </w:rPr>
        <w:t>149,447,461</w:t>
      </w:r>
      <w:r>
        <w:rPr>
          <w:color w:val="000000"/>
          <w:spacing w:val="0"/>
          <w:w w:val="100"/>
          <w:position w:val="0"/>
        </w:rPr>
        <w:t>股，派发现金红 利</w:t>
      </w:r>
      <w:r>
        <w:rPr>
          <w:rFonts w:ascii="Times New Roman" w:eastAsia="Times New Roman" w:hAnsi="Times New Roman" w:cs="Times New Roman"/>
          <w:color w:val="000000"/>
          <w:spacing w:val="0"/>
          <w:w w:val="100"/>
          <w:position w:val="0"/>
        </w:rPr>
        <w:t>149,447,461.20</w:t>
      </w:r>
      <w:r>
        <w:rPr>
          <w:color w:val="000000"/>
          <w:spacing w:val="0"/>
          <w:w w:val="100"/>
          <w:position w:val="0"/>
        </w:rPr>
        <w:t>元，共计分配利润</w:t>
      </w:r>
      <w:r>
        <w:rPr>
          <w:rFonts w:ascii="Times New Roman" w:eastAsia="Times New Roman" w:hAnsi="Times New Roman" w:cs="Times New Roman"/>
          <w:color w:val="000000"/>
          <w:spacing w:val="0"/>
          <w:w w:val="100"/>
          <w:position w:val="0"/>
        </w:rPr>
        <w:t>298,894,922.20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1,787,819,757.95</w:t>
      </w:r>
      <w:r>
        <w:rPr>
          <w:color w:val="000000"/>
          <w:spacing w:val="0"/>
          <w:w w:val="100"/>
          <w:position w:val="0"/>
        </w:rPr>
        <w:t>元结转至下一年度，送红股后公 司总股本变更为</w:t>
      </w:r>
      <w:r>
        <w:rPr>
          <w:rFonts w:ascii="Times New Roman" w:eastAsia="Times New Roman" w:hAnsi="Times New Roman" w:cs="Times New Roman"/>
          <w:color w:val="000000"/>
          <w:spacing w:val="0"/>
          <w:w w:val="100"/>
          <w:position w:val="0"/>
        </w:rPr>
        <w:t>896,684,767</w:t>
      </w:r>
      <w:r>
        <w:rPr>
          <w:color w:val="000000"/>
          <w:spacing w:val="0"/>
          <w:w w:val="100"/>
          <w:position w:val="0"/>
        </w:rPr>
        <w:t>股。</w:t>
      </w:r>
      <w:r>
        <w:rPr>
          <w:rFonts w:ascii="Times New Roman" w:eastAsia="Times New Roman" w:hAnsi="Times New Roman" w:cs="Times New Roman"/>
          <w:color w:val="000000"/>
          <w:spacing w:val="0"/>
          <w:w w:val="100"/>
          <w:position w:val="0"/>
        </w:rPr>
        <w:t>2013</w:t>
      </w:r>
      <w:r>
        <w:rPr>
          <w:color w:val="000000"/>
          <w:spacing w:val="0"/>
          <w:w w:val="100"/>
          <w:position w:val="0"/>
        </w:rPr>
        <w:t>年度，公司不进行资本公积转增股本。</w:t>
      </w:r>
    </w:p>
    <w:p>
      <w:pPr>
        <w:pStyle w:val="Style31"/>
        <w:keepNext/>
        <w:keepLines/>
        <w:widowControl w:val="0"/>
        <w:shd w:val="clear" w:color="auto" w:fill="auto"/>
        <w:bidi w:val="0"/>
        <w:spacing w:before="0" w:after="260" w:line="240" w:lineRule="auto"/>
        <w:ind w:left="0" w:right="0" w:firstLine="740"/>
        <w:jc w:val="both"/>
      </w:pPr>
      <w:bookmarkStart w:id="276" w:name="bookmark276"/>
      <w:bookmarkStart w:id="277" w:name="bookmark277"/>
      <w:bookmarkStart w:id="278" w:name="bookmark278"/>
      <w:r>
        <w:rPr>
          <w:color w:val="000000"/>
          <w:spacing w:val="0"/>
          <w:w w:val="100"/>
          <w:position w:val="0"/>
          <w:sz w:val="24"/>
          <w:szCs w:val="24"/>
        </w:rPr>
        <w:t>十五、社会责任情况</w:t>
      </w:r>
      <w:bookmarkEnd w:id="276"/>
      <w:bookmarkEnd w:id="277"/>
      <w:bookmarkEnd w:id="278"/>
    </w:p>
    <w:p>
      <w:pPr>
        <w:pStyle w:val="Style35"/>
        <w:keepNext w:val="0"/>
        <w:keepLines w:val="0"/>
        <w:widowControl w:val="0"/>
        <w:shd w:val="clear" w:color="auto" w:fill="auto"/>
        <w:bidi w:val="0"/>
        <w:spacing w:before="0" w:line="313" w:lineRule="exact"/>
        <w:ind w:left="740" w:right="0" w:firstLine="360"/>
        <w:jc w:val="both"/>
      </w:pPr>
      <w:r>
        <w:rPr>
          <w:color w:val="000000"/>
          <w:spacing w:val="0"/>
          <w:w w:val="100"/>
          <w:position w:val="0"/>
        </w:rPr>
        <w:t>作为一家上市公司，公司在发展壮大的过程中，始终坚持积极履行社会责任。</w:t>
      </w:r>
      <w:r>
        <w:rPr>
          <w:rFonts w:ascii="Times New Roman" w:eastAsia="Times New Roman" w:hAnsi="Times New Roman" w:cs="Times New Roman"/>
          <w:color w:val="000000"/>
          <w:spacing w:val="0"/>
          <w:w w:val="100"/>
          <w:position w:val="0"/>
        </w:rPr>
        <w:t>2013</w:t>
      </w:r>
      <w:r>
        <w:rPr>
          <w:color w:val="000000"/>
          <w:spacing w:val="0"/>
          <w:w w:val="100"/>
          <w:position w:val="0"/>
        </w:rPr>
        <w:t>年，公司按照“为国家、用户、合 作伙伴、投资者和企业员工创造价值”的企业责任理念，在创造经济价值的同时，重视与股东、债权人、员工、客户、供应 商等利益相关方及时沟通，在合作过程中要求做到重信誉、重承诺、重合同、守信用，与利益相关方保持健康良好、合作共 赢的关系，同时公司积极从事环境保护，提高产品质量，保护员工合法权益，积极参与社会公益，践行企业所应承担的社会 责任，促进公司与员工、社会和自然的全面和谐发展。</w:t>
      </w:r>
    </w:p>
    <w:p>
      <w:pPr>
        <w:pStyle w:val="Style35"/>
        <w:keepNext w:val="0"/>
        <w:keepLines w:val="0"/>
        <w:widowControl w:val="0"/>
        <w:shd w:val="clear" w:color="auto" w:fill="auto"/>
        <w:tabs>
          <w:tab w:pos="1401" w:val="left"/>
        </w:tabs>
        <w:bidi w:val="0"/>
        <w:spacing w:before="0" w:after="0"/>
        <w:ind w:left="1100" w:right="0" w:firstLine="0"/>
        <w:jc w:val="both"/>
      </w:pPr>
      <w:bookmarkStart w:id="279" w:name="bookmark279"/>
      <w:r>
        <w:rPr>
          <w:rFonts w:ascii="Times New Roman" w:eastAsia="Times New Roman" w:hAnsi="Times New Roman" w:cs="Times New Roman"/>
          <w:color w:val="000000"/>
          <w:spacing w:val="0"/>
          <w:w w:val="100"/>
          <w:position w:val="0"/>
        </w:rPr>
        <w:t>1</w:t>
      </w:r>
      <w:bookmarkEnd w:id="279"/>
      <w:r>
        <w:rPr>
          <w:color w:val="000000"/>
          <w:spacing w:val="0"/>
          <w:w w:val="100"/>
          <w:position w:val="0"/>
        </w:rPr>
        <w:t>、</w:t>
        <w:tab/>
        <w:t>股东权益责任</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保障股东特别是中小股东的权益，是公司最基本的社会责任。公司严格按照《公司章程》、《股东大会议事规则》的规定 和要求，规范股东大会的召集、召开、表决程序，通过合法有效的方式，让更多的股东能够参加股东大会，确保股东对公司 重大事项的知情权、参与权和表决权；在履行信息披露的职责时，始终坚持真实、准确、及时、完整、公平的信息披露原则， 认真履行信息披露义务，秉持公平、公正、公开的原则对待全体投资者。</w:t>
      </w:r>
    </w:p>
    <w:p>
      <w:pPr>
        <w:pStyle w:val="Style35"/>
        <w:keepNext w:val="0"/>
        <w:keepLines w:val="0"/>
        <w:widowControl w:val="0"/>
        <w:shd w:val="clear" w:color="auto" w:fill="auto"/>
        <w:tabs>
          <w:tab w:pos="1420" w:val="left"/>
        </w:tabs>
        <w:bidi w:val="0"/>
        <w:spacing w:before="0" w:after="0" w:line="313" w:lineRule="exact"/>
        <w:ind w:left="1100" w:right="0" w:firstLine="0"/>
        <w:jc w:val="both"/>
      </w:pPr>
      <w:bookmarkStart w:id="280" w:name="bookmark280"/>
      <w:r>
        <w:rPr>
          <w:rFonts w:ascii="Times New Roman" w:eastAsia="Times New Roman" w:hAnsi="Times New Roman" w:cs="Times New Roman"/>
          <w:color w:val="000000"/>
          <w:spacing w:val="0"/>
          <w:w w:val="100"/>
          <w:position w:val="0"/>
        </w:rPr>
        <w:t>2</w:t>
      </w:r>
      <w:bookmarkEnd w:id="280"/>
      <w:r>
        <w:rPr>
          <w:color w:val="000000"/>
          <w:spacing w:val="0"/>
          <w:w w:val="100"/>
          <w:position w:val="0"/>
        </w:rPr>
        <w:t>、</w:t>
        <w:tab/>
        <w:t>债权人权益责任</w:t>
      </w:r>
    </w:p>
    <w:p>
      <w:pPr>
        <w:pStyle w:val="Style35"/>
        <w:keepNext w:val="0"/>
        <w:keepLines w:val="0"/>
        <w:widowControl w:val="0"/>
        <w:shd w:val="clear" w:color="auto" w:fill="auto"/>
        <w:bidi w:val="0"/>
        <w:spacing w:before="0" w:line="314" w:lineRule="exact"/>
        <w:ind w:left="740" w:right="0" w:firstLine="360"/>
        <w:jc w:val="both"/>
      </w:pPr>
      <w:r>
        <w:rPr>
          <w:color w:val="000000"/>
          <w:spacing w:val="0"/>
          <w:w w:val="100"/>
          <w:position w:val="0"/>
        </w:rPr>
        <w:t>公司一贯奉行稳健诚信的经营策略，充分尊重公司债权人对其债权权益相关的重大信息的知情权，高度重视债权人的合 法权益。在公司的经营决策过程中，公司严格遵守相关合同及制度，充分考虑债权人的合法权益，及时向债权人通报与债权 人权益相关的重大信息；债权人为维护自身利益需要了解公司有关经营、管理等情况时，公司全力予以配合和支持。</w:t>
      </w:r>
    </w:p>
    <w:p>
      <w:pPr>
        <w:pStyle w:val="Style35"/>
        <w:keepNext w:val="0"/>
        <w:keepLines w:val="0"/>
        <w:widowControl w:val="0"/>
        <w:shd w:val="clear" w:color="auto" w:fill="auto"/>
        <w:tabs>
          <w:tab w:pos="1420" w:val="left"/>
        </w:tabs>
        <w:bidi w:val="0"/>
        <w:spacing w:before="0" w:after="0"/>
        <w:ind w:left="1100" w:right="0" w:firstLine="0"/>
        <w:jc w:val="both"/>
      </w:pPr>
      <w:bookmarkStart w:id="281" w:name="bookmark281"/>
      <w:r>
        <w:rPr>
          <w:rFonts w:ascii="Times New Roman" w:eastAsia="Times New Roman" w:hAnsi="Times New Roman" w:cs="Times New Roman"/>
          <w:color w:val="000000"/>
          <w:spacing w:val="0"/>
          <w:w w:val="100"/>
          <w:position w:val="0"/>
        </w:rPr>
        <w:t>3</w:t>
      </w:r>
      <w:bookmarkEnd w:id="281"/>
      <w:r>
        <w:rPr>
          <w:color w:val="000000"/>
          <w:spacing w:val="0"/>
          <w:w w:val="100"/>
          <w:position w:val="0"/>
        </w:rPr>
        <w:t>、</w:t>
        <w:tab/>
        <w:t>员工权益责任</w:t>
      </w:r>
    </w:p>
    <w:p>
      <w:pPr>
        <w:pStyle w:val="Style35"/>
        <w:keepNext w:val="0"/>
        <w:keepLines w:val="0"/>
        <w:widowControl w:val="0"/>
        <w:shd w:val="clear" w:color="auto" w:fill="auto"/>
        <w:bidi w:val="0"/>
        <w:spacing w:before="0" w:line="314" w:lineRule="exact"/>
        <w:ind w:left="740" w:right="0" w:firstLine="360"/>
        <w:jc w:val="both"/>
      </w:pPr>
      <w:r>
        <w:rPr>
          <w:color w:val="000000"/>
          <w:spacing w:val="0"/>
          <w:w w:val="100"/>
          <w:position w:val="0"/>
        </w:rPr>
        <w:t>公司坚持以人为本，把对员工负责视为自身的责任，把为员工创造未来当成长期坚持的重要使命。公司严格遵守《劳动 法》、《劳动合同法》等法律法规的要求，制定并严格执行了《福利薪酬管理制度》，构建和谐的劳资关系，为员工提供良好 的工作、生活环境和各种内部、外部培训机会；公司注重对员工职业发展进行规划，为员工提供平等的发展机会和晋升渠道， 尊重和维护员工的个人利益，努力使员工在公司的发展中也得到快速成长。</w:t>
      </w:r>
    </w:p>
    <w:p>
      <w:pPr>
        <w:pStyle w:val="Style35"/>
        <w:keepNext w:val="0"/>
        <w:keepLines w:val="0"/>
        <w:widowControl w:val="0"/>
        <w:shd w:val="clear" w:color="auto" w:fill="auto"/>
        <w:tabs>
          <w:tab w:pos="1420" w:val="left"/>
        </w:tabs>
        <w:bidi w:val="0"/>
        <w:spacing w:before="0" w:after="0"/>
        <w:ind w:left="1100" w:right="0" w:firstLine="0"/>
        <w:jc w:val="both"/>
      </w:pPr>
      <w:bookmarkStart w:id="282" w:name="bookmark282"/>
      <w:r>
        <w:rPr>
          <w:rFonts w:ascii="Times New Roman" w:eastAsia="Times New Roman" w:hAnsi="Times New Roman" w:cs="Times New Roman"/>
          <w:color w:val="000000"/>
          <w:spacing w:val="0"/>
          <w:w w:val="100"/>
          <w:position w:val="0"/>
        </w:rPr>
        <w:t>4</w:t>
      </w:r>
      <w:bookmarkEnd w:id="282"/>
      <w:r>
        <w:rPr>
          <w:color w:val="000000"/>
          <w:spacing w:val="0"/>
          <w:w w:val="100"/>
          <w:position w:val="0"/>
        </w:rPr>
        <w:t>、</w:t>
        <w:tab/>
        <w:t>安全生产责任</w:t>
      </w:r>
    </w:p>
    <w:p>
      <w:pPr>
        <w:pStyle w:val="Style35"/>
        <w:keepNext w:val="0"/>
        <w:keepLines w:val="0"/>
        <w:widowControl w:val="0"/>
        <w:shd w:val="clear" w:color="auto" w:fill="auto"/>
        <w:bidi w:val="0"/>
        <w:spacing w:before="0" w:line="314" w:lineRule="exact"/>
        <w:ind w:left="740" w:right="0" w:firstLine="360"/>
        <w:jc w:val="both"/>
      </w:pPr>
      <w:r>
        <w:rPr>
          <w:color w:val="000000"/>
          <w:spacing w:val="0"/>
          <w:w w:val="100"/>
          <w:position w:val="0"/>
        </w:rPr>
        <w:t>公司对安全生产建立了包括安全生产目标管理、目标落实、制定安全生产管理标准、贯彻执行、安全教育培训、安全生 产监控检查、考核评价、持续改进、应急事故处理在内的管理制度。总经理为安全生产第一责任人，通过安全生产制度的贯 彻执行、特种设备的定期维护、安全教育培训、安全生产监控检查及安全工作考核评价保障完成安全生产目标。</w:t>
      </w:r>
    </w:p>
    <w:p>
      <w:pPr>
        <w:pStyle w:val="Style35"/>
        <w:keepNext w:val="0"/>
        <w:keepLines w:val="0"/>
        <w:widowControl w:val="0"/>
        <w:shd w:val="clear" w:color="auto" w:fill="auto"/>
        <w:tabs>
          <w:tab w:pos="1420" w:val="left"/>
        </w:tabs>
        <w:bidi w:val="0"/>
        <w:spacing w:before="0" w:after="0"/>
        <w:ind w:left="1100" w:right="0" w:firstLine="0"/>
        <w:jc w:val="both"/>
      </w:pPr>
      <w:bookmarkStart w:id="283" w:name="bookmark283"/>
      <w:r>
        <w:rPr>
          <w:rFonts w:ascii="Times New Roman" w:eastAsia="Times New Roman" w:hAnsi="Times New Roman" w:cs="Times New Roman"/>
          <w:color w:val="000000"/>
          <w:spacing w:val="0"/>
          <w:w w:val="100"/>
          <w:position w:val="0"/>
        </w:rPr>
        <w:t>5</w:t>
      </w:r>
      <w:bookmarkEnd w:id="283"/>
      <w:r>
        <w:rPr>
          <w:color w:val="000000"/>
          <w:spacing w:val="0"/>
          <w:w w:val="100"/>
          <w:position w:val="0"/>
        </w:rPr>
        <w:t>、</w:t>
        <w:tab/>
        <w:t>商品质量责任</w:t>
      </w:r>
    </w:p>
    <w:p>
      <w:pPr>
        <w:pStyle w:val="Style35"/>
        <w:keepNext w:val="0"/>
        <w:keepLines w:val="0"/>
        <w:widowControl w:val="0"/>
        <w:shd w:val="clear" w:color="auto" w:fill="auto"/>
        <w:bidi w:val="0"/>
        <w:spacing w:before="0" w:line="317" w:lineRule="exact"/>
        <w:ind w:left="740" w:right="0" w:firstLine="360"/>
        <w:jc w:val="both"/>
      </w:pPr>
      <w:r>
        <w:rPr>
          <w:color w:val="000000"/>
          <w:spacing w:val="0"/>
          <w:w w:val="100"/>
          <w:position w:val="0"/>
        </w:rPr>
        <w:t>公司坚持“质量是我们的自尊心”原则，为客户提供优质的产品；加强与供应商的沟通合作，实现互惠共赢；严格把控 产品质量，注重产品安全，保护消费者利益。</w:t>
      </w:r>
    </w:p>
    <w:p>
      <w:pPr>
        <w:pStyle w:val="Style35"/>
        <w:keepNext w:val="0"/>
        <w:keepLines w:val="0"/>
        <w:widowControl w:val="0"/>
        <w:shd w:val="clear" w:color="auto" w:fill="auto"/>
        <w:tabs>
          <w:tab w:pos="1420" w:val="left"/>
        </w:tabs>
        <w:bidi w:val="0"/>
        <w:spacing w:before="0" w:after="0"/>
        <w:ind w:left="1100" w:right="0" w:firstLine="0"/>
        <w:jc w:val="both"/>
      </w:pPr>
      <w:bookmarkStart w:id="284" w:name="bookmark284"/>
      <w:r>
        <w:rPr>
          <w:rFonts w:ascii="Times New Roman" w:eastAsia="Times New Roman" w:hAnsi="Times New Roman" w:cs="Times New Roman"/>
          <w:color w:val="000000"/>
          <w:spacing w:val="0"/>
          <w:w w:val="100"/>
          <w:position w:val="0"/>
        </w:rPr>
        <w:t>6</w:t>
      </w:r>
      <w:bookmarkEnd w:id="284"/>
      <w:r>
        <w:rPr>
          <w:color w:val="000000"/>
          <w:spacing w:val="0"/>
          <w:w w:val="100"/>
          <w:position w:val="0"/>
        </w:rPr>
        <w:t>、</w:t>
        <w:tab/>
        <w:t>环境保护责任</w:t>
      </w:r>
    </w:p>
    <w:p>
      <w:pPr>
        <w:pStyle w:val="Style35"/>
        <w:keepNext w:val="0"/>
        <w:keepLines w:val="0"/>
        <w:widowControl w:val="0"/>
        <w:shd w:val="clear" w:color="auto" w:fill="auto"/>
        <w:bidi w:val="0"/>
        <w:spacing w:before="0" w:line="310" w:lineRule="exact"/>
        <w:ind w:left="740" w:right="0" w:firstLine="360"/>
        <w:jc w:val="both"/>
      </w:pPr>
      <w:r>
        <w:rPr>
          <w:color w:val="000000"/>
          <w:spacing w:val="0"/>
          <w:w w:val="100"/>
          <w:position w:val="0"/>
        </w:rPr>
        <w:t>作为高科技电子企业，公司生产以装配为主，无水污染、基本无大气、噪声污染。</w:t>
      </w:r>
      <w:r>
        <w:rPr>
          <w:rFonts w:ascii="Times New Roman" w:eastAsia="Times New Roman" w:hAnsi="Times New Roman" w:cs="Times New Roman"/>
          <w:color w:val="000000"/>
          <w:spacing w:val="0"/>
          <w:w w:val="100"/>
          <w:position w:val="0"/>
        </w:rPr>
        <w:t>2013</w:t>
      </w:r>
      <w:r>
        <w:rPr>
          <w:color w:val="000000"/>
          <w:spacing w:val="0"/>
          <w:w w:val="100"/>
          <w:position w:val="0"/>
        </w:rPr>
        <w:t>年，公司在生产经营中继续坚 持环境友好的原则，坚守“绿色设计，环保制造”的环保理念，通过“地球一小时”的系列活动，呼吁员工加入企业的环保 事业。</w:t>
      </w:r>
    </w:p>
    <w:p>
      <w:pPr>
        <w:pStyle w:val="Style35"/>
        <w:keepNext w:val="0"/>
        <w:keepLines w:val="0"/>
        <w:widowControl w:val="0"/>
        <w:shd w:val="clear" w:color="auto" w:fill="auto"/>
        <w:tabs>
          <w:tab w:pos="1420" w:val="left"/>
        </w:tabs>
        <w:bidi w:val="0"/>
        <w:spacing w:before="0" w:after="0"/>
        <w:ind w:left="1100" w:right="0" w:firstLine="0"/>
        <w:jc w:val="both"/>
      </w:pPr>
      <w:bookmarkStart w:id="285" w:name="bookmark285"/>
      <w:r>
        <w:rPr>
          <w:rFonts w:ascii="Times New Roman" w:eastAsia="Times New Roman" w:hAnsi="Times New Roman" w:cs="Times New Roman"/>
          <w:color w:val="000000"/>
          <w:spacing w:val="0"/>
          <w:w w:val="100"/>
          <w:position w:val="0"/>
        </w:rPr>
        <w:t>7</w:t>
      </w:r>
      <w:bookmarkEnd w:id="285"/>
      <w:r>
        <w:rPr>
          <w:color w:val="000000"/>
          <w:spacing w:val="0"/>
          <w:w w:val="100"/>
          <w:position w:val="0"/>
        </w:rPr>
        <w:t>、</w:t>
        <w:tab/>
        <w:t>社会公益责任</w:t>
      </w:r>
    </w:p>
    <w:p>
      <w:pPr>
        <w:pStyle w:val="Style35"/>
        <w:keepNext w:val="0"/>
        <w:keepLines w:val="0"/>
        <w:widowControl w:val="0"/>
        <w:shd w:val="clear" w:color="auto" w:fill="auto"/>
        <w:bidi w:val="0"/>
        <w:spacing w:before="0" w:after="0" w:line="312" w:lineRule="exact"/>
        <w:ind w:left="740" w:right="0" w:firstLine="360"/>
        <w:jc w:val="both"/>
      </w:pPr>
      <w:r>
        <w:rPr>
          <w:color w:val="000000"/>
          <w:spacing w:val="0"/>
          <w:w w:val="100"/>
          <w:position w:val="0"/>
        </w:rPr>
        <w:t xml:space="preserve">公司一直以来都在积极探索以更加系统、科学的体系践行自身的社会责任，坚信个人、企业、国家应该共同发展，重视 环境保护，有计划的开展社会公益活动，将企业取得的经营成果反馈给社会，不断提升公司的公益品牌形象。例如，公司建 </w:t>
      </w:r>
      <w:r>
        <w:rPr>
          <w:color w:val="000000"/>
          <w:spacing w:val="0"/>
          <w:w w:val="100"/>
          <w:position w:val="0"/>
        </w:rPr>
        <w:t>立了帮扶基金，开展扶贫帮困送温暖、外来务工送幸福等活动；联合中国下一代教育基金会，在湖北、广西、山东等地开展 “童梦守望”关爱计划，为留守儿童送上温暖；全资子公司深圳银通组织“银通情，暖心行”公益爱心活动，将羽绒服、书 包、文具、笔记本等物资送到广东省清远市阳山县独树小学学生的手中……未来的路还很长，公司社会公益志愿服务队将继 续秉承强烈的责任感，将爱心之行进行到底。</w:t>
      </w:r>
    </w:p>
    <w:p>
      <w:pPr>
        <w:pStyle w:val="Style35"/>
        <w:keepNext w:val="0"/>
        <w:keepLines w:val="0"/>
        <w:widowControl w:val="0"/>
        <w:shd w:val="clear" w:color="auto" w:fill="auto"/>
        <w:bidi w:val="0"/>
        <w:spacing w:before="0" w:after="400" w:line="307" w:lineRule="exact"/>
        <w:ind w:left="740" w:right="0" w:firstLine="360"/>
        <w:jc w:val="both"/>
      </w:pPr>
      <w:r>
        <w:rPr>
          <w:color w:val="000000"/>
          <w:spacing w:val="0"/>
          <w:w w:val="100"/>
          <w:position w:val="0"/>
        </w:rPr>
        <w:t>未来，公司将积极履行社会责任，在兼顾环境保护的同时，致力于打造广受客户青睐、赢得社会信赖的知名品牌，实现 商业利益与社会责任的高度统一。</w:t>
      </w:r>
    </w:p>
    <w:p>
      <w:pPr>
        <w:pStyle w:val="Style35"/>
        <w:keepNext w:val="0"/>
        <w:keepLines w:val="0"/>
        <w:widowControl w:val="0"/>
        <w:shd w:val="clear" w:color="auto" w:fill="auto"/>
        <w:bidi w:val="0"/>
        <w:spacing w:before="0" w:line="312" w:lineRule="exact"/>
        <w:ind w:left="0" w:right="0" w:firstLine="740"/>
        <w:jc w:val="both"/>
      </w:pPr>
      <w:r>
        <w:rPr>
          <w:color w:val="000000"/>
          <w:spacing w:val="0"/>
          <w:w w:val="100"/>
          <w:position w:val="0"/>
        </w:rPr>
        <w:t>上市公司及其子公司是否属于国家环境保护部门规定的重污染行业</w:t>
      </w:r>
    </w:p>
    <w:p>
      <w:pPr>
        <w:pStyle w:val="Style3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line="312" w:lineRule="exact"/>
        <w:ind w:left="0" w:right="0" w:firstLine="740"/>
        <w:jc w:val="both"/>
      </w:pPr>
      <w:r>
        <w:rPr>
          <w:color w:val="000000"/>
          <w:spacing w:val="0"/>
          <w:w w:val="100"/>
          <w:position w:val="0"/>
        </w:rPr>
        <w:t>上市公司及其子公司是否存在其他重大社会安全问题</w:t>
      </w:r>
    </w:p>
    <w:p>
      <w:pPr>
        <w:pStyle w:val="Style3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line="312" w:lineRule="exact"/>
        <w:ind w:left="0" w:right="0" w:firstLine="740"/>
        <w:jc w:val="both"/>
      </w:pPr>
      <w:r>
        <w:rPr>
          <w:color w:val="000000"/>
          <w:spacing w:val="0"/>
          <w:w w:val="100"/>
          <w:position w:val="0"/>
        </w:rPr>
        <w:t>报告期内是否被行政处罚</w:t>
      </w:r>
    </w:p>
    <w:p>
      <w:pPr>
        <w:pStyle w:val="Style35"/>
        <w:keepNext w:val="0"/>
        <w:keepLines w:val="0"/>
        <w:widowControl w:val="0"/>
        <w:shd w:val="clear" w:color="auto" w:fill="auto"/>
        <w:bidi w:val="0"/>
        <w:spacing w:before="0" w:after="240"/>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31"/>
        <w:keepNext/>
        <w:keepLines/>
        <w:widowControl w:val="0"/>
        <w:shd w:val="clear" w:color="auto" w:fill="auto"/>
        <w:bidi w:val="0"/>
        <w:spacing w:before="0" w:after="1000" w:line="240" w:lineRule="auto"/>
        <w:ind w:left="0" w:right="0" w:firstLine="740"/>
        <w:jc w:val="both"/>
      </w:pPr>
      <w:bookmarkStart w:id="286" w:name="bookmark286"/>
      <w:bookmarkStart w:id="287" w:name="bookmark287"/>
      <w:bookmarkStart w:id="288" w:name="bookmark288"/>
      <w:r>
        <w:rPr>
          <w:color w:val="000000"/>
          <w:spacing w:val="0"/>
          <w:w w:val="100"/>
          <w:position w:val="0"/>
          <w:sz w:val="24"/>
          <w:szCs w:val="24"/>
        </w:rPr>
        <w:t>十六、报告期内接待调研、沟通、采访等活动登记表</w:t>
      </w:r>
      <w:bookmarkEnd w:id="286"/>
      <w:bookmarkEnd w:id="287"/>
      <w:bookmarkEnd w:id="288"/>
    </w:p>
    <w:tbl>
      <w:tblPr>
        <w:tblOverlap w:val="never"/>
        <w:jc w:val="center"/>
        <w:tblLayout w:type="fixed"/>
      </w:tblPr>
      <w:tblGrid>
        <w:gridCol w:w="1498"/>
        <w:gridCol w:w="845"/>
        <w:gridCol w:w="922"/>
        <w:gridCol w:w="878"/>
        <w:gridCol w:w="4142"/>
        <w:gridCol w:w="1598"/>
      </w:tblGrid>
      <w:tr>
        <w:trPr>
          <w:trHeight w:val="75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接待对象</w:t>
            </w:r>
          </w:p>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谈论的主要内容及 提供的资料</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国泰君安证券、华林证券、鹏华基金、易方达基金、 长信基金、中金公司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28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毕盛（上海）投资咨询公司、南方基金、赤子之心基 金、鹏华基金、信诚基金、银华基金、东吴基金、易 方达基金、博时基金、汇丰晋信基金、申万菱信基金、 兴业全球基金、农银汇理基金、浙商基金、诺安基金、 广发基金、兴业证券、中银国际证券、海通证券、中 信证券、光大证券、东兴证券、中投证券、广发证券、 上投摩根基金、宏源证券、国泰君安证券、申银万国 证券、长城证券、瑞银证券、民生证券、招商证券、 长江证券、广证恒生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广发证券、广东瑞天投资管理有限公司、国泰人寿保 险有限公司，上海重阳投资管理有限公司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国信证券、天弘基金、国泰君安证券、中投证券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广发基金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海通证券、上海尚雅投资管理有限公司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参观公司展厅、了解 公司日常经营情况</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长江证券、国泰基金</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参观公司展厅、了解</w:t>
            </w:r>
          </w:p>
        </w:tc>
      </w:tr>
    </w:tbl>
    <w:p>
      <w:pPr>
        <w:spacing w:lineRule="exact" w:line="1"/>
        <w:rPr>
          <w:sz w:val="2"/>
          <w:szCs w:val="2"/>
        </w:rPr>
      </w:pPr>
      <w:r>
        <w:br w:type="page"/>
      </w:r>
    </w:p>
    <w:tbl>
      <w:tblPr>
        <w:tblOverlap w:val="never"/>
        <w:jc w:val="center"/>
        <w:tblLayout w:type="fixed"/>
      </w:tblPr>
      <w:tblGrid>
        <w:gridCol w:w="1498"/>
        <w:gridCol w:w="845"/>
        <w:gridCol w:w="922"/>
        <w:gridCol w:w="878"/>
        <w:gridCol w:w="4142"/>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淡水泉（北京）投资管理有限公司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招商证券、新华基金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瑞银证券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上海高观投资管理有限公司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金鹰基金、东北证券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中信证券、深圳清水源投资管理有限公司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广发基金、上海泽熙投资管理有限公司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上海闰耀资产管理有限公司、景林资产管理有限公司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南方基金、华夏基金、东北证券、广发证券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银华基金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中信证券、淡水泉（北京）投资管理有限公司、国金 证券、北京源乐晟资产管理有限公司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国泰君安证券、易方达基金、中金公司、华夏基金、 建信基金、国投瑞银基金、广发基金、宝盈基金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平安证券、深圳市晟泰投资管理有限公司、新华资产 管理公司、新华基金、第一创业证券、银泰证券、华 商基金、广州长金投资管理有限公司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55" w:lineRule="exact"/>
              <w:ind w:left="0" w:right="0" w:firstLine="0"/>
              <w:jc w:val="both"/>
            </w:pPr>
            <w:r>
              <w:rPr>
                <w:rFonts w:ascii="SimSun" w:eastAsia="SimSun" w:hAnsi="SimSun" w:cs="SimSun"/>
                <w:color w:val="000000"/>
                <w:spacing w:val="0"/>
                <w:w w:val="100"/>
                <w:position w:val="0"/>
              </w:rPr>
              <w:t>金鹰基金、海通证券、东方证券、长江证券、 凯思博投资管理有限公司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汇添富基金、嘉实基金、中信证券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60" w:lineRule="exact"/>
              <w:ind w:left="0" w:right="0" w:firstLine="0"/>
              <w:jc w:val="both"/>
            </w:pPr>
            <w:r>
              <w:rPr>
                <w:rFonts w:ascii="SimSun" w:eastAsia="SimSun" w:hAnsi="SimSun" w:cs="SimSun"/>
                <w:color w:val="000000"/>
                <w:spacing w:val="0"/>
                <w:w w:val="100"/>
                <w:position w:val="0"/>
              </w:rPr>
              <w:t>申银万国证券、兴业证券、中投证券、东方证券、 北京久富投资有限公司、财达证券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SMC</w:t>
            </w:r>
            <w:r>
              <w:rPr>
                <w:rFonts w:ascii="SimSun" w:eastAsia="SimSun" w:hAnsi="SimSun" w:cs="SimSun"/>
                <w:color w:val="000000"/>
                <w:spacing w:val="0"/>
                <w:w w:val="100"/>
                <w:position w:val="0"/>
              </w:rPr>
              <w:t>中国基金、平安证券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参观公司展厅、了解 公司日常经营情况</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博时基金、海富通基金、毕盛（上海）投资咨询公司、 深圳市景泰利丰投资发展有限公司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参观公司展厅、了解 公司日常经营情况</w:t>
            </w:r>
          </w:p>
        </w:tc>
      </w:tr>
    </w:tbl>
    <w:p>
      <w:pPr>
        <w:pStyle w:val="Style20"/>
        <w:keepNext/>
        <w:keepLines/>
        <w:widowControl w:val="0"/>
        <w:shd w:val="clear" w:color="auto" w:fill="auto"/>
        <w:bidi w:val="0"/>
        <w:spacing w:before="0" w:after="540" w:line="240" w:lineRule="auto"/>
        <w:ind w:left="0" w:right="0" w:firstLine="0"/>
        <w:jc w:val="center"/>
      </w:pPr>
      <w:bookmarkStart w:id="289" w:name="bookmark289"/>
      <w:bookmarkStart w:id="290" w:name="bookmark290"/>
      <w:bookmarkStart w:id="291" w:name="bookmark291"/>
      <w:r>
        <w:rPr>
          <w:color w:val="000000"/>
          <w:spacing w:val="0"/>
          <w:w w:val="100"/>
          <w:position w:val="0"/>
        </w:rPr>
        <w:t>第五节重要事项</w:t>
      </w:r>
      <w:bookmarkEnd w:id="289"/>
      <w:bookmarkEnd w:id="290"/>
      <w:bookmarkEnd w:id="291"/>
    </w:p>
    <w:p>
      <w:pPr>
        <w:pStyle w:val="Style31"/>
        <w:keepNext/>
        <w:keepLines/>
        <w:widowControl w:val="0"/>
        <w:shd w:val="clear" w:color="auto" w:fill="auto"/>
        <w:tabs>
          <w:tab w:pos="1122" w:val="left"/>
        </w:tabs>
        <w:bidi w:val="0"/>
        <w:spacing w:before="0" w:after="360" w:line="240" w:lineRule="auto"/>
        <w:ind w:left="0" w:right="0" w:firstLine="600"/>
        <w:jc w:val="left"/>
      </w:pPr>
      <w:bookmarkStart w:id="292" w:name="bookmark292"/>
      <w:bookmarkStart w:id="293" w:name="bookmark293"/>
      <w:bookmarkStart w:id="294" w:name="bookmark294"/>
      <w:bookmarkStart w:id="295" w:name="bookmark295"/>
      <w:bookmarkStart w:id="296" w:name="bookmark296"/>
      <w:r>
        <w:rPr>
          <w:color w:val="000000"/>
          <w:spacing w:val="0"/>
          <w:w w:val="100"/>
          <w:position w:val="0"/>
          <w:sz w:val="24"/>
          <w:szCs w:val="24"/>
        </w:rPr>
        <w:t>一</w:t>
      </w:r>
      <w:bookmarkEnd w:id="295"/>
      <w:r>
        <w:rPr>
          <w:color w:val="000000"/>
          <w:spacing w:val="0"/>
          <w:w w:val="100"/>
          <w:position w:val="0"/>
          <w:sz w:val="24"/>
          <w:szCs w:val="24"/>
        </w:rPr>
        <w:t>、</w:t>
        <w:tab/>
        <w:t>重大诉讼仲裁事项</w:t>
      </w:r>
      <w:bookmarkEnd w:id="293"/>
      <w:bookmarkEnd w:id="294"/>
      <w:bookmarkEnd w:id="296"/>
      <w:bookmarkEnd w:id="292"/>
    </w:p>
    <w:p>
      <w:pPr>
        <w:pStyle w:val="Style3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本年度公司无重大诉讼、仲裁事项。</w:t>
      </w:r>
    </w:p>
    <w:p>
      <w:pPr>
        <w:pStyle w:val="Style31"/>
        <w:keepNext/>
        <w:keepLines/>
        <w:widowControl w:val="0"/>
        <w:shd w:val="clear" w:color="auto" w:fill="auto"/>
        <w:tabs>
          <w:tab w:pos="1122" w:val="left"/>
        </w:tabs>
        <w:bidi w:val="0"/>
        <w:spacing w:before="0" w:after="360" w:line="240" w:lineRule="auto"/>
        <w:ind w:left="0" w:right="0" w:firstLine="60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w:t>
        <w:tab/>
        <w:t>媒体质疑情况</w:t>
      </w:r>
      <w:bookmarkEnd w:id="297"/>
      <w:bookmarkEnd w:id="298"/>
      <w:bookmarkEnd w:id="300"/>
    </w:p>
    <w:p>
      <w:pPr>
        <w:pStyle w:val="Style35"/>
        <w:keepNext w:val="0"/>
        <w:keepLines w:val="0"/>
        <w:widowControl w:val="0"/>
        <w:shd w:val="clear" w:color="auto" w:fill="auto"/>
        <w:bidi w:val="0"/>
        <w:spacing w:before="0" w:after="140" w:line="240" w:lineRule="auto"/>
        <w:ind w:left="0" w:right="0" w:firstLine="600"/>
        <w:jc w:val="left"/>
      </w:pPr>
      <w:r>
        <w:rPr>
          <w:color w:val="000000"/>
          <w:spacing w:val="0"/>
          <w:w w:val="100"/>
          <w:position w:val="0"/>
        </w:rPr>
        <w:t>□</w:t>
      </w:r>
      <w:r>
        <w:rPr>
          <w:color w:val="000000"/>
          <w:spacing w:val="0"/>
          <w:w w:val="100"/>
          <w:position w:val="0"/>
        </w:rPr>
        <w:t>适用</w:t>
      </w:r>
      <w:r>
        <w:rPr>
          <w:color w:val="000000"/>
          <w:spacing w:val="0"/>
          <w:w w:val="100"/>
          <w:position w:val="0"/>
        </w:rPr>
        <w:t>"</w:t>
      </w:r>
      <w:r>
        <w:rPr>
          <w:color w:val="000000"/>
          <w:spacing w:val="0"/>
          <w:w w:val="100"/>
          <w:position w:val="0"/>
        </w:rPr>
        <w:t>不适用</w:t>
      </w:r>
    </w:p>
    <w:p>
      <w:pPr>
        <w:pStyle w:val="Style3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本年度公司无媒体质疑事项。</w:t>
      </w:r>
    </w:p>
    <w:p>
      <w:pPr>
        <w:pStyle w:val="Style31"/>
        <w:keepNext/>
        <w:keepLines/>
        <w:widowControl w:val="0"/>
        <w:shd w:val="clear" w:color="auto" w:fill="auto"/>
        <w:tabs>
          <w:tab w:pos="1126" w:val="left"/>
        </w:tabs>
        <w:bidi w:val="0"/>
        <w:spacing w:before="0" w:after="360" w:line="240" w:lineRule="auto"/>
        <w:ind w:left="0" w:right="0" w:firstLine="600"/>
        <w:jc w:val="both"/>
      </w:pPr>
      <w:bookmarkStart w:id="301" w:name="bookmark301"/>
      <w:bookmarkStart w:id="302" w:name="bookmark302"/>
      <w:bookmarkStart w:id="303" w:name="bookmark303"/>
      <w:bookmarkStart w:id="304" w:name="bookmark304"/>
      <w:r>
        <w:rPr>
          <w:color w:val="000000"/>
          <w:spacing w:val="0"/>
          <w:w w:val="100"/>
          <w:position w:val="0"/>
          <w:sz w:val="24"/>
          <w:szCs w:val="24"/>
        </w:rPr>
        <w:t>三</w:t>
      </w:r>
      <w:bookmarkEnd w:id="303"/>
      <w:r>
        <w:rPr>
          <w:color w:val="000000"/>
          <w:spacing w:val="0"/>
          <w:w w:val="100"/>
          <w:position w:val="0"/>
          <w:sz w:val="24"/>
          <w:szCs w:val="24"/>
        </w:rPr>
        <w:t>、</w:t>
        <w:tab/>
        <w:t>控股股东及其关联方对上市公司的非经营性占用资金情况</w:t>
      </w:r>
      <w:bookmarkEnd w:id="301"/>
      <w:bookmarkEnd w:id="302"/>
      <w:bookmarkEnd w:id="3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55"/>
        <w:gridCol w:w="960"/>
        <w:gridCol w:w="955"/>
        <w:gridCol w:w="960"/>
        <w:gridCol w:w="960"/>
        <w:gridCol w:w="96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股东或关</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占用时间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报告期新增 占用金额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报告期偿还 总金额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预计偿还方 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预计偿还时 间（月份）</w:t>
            </w:r>
          </w:p>
        </w:tc>
      </w:tr>
      <w:tr>
        <w:trPr>
          <w:trHeight w:val="403" w:hRule="exact"/>
        </w:trPr>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日刊载于巨潮资讯网</w:t>
            </w:r>
            <w:r>
              <w:rPr>
                <w:color w:val="000000"/>
                <w:spacing w:val="0"/>
                <w:w w:val="100"/>
                <w:position w:val="0"/>
              </w:rPr>
              <w:t>http://www.cninfo.com.cn</w:t>
            </w:r>
            <w:r>
              <w:rPr>
                <w:rFonts w:ascii="SimSun" w:eastAsia="SimSun" w:hAnsi="SimSun" w:cs="SimSun"/>
                <w:color w:val="000000"/>
                <w:spacing w:val="0"/>
                <w:w w:val="100"/>
                <w:position w:val="0"/>
              </w:rPr>
              <w:t>上的公告名称《关于对</w:t>
            </w:r>
            <w:r>
              <w:rPr>
                <w:rFonts w:ascii="SimSun" w:eastAsia="SimSun" w:hAnsi="SimSun" w:cs="SimSun"/>
                <w:color w:val="000000"/>
                <w:spacing w:val="0"/>
                <w:w w:val="100"/>
                <w:position w:val="0"/>
              </w:rPr>
              <w:t xml:space="preserve"> 公司控股股东及其他关联方占用资金情况的专项审计说明》。</w:t>
            </w:r>
          </w:p>
        </w:tc>
      </w:tr>
    </w:tbl>
    <w:p>
      <w:pPr>
        <w:widowControl w:val="0"/>
        <w:spacing w:after="399" w:line="1" w:lineRule="exact"/>
      </w:pPr>
    </w:p>
    <w:p>
      <w:pPr>
        <w:pStyle w:val="Style31"/>
        <w:keepNext/>
        <w:keepLines/>
        <w:widowControl w:val="0"/>
        <w:shd w:val="clear" w:color="auto" w:fill="auto"/>
        <w:tabs>
          <w:tab w:pos="1102" w:val="left"/>
        </w:tabs>
        <w:bidi w:val="0"/>
        <w:spacing w:before="0" w:after="360" w:line="240" w:lineRule="auto"/>
        <w:ind w:left="0" w:right="0" w:firstLine="600"/>
        <w:jc w:val="left"/>
      </w:pPr>
      <w:bookmarkStart w:id="305" w:name="bookmark305"/>
      <w:bookmarkStart w:id="306" w:name="bookmark306"/>
      <w:bookmarkStart w:id="307" w:name="bookmark307"/>
      <w:bookmarkStart w:id="308" w:name="bookmark308"/>
      <w:r>
        <w:rPr>
          <w:color w:val="000000"/>
          <w:spacing w:val="0"/>
          <w:w w:val="100"/>
          <w:position w:val="0"/>
          <w:sz w:val="24"/>
          <w:szCs w:val="24"/>
        </w:rPr>
        <w:t>四</w:t>
      </w:r>
      <w:bookmarkEnd w:id="307"/>
      <w:r>
        <w:rPr>
          <w:color w:val="000000"/>
          <w:spacing w:val="0"/>
          <w:w w:val="100"/>
          <w:position w:val="0"/>
          <w:sz w:val="24"/>
          <w:szCs w:val="24"/>
        </w:rPr>
        <w:t>、</w:t>
        <w:tab/>
        <w:t>破产重整相关事项</w:t>
      </w:r>
      <w:bookmarkEnd w:id="305"/>
      <w:bookmarkEnd w:id="306"/>
      <w:bookmarkEnd w:id="308"/>
    </w:p>
    <w:p>
      <w:pPr>
        <w:pStyle w:val="Style35"/>
        <w:keepNext w:val="0"/>
        <w:keepLines w:val="0"/>
        <w:widowControl w:val="0"/>
        <w:shd w:val="clear" w:color="auto" w:fill="auto"/>
        <w:bidi w:val="0"/>
        <w:spacing w:before="0" w:after="360" w:line="240" w:lineRule="auto"/>
        <w:ind w:left="0" w:right="0" w:firstLine="600"/>
        <w:jc w:val="left"/>
      </w:pPr>
      <w:r>
        <w:rPr>
          <w:color w:val="000000"/>
          <w:spacing w:val="0"/>
          <w:w w:val="100"/>
          <w:position w:val="0"/>
        </w:rPr>
        <w:t>报告期内，公司未发生破产重整相关事项。</w:t>
      </w:r>
    </w:p>
    <w:p>
      <w:pPr>
        <w:pStyle w:val="Style31"/>
        <w:keepNext/>
        <w:keepLines/>
        <w:widowControl w:val="0"/>
        <w:shd w:val="clear" w:color="auto" w:fill="auto"/>
        <w:tabs>
          <w:tab w:pos="1122" w:val="left"/>
        </w:tabs>
        <w:bidi w:val="0"/>
        <w:spacing w:before="0" w:after="360" w:line="240" w:lineRule="auto"/>
        <w:ind w:left="0" w:right="0" w:firstLine="600"/>
        <w:jc w:val="left"/>
      </w:pPr>
      <w:bookmarkStart w:id="309" w:name="bookmark309"/>
      <w:bookmarkStart w:id="310" w:name="bookmark310"/>
      <w:bookmarkStart w:id="311" w:name="bookmark311"/>
      <w:bookmarkStart w:id="312" w:name="bookmark312"/>
      <w:r>
        <w:rPr>
          <w:color w:val="000000"/>
          <w:spacing w:val="0"/>
          <w:w w:val="100"/>
          <w:position w:val="0"/>
          <w:sz w:val="24"/>
          <w:szCs w:val="24"/>
        </w:rPr>
        <w:t>五</w:t>
      </w:r>
      <w:bookmarkEnd w:id="311"/>
      <w:r>
        <w:rPr>
          <w:color w:val="000000"/>
          <w:spacing w:val="0"/>
          <w:w w:val="100"/>
          <w:position w:val="0"/>
          <w:sz w:val="24"/>
          <w:szCs w:val="24"/>
        </w:rPr>
        <w:t>、</w:t>
        <w:tab/>
        <w:t>资产交易事项</w:t>
      </w:r>
      <w:bookmarkEnd w:id="309"/>
      <w:bookmarkEnd w:id="310"/>
      <w:bookmarkEnd w:id="312"/>
    </w:p>
    <w:p>
      <w:pPr>
        <w:pStyle w:val="Style44"/>
        <w:keepNext/>
        <w:keepLines/>
        <w:widowControl w:val="0"/>
        <w:shd w:val="clear" w:color="auto" w:fill="auto"/>
        <w:bidi w:val="0"/>
        <w:spacing w:before="0" w:after="360" w:line="240" w:lineRule="auto"/>
        <w:ind w:left="0" w:right="0" w:firstLine="60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、收购资产情况</w:t>
      </w:r>
      <w:bookmarkEnd w:id="313"/>
      <w:bookmarkEnd w:id="314"/>
      <w:bookmarkEnd w:id="316"/>
    </w:p>
    <w:p>
      <w:pPr>
        <w:pStyle w:val="Style33"/>
        <w:keepNext w:val="0"/>
        <w:keepLines w:val="0"/>
        <w:widowControl w:val="0"/>
        <w:shd w:val="clear" w:color="auto" w:fill="auto"/>
        <w:bidi w:val="0"/>
        <w:spacing w:before="0" w:after="0" w:line="240" w:lineRule="auto"/>
        <w:ind w:left="624" w:right="0" w:firstLine="0"/>
        <w:jc w:val="left"/>
      </w:pPr>
      <w:r>
        <w:rPr>
          <w:color w:val="000000"/>
          <w:spacing w:val="0"/>
          <w:w w:val="100"/>
          <w:position w:val="0"/>
        </w:rPr>
        <w:t>”适用口不适用</w:t>
      </w:r>
    </w:p>
    <w:tbl>
      <w:tblPr>
        <w:tblOverlap w:val="never"/>
        <w:jc w:val="center"/>
        <w:tblLayout w:type="fixed"/>
      </w:tblPr>
      <w:tblGrid>
        <w:gridCol w:w="653"/>
        <w:gridCol w:w="720"/>
        <w:gridCol w:w="902"/>
        <w:gridCol w:w="1258"/>
        <w:gridCol w:w="1512"/>
        <w:gridCol w:w="643"/>
        <w:gridCol w:w="979"/>
        <w:gridCol w:w="720"/>
        <w:gridCol w:w="898"/>
        <w:gridCol w:w="902"/>
        <w:gridCol w:w="1699"/>
      </w:tblGrid>
      <w:tr>
        <w:trPr>
          <w:trHeight w:val="36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被收</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交易价</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进展情况</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对公司经营的影</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对公</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该资产为</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是否</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与交易</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312" w:hRule="exact"/>
        </w:trPr>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对方</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购或</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格（万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响</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司损</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上市公司</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为关</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对方的</w:t>
            </w:r>
          </w:p>
        </w:tc>
        <w:tc>
          <w:tcPr>
            <w:tcBorders>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或最</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置入</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元）</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益的</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贡献的净</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联交</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终控</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资产</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影响</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利润占净</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w:t>
            </w: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系（适用</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制方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易情形</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3"/>
        <w:gridCol w:w="720"/>
        <w:gridCol w:w="902"/>
        <w:gridCol w:w="1258"/>
        <w:gridCol w:w="1512"/>
        <w:gridCol w:w="643"/>
        <w:gridCol w:w="979"/>
        <w:gridCol w:w="720"/>
        <w:gridCol w:w="898"/>
        <w:gridCol w:w="902"/>
        <w:gridCol w:w="1699"/>
      </w:tblGrid>
      <w:tr>
        <w:trPr>
          <w:trHeight w:val="36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广州穗通和广州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刊登在《证券时报》</w:t>
            </w: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市国</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通、广州</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日，广州穗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银通购买的土地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公司广</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及巨潮资讯网</w:t>
            </w:r>
          </w:p>
        </w:tc>
      </w:tr>
      <w:tr>
        <w:trPr>
          <w:trHeight w:val="31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土资</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河软</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银通、广</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通、广州银</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用于投资建设大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州穗通、</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6</w:t>
            </w: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 </w:instrText>
            </w:r>
            <w:r>
              <w:fldChar w:fldCharType="separate"/>
            </w:r>
            <w:r>
              <w:rPr>
                <w:color w:val="000000"/>
                <w:spacing w:val="0"/>
                <w:w w:val="100"/>
                <w:position w:val="0"/>
              </w:rPr>
              <w:t>http://www.cninf</w:t>
            </w:r>
            <w:r>
              <w:fldChar w:fldCharType="end"/>
            </w: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源和</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件园</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电物业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通、广电物业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型清分监控中心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w:t>
            </w: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三家联</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三家作为受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和备件培训中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通与关</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于公司控股子公司</w:t>
            </w: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合竞买</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让方与广州</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心，不断提升高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联人广</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及孙公司拟购买国</w:t>
            </w:r>
          </w:p>
        </w:tc>
      </w:tr>
      <w:tr>
        <w:trPr>
          <w:trHeight w:val="31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土地总</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市国土资源</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端金融服务交付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电物业</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有土地使用权暨关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部</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价款为</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和房屋管理</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能力和服务附加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三家联</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联交易的公告》（公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AT030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10,032.8</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局签署了该</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值，为公司业务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合购买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告编号：临</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5112-2</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r>
              <w:rPr>
                <w:rFonts w:ascii="SimSun" w:eastAsia="SimSun" w:hAnsi="SimSun" w:cs="SimSun"/>
                <w:color w:val="000000"/>
                <w:spacing w:val="0"/>
                <w:w w:val="100"/>
                <w:position w:val="0"/>
              </w:rPr>
              <w:t>万元</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宗土地的《国</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的发展提供强大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2013-027 </w:t>
            </w:r>
            <w:r>
              <w:rPr>
                <w:rFonts w:ascii="SimSun" w:eastAsia="SimSun" w:hAnsi="SimSun" w:cs="SimSun"/>
                <w:color w:val="000000"/>
                <w:spacing w:val="0"/>
                <w:w w:val="100"/>
                <w:position w:val="0"/>
              </w:rPr>
              <w:t>)及《关</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有建设用地</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的后备力量，同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于子公司购买国有</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使用权出让</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时为各大金融机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土地使用权的进展</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合同》，截止</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构提供更快速、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公告》（公告编号：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目前，该宗地</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更专业的个性化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临 </w:t>
            </w:r>
            <w:r>
              <w:rPr>
                <w:color w:val="000000"/>
                <w:spacing w:val="0"/>
                <w:w w:val="100"/>
                <w:position w:val="0"/>
              </w:rPr>
              <w:t>2013-032</w:t>
            </w:r>
            <w:r>
              <w:rPr>
                <w:rFonts w:ascii="SimSun" w:eastAsia="SimSun" w:hAnsi="SimSun" w:cs="SimSun"/>
                <w:color w:val="000000"/>
                <w:spacing w:val="0"/>
                <w:w w:val="100"/>
                <w:position w:val="0"/>
              </w:rPr>
              <w:t>)</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块的产权尚</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服务，以实现公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未过户。</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司的快速发展。</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44"/>
        <w:keepNext/>
        <w:keepLines/>
        <w:widowControl w:val="0"/>
        <w:shd w:val="clear" w:color="auto" w:fill="auto"/>
        <w:bidi w:val="0"/>
        <w:spacing w:before="0" w:after="320" w:line="240" w:lineRule="auto"/>
        <w:ind w:left="0" w:right="0" w:firstLine="62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、出售资产情况</w:t>
      </w:r>
      <w:bookmarkEnd w:id="317"/>
      <w:bookmarkEnd w:id="318"/>
      <w:bookmarkEnd w:id="320"/>
    </w:p>
    <w:p>
      <w:pPr>
        <w:pStyle w:val="Style35"/>
        <w:keepNext w:val="0"/>
        <w:keepLines w:val="0"/>
        <w:widowControl w:val="0"/>
        <w:shd w:val="clear" w:color="auto" w:fill="auto"/>
        <w:bidi w:val="0"/>
        <w:spacing w:before="0" w:after="320" w:line="240" w:lineRule="auto"/>
        <w:ind w:left="0" w:right="0" w:firstLine="620"/>
        <w:jc w:val="left"/>
      </w:pPr>
      <w:r>
        <w:rPr>
          <w:color w:val="000000"/>
          <w:spacing w:val="0"/>
          <w:w w:val="100"/>
          <w:position w:val="0"/>
        </w:rPr>
        <w:t>口适用”不适用</w:t>
      </w:r>
    </w:p>
    <w:p>
      <w:pPr>
        <w:pStyle w:val="Style44"/>
        <w:keepNext/>
        <w:keepLines/>
        <w:widowControl w:val="0"/>
        <w:shd w:val="clear" w:color="auto" w:fill="auto"/>
        <w:bidi w:val="0"/>
        <w:spacing w:before="0" w:after="320" w:line="240" w:lineRule="auto"/>
        <w:ind w:left="0" w:right="0" w:firstLine="62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、企业合并情况</w:t>
      </w:r>
      <w:bookmarkEnd w:id="321"/>
      <w:bookmarkEnd w:id="322"/>
      <w:bookmarkEnd w:id="324"/>
    </w:p>
    <w:p>
      <w:pPr>
        <w:pStyle w:val="Style35"/>
        <w:keepNext w:val="0"/>
        <w:keepLines w:val="0"/>
        <w:widowControl w:val="0"/>
        <w:shd w:val="clear" w:color="auto" w:fill="auto"/>
        <w:bidi w:val="0"/>
        <w:spacing w:before="0" w:after="320" w:line="240" w:lineRule="auto"/>
        <w:ind w:left="0" w:right="0" w:firstLine="620"/>
        <w:jc w:val="left"/>
      </w:pPr>
      <w:r>
        <w:rPr>
          <w:color w:val="000000"/>
          <w:spacing w:val="0"/>
          <w:w w:val="100"/>
          <w:position w:val="0"/>
        </w:rPr>
        <w:t>口适用"不适用</w:t>
      </w:r>
    </w:p>
    <w:p>
      <w:pPr>
        <w:pStyle w:val="Style31"/>
        <w:keepNext/>
        <w:keepLines/>
        <w:widowControl w:val="0"/>
        <w:shd w:val="clear" w:color="auto" w:fill="auto"/>
        <w:bidi w:val="0"/>
        <w:spacing w:before="0" w:line="240" w:lineRule="auto"/>
        <w:ind w:left="0" w:right="0" w:firstLine="620"/>
        <w:jc w:val="left"/>
      </w:pPr>
      <w:bookmarkStart w:id="325" w:name="bookmark325"/>
      <w:bookmarkStart w:id="326" w:name="bookmark326"/>
      <w:bookmarkStart w:id="327" w:name="bookmark327"/>
      <w:bookmarkStart w:id="328" w:name="bookmark328"/>
      <w:r>
        <w:rPr>
          <w:color w:val="000000"/>
          <w:spacing w:val="0"/>
          <w:w w:val="100"/>
          <w:position w:val="0"/>
          <w:sz w:val="24"/>
          <w:szCs w:val="24"/>
        </w:rPr>
        <w:t>六</w:t>
      </w:r>
      <w:bookmarkEnd w:id="327"/>
      <w:r>
        <w:rPr>
          <w:color w:val="000000"/>
          <w:spacing w:val="0"/>
          <w:w w:val="100"/>
          <w:position w:val="0"/>
          <w:sz w:val="24"/>
          <w:szCs w:val="24"/>
        </w:rPr>
        <w:t>、公司股权激励的实施情况及其影响</w:t>
      </w:r>
      <w:bookmarkEnd w:id="325"/>
      <w:bookmarkEnd w:id="326"/>
      <w:bookmarkEnd w:id="328"/>
    </w:p>
    <w:p>
      <w:pPr>
        <w:pStyle w:val="Style35"/>
        <w:keepNext w:val="0"/>
        <w:keepLines w:val="0"/>
        <w:widowControl w:val="0"/>
        <w:shd w:val="clear" w:color="auto" w:fill="auto"/>
        <w:bidi w:val="0"/>
        <w:spacing w:before="0" w:after="320" w:line="240" w:lineRule="auto"/>
        <w:ind w:left="0" w:right="0" w:firstLine="620"/>
        <w:jc w:val="left"/>
      </w:pPr>
      <w:r>
        <w:rPr>
          <w:color w:val="000000"/>
          <w:spacing w:val="0"/>
          <w:w w:val="100"/>
          <w:position w:val="0"/>
        </w:rPr>
        <w:t>口适用"不适用</w:t>
      </w:r>
    </w:p>
    <w:p>
      <w:pPr>
        <w:pStyle w:val="Style31"/>
        <w:keepNext/>
        <w:keepLines/>
        <w:widowControl w:val="0"/>
        <w:shd w:val="clear" w:color="auto" w:fill="auto"/>
        <w:bidi w:val="0"/>
        <w:spacing w:before="0" w:line="240" w:lineRule="auto"/>
        <w:ind w:left="0" w:right="0" w:firstLine="620"/>
        <w:jc w:val="left"/>
      </w:pPr>
      <w:bookmarkStart w:id="329" w:name="bookmark329"/>
      <w:bookmarkStart w:id="330" w:name="bookmark330"/>
      <w:bookmarkStart w:id="331" w:name="bookmark331"/>
      <w:bookmarkStart w:id="332" w:name="bookmark332"/>
      <w:r>
        <w:rPr>
          <w:color w:val="000000"/>
          <w:spacing w:val="0"/>
          <w:w w:val="100"/>
          <w:position w:val="0"/>
          <w:sz w:val="24"/>
          <w:szCs w:val="24"/>
        </w:rPr>
        <w:t>七</w:t>
      </w:r>
      <w:bookmarkEnd w:id="331"/>
      <w:r>
        <w:rPr>
          <w:color w:val="000000"/>
          <w:spacing w:val="0"/>
          <w:w w:val="100"/>
          <w:position w:val="0"/>
          <w:sz w:val="24"/>
          <w:szCs w:val="24"/>
        </w:rPr>
        <w:t>、重大关联交易</w:t>
      </w:r>
      <w:bookmarkEnd w:id="329"/>
      <w:bookmarkEnd w:id="330"/>
      <w:bookmarkEnd w:id="332"/>
    </w:p>
    <w:p>
      <w:pPr>
        <w:pStyle w:val="Style44"/>
        <w:keepNext/>
        <w:keepLines/>
        <w:widowControl w:val="0"/>
        <w:shd w:val="clear" w:color="auto" w:fill="auto"/>
        <w:bidi w:val="0"/>
        <w:spacing w:before="0" w:after="320" w:line="240" w:lineRule="auto"/>
        <w:ind w:left="0" w:right="0" w:firstLine="62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、与日常经营相关的关联交易</w:t>
      </w:r>
      <w:bookmarkEnd w:id="333"/>
      <w:bookmarkEnd w:id="334"/>
      <w:bookmarkEnd w:id="336"/>
    </w:p>
    <w:tbl>
      <w:tblPr>
        <w:tblOverlap w:val="never"/>
        <w:jc w:val="center"/>
        <w:tblLayout w:type="fixed"/>
      </w:tblPr>
      <w:tblGrid>
        <w:gridCol w:w="782"/>
        <w:gridCol w:w="1080"/>
        <w:gridCol w:w="720"/>
        <w:gridCol w:w="720"/>
        <w:gridCol w:w="720"/>
        <w:gridCol w:w="720"/>
        <w:gridCol w:w="902"/>
        <w:gridCol w:w="898"/>
        <w:gridCol w:w="720"/>
        <w:gridCol w:w="667"/>
        <w:gridCol w:w="672"/>
        <w:gridCol w:w="1790"/>
      </w:tblGrid>
      <w:tr>
        <w:trPr>
          <w:trHeight w:val="166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 易方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20" w:after="0" w:line="310" w:lineRule="exact"/>
              <w:ind w:left="180" w:right="0" w:firstLine="0"/>
              <w:jc w:val="left"/>
            </w:pPr>
            <w:r>
              <w:rPr>
                <w:rFonts w:ascii="SimSun" w:eastAsia="SimSun" w:hAnsi="SimSun" w:cs="SimSun"/>
                <w:color w:val="000000"/>
                <w:spacing w:val="0"/>
                <w:w w:val="100"/>
                <w:position w:val="0"/>
              </w:rPr>
              <w:t>关联 交易 类型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20" w:after="0" w:line="312" w:lineRule="exact"/>
              <w:ind w:left="180" w:right="0" w:firstLine="0"/>
              <w:jc w:val="left"/>
            </w:pPr>
            <w:r>
              <w:rPr>
                <w:rFonts w:ascii="SimSun" w:eastAsia="SimSun" w:hAnsi="SimSun" w:cs="SimSun"/>
                <w:color w:val="000000"/>
                <w:spacing w:val="0"/>
                <w:w w:val="100"/>
                <w:position w:val="0"/>
              </w:rPr>
              <w:t>关联 交易 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0" w:lineRule="exact"/>
              <w:ind w:left="180" w:right="0" w:firstLine="0"/>
              <w:jc w:val="both"/>
            </w:pPr>
            <w:r>
              <w:rPr>
                <w:rFonts w:ascii="SimSun" w:eastAsia="SimSun" w:hAnsi="SimSun" w:cs="SimSun"/>
                <w:color w:val="000000"/>
                <w:spacing w:val="0"/>
                <w:w w:val="100"/>
                <w:position w:val="0"/>
              </w:rPr>
              <w:t>关联 交易 定价 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关联 交易 价格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关联交 易金额 （万元）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占同类 交易金 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关联 交易 结算 方式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可获 得的 同类 交易 市价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披露</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200"/>
              <w:jc w:val="left"/>
            </w:pPr>
            <w:r>
              <w:rPr>
                <w:rFonts w:ascii="SimSun" w:eastAsia="SimSun" w:hAnsi="SimSun" w:cs="SimSun"/>
                <w:color w:val="000000"/>
                <w:spacing w:val="0"/>
                <w:w w:val="100"/>
                <w:position w:val="0"/>
              </w:rPr>
              <w:t>海格</w:t>
            </w:r>
          </w:p>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机械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采购</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180" w:right="0" w:firstLine="0"/>
              <w:jc w:val="both"/>
            </w:pPr>
            <w:r>
              <w:rPr>
                <w:rFonts w:ascii="SimSun" w:eastAsia="SimSun" w:hAnsi="SimSun" w:cs="SimSun"/>
                <w:color w:val="000000"/>
                <w:spacing w:val="0"/>
                <w:w w:val="100"/>
                <w:position w:val="0"/>
              </w:rPr>
              <w:t>市场 议价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转账 结算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360" w:lineRule="auto"/>
              <w:ind w:left="0" w:right="0" w:firstLine="0"/>
              <w:jc w:val="left"/>
            </w:pPr>
            <w:r>
              <w:rPr>
                <w:color w:val="000000"/>
                <w:spacing w:val="0"/>
                <w:w w:val="100"/>
                <w:position w:val="0"/>
              </w:rPr>
              <w:t>2013</w:t>
            </w:r>
          </w:p>
          <w:p>
            <w:pPr>
              <w:pStyle w:val="Style28"/>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月</w:t>
            </w:r>
            <w:r>
              <w:rPr>
                <w:color w:val="000000"/>
                <w:spacing w:val="0"/>
                <w:w w:val="100"/>
                <w:position w:val="0"/>
              </w:rPr>
              <w:t xml:space="preserve">30 </w:t>
            </w:r>
            <w:r>
              <w:rPr>
                <w:rFonts w:ascii="SimSun" w:eastAsia="SimSun" w:hAnsi="SimSun" w:cs="SimSun"/>
                <w:color w:val="000000"/>
                <w:spacing w:val="0"/>
                <w:w w:val="100"/>
                <w:position w:val="0"/>
              </w:rPr>
              <w:t>日</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刊登在《证券时报》 及巨潮资讯网</w:t>
            </w:r>
          </w:p>
          <w:p>
            <w:pPr>
              <w:pStyle w:val="Style28"/>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http://www.cninfo</w:t>
            </w:r>
            <w:r>
              <w:fldChar w:fldCharType="end"/>
            </w:r>
            <w:r>
              <w:rPr>
                <w:color w:val="000000"/>
                <w:spacing w:val="0"/>
                <w:w w:val="100"/>
                <w:position w:val="0"/>
              </w:rPr>
              <w:t>. 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w:t>
            </w:r>
            <w:r>
              <w:rPr>
                <w:color w:val="000000"/>
                <w:spacing w:val="0"/>
                <w:w w:val="100"/>
                <w:position w:val="0"/>
              </w:rPr>
              <w:t xml:space="preserve">2013 </w:t>
            </w:r>
            <w:r>
              <w:rPr>
                <w:rFonts w:ascii="SimSun" w:eastAsia="SimSun" w:hAnsi="SimSun" w:cs="SimSun"/>
                <w:color w:val="000000"/>
                <w:spacing w:val="0"/>
                <w:w w:val="100"/>
                <w:position w:val="0"/>
              </w:rPr>
              <w:t>年度日常关联交易 预计公告》（公告编</w:t>
            </w:r>
          </w:p>
        </w:tc>
      </w:tr>
      <w:tr>
        <w:trPr>
          <w:trHeight w:val="7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200"/>
              <w:jc w:val="left"/>
            </w:pPr>
            <w:r>
              <w:rPr>
                <w:rFonts w:ascii="SimSun" w:eastAsia="SimSun" w:hAnsi="SimSun" w:cs="SimSun"/>
                <w:color w:val="000000"/>
                <w:spacing w:val="0"/>
                <w:w w:val="100"/>
                <w:position w:val="0"/>
              </w:rPr>
              <w:t>广电</w:t>
            </w:r>
          </w:p>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计量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同一最终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接受</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劳务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计量</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检测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180" w:right="0" w:firstLine="0"/>
              <w:jc w:val="both"/>
            </w:pPr>
            <w:r>
              <w:rPr>
                <w:rFonts w:ascii="SimSun" w:eastAsia="SimSun" w:hAnsi="SimSun" w:cs="SimSun"/>
                <w:color w:val="000000"/>
                <w:spacing w:val="0"/>
                <w:w w:val="100"/>
                <w:position w:val="0"/>
              </w:rPr>
              <w:t>市场 议价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180" w:right="0" w:firstLine="0"/>
              <w:jc w:val="both"/>
            </w:pPr>
            <w:r>
              <w:rPr>
                <w:rFonts w:ascii="SimSun" w:eastAsia="SimSun" w:hAnsi="SimSun" w:cs="SimSun"/>
                <w:color w:val="000000"/>
                <w:spacing w:val="0"/>
                <w:w w:val="100"/>
                <w:position w:val="0"/>
              </w:rPr>
              <w:t>转账 结算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海格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 w:right="0" w:firstLine="0"/>
              <w:jc w:val="both"/>
            </w:pPr>
            <w:r>
              <w:rPr>
                <w:rFonts w:ascii="SimSun" w:eastAsia="SimSun" w:hAnsi="SimSun" w:cs="SimSun"/>
                <w:color w:val="000000"/>
                <w:spacing w:val="0"/>
                <w:w w:val="100"/>
                <w:position w:val="0"/>
              </w:rPr>
              <w:t>市场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0.75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0.64%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 w:right="0" w:firstLine="0"/>
              <w:jc w:val="both"/>
            </w:pPr>
            <w:r>
              <w:rPr>
                <w:rFonts w:ascii="SimSun" w:eastAsia="SimSun" w:hAnsi="SimSun" w:cs="SimSun"/>
                <w:color w:val="000000"/>
                <w:spacing w:val="0"/>
                <w:w w:val="100"/>
                <w:position w:val="0"/>
              </w:rPr>
              <w:t>转账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bottom"/>
          </w:tcPr>
          <w:p>
            <w:pPr/>
          </w:p>
        </w:tc>
      </w:tr>
    </w:tbl>
    <w:p>
      <w:pPr>
        <w:spacing w:lineRule="exact" w:line="1"/>
        <w:rPr>
          <w:sz w:val="2"/>
          <w:szCs w:val="2"/>
        </w:rPr>
      </w:pPr>
      <w:r>
        <w:br w:type="page"/>
      </w:r>
    </w:p>
    <w:tbl>
      <w:tblPr>
        <w:tblOverlap w:val="never"/>
        <w:jc w:val="center"/>
        <w:tblLayout w:type="fixed"/>
      </w:tblPr>
      <w:tblGrid>
        <w:gridCol w:w="3302"/>
        <w:gridCol w:w="264"/>
        <w:gridCol w:w="456"/>
        <w:gridCol w:w="720"/>
        <w:gridCol w:w="902"/>
        <w:gridCol w:w="898"/>
        <w:gridCol w:w="720"/>
        <w:gridCol w:w="667"/>
        <w:gridCol w:w="672"/>
        <w:gridCol w:w="1790"/>
      </w:tblGrid>
      <w:tr>
        <w:trPr>
          <w:trHeight w:val="374" w:hRule="exact"/>
        </w:trPr>
        <w:tc>
          <w:tcPr>
            <w:tcBorders>
              <w:top w:val="single" w:sz="4"/>
              <w:left w:val="single" w:sz="4"/>
            </w:tcBorders>
            <w:shd w:val="clear" w:color="auto" w:fill="FFFFFF"/>
            <w:vAlign w:val="top"/>
          </w:tcPr>
          <w:p>
            <w:pPr>
              <w:pStyle w:val="Style28"/>
              <w:keepNext w:val="0"/>
              <w:keepLines w:val="0"/>
              <w:widowControl w:val="0"/>
              <w:shd w:val="clear" w:color="auto" w:fill="auto"/>
              <w:tabs>
                <w:tab w:pos="2029" w:val="left"/>
              </w:tabs>
              <w:bidi w:val="0"/>
              <w:spacing w:before="0" w:after="0" w:line="240" w:lineRule="auto"/>
              <w:ind w:left="0" w:right="0" w:firstLine="200"/>
              <w:jc w:val="left"/>
            </w:pPr>
            <w:r>
              <w:rPr>
                <w:rFonts w:ascii="SimSun" w:eastAsia="SimSun" w:hAnsi="SimSun" w:cs="SimSun"/>
                <w:color w:val="000000"/>
                <w:spacing w:val="0"/>
                <w:w w:val="100"/>
                <w:position w:val="0"/>
              </w:rPr>
              <w:t>通信 母公司</w:t>
              <w:tab/>
              <w:t>劳务 测试</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号：临</w:t>
            </w:r>
            <w:r>
              <w:rPr>
                <w:color w:val="000000"/>
                <w:spacing w:val="0"/>
                <w:w w:val="100"/>
                <w:position w:val="0"/>
              </w:rPr>
              <w:t>2013-011</w:t>
            </w:r>
            <w:r>
              <w:rPr>
                <w:rFonts w:ascii="SimSun" w:eastAsia="SimSun" w:hAnsi="SimSun" w:cs="SimSu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3,578.28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大额销货退回的详细情况</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20"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关联交易的必要性、持续性、选择与关联方</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（而非市场其他交易方）进行交易的原因</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上述关联交易系本公司正常的生产经营所需，主要是向关联方采购生产所需原材料、 接受劳务等；上述关联交易为持续的、经常性关联交易。</w:t>
            </w:r>
          </w:p>
        </w:tc>
      </w:tr>
      <w:tr>
        <w:trPr>
          <w:trHeight w:val="1032"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关联交易对上市公司独立性的影响</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关联交易价格依据市场公允价格公平、合理确定，不存在损害公司和全体股东利益的 行为。公司与关联企业均为独立法人，独立经营，在资产、财务、人员等方面均独立， 关联交易不会对公司的独立性产生不利影响。</w:t>
            </w:r>
          </w:p>
        </w:tc>
      </w:tr>
      <w:tr>
        <w:trPr>
          <w:trHeight w:val="638"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公司对关联方的依赖程度，以及相关解决措 施（如有）</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不存在对关联方的依赖</w:t>
            </w:r>
          </w:p>
        </w:tc>
      </w:tr>
      <w:tr>
        <w:trPr>
          <w:trHeight w:val="950"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按类别对本期将发生的日常关联交易进行 总金额预计的，在报告期内的实际履行情况 （如有）</w:t>
            </w:r>
          </w:p>
        </w:tc>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公司按类别对</w:t>
            </w:r>
            <w:r>
              <w:rPr>
                <w:color w:val="000000"/>
                <w:spacing w:val="0"/>
                <w:w w:val="100"/>
                <w:position w:val="0"/>
              </w:rPr>
              <w:t>2013</w:t>
            </w:r>
            <w:r>
              <w:rPr>
                <w:rFonts w:ascii="SimSun" w:eastAsia="SimSun" w:hAnsi="SimSun" w:cs="SimSun"/>
                <w:color w:val="000000"/>
                <w:spacing w:val="0"/>
                <w:w w:val="100"/>
                <w:position w:val="0"/>
              </w:rPr>
              <w:t>年将发生的日常关联交易进行总金额预计，详见上述公告，实际执 行情况列示于上表中，均在预计范围内。</w:t>
            </w:r>
          </w:p>
        </w:tc>
      </w:tr>
      <w:tr>
        <w:trPr>
          <w:trHeight w:val="336" w:hRule="exact"/>
        </w:trPr>
        <w:tc>
          <w:tcPr>
            <w:gridSpan w:val="2"/>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交易价格与市场参考价格差异较大的原因</w:t>
            </w:r>
          </w:p>
        </w:tc>
        <w:tc>
          <w:tcPr>
            <w:gridSpan w:val="8"/>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78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、资产收购、出售发生的关联交易</w:t>
      </w:r>
      <w:bookmarkEnd w:id="337"/>
      <w:bookmarkEnd w:id="338"/>
      <w:bookmarkEnd w:id="340"/>
    </w:p>
    <w:tbl>
      <w:tblPr>
        <w:tblOverlap w:val="never"/>
        <w:jc w:val="center"/>
        <w:tblLayout w:type="fixed"/>
      </w:tblPr>
      <w:tblGrid>
        <w:gridCol w:w="576"/>
        <w:gridCol w:w="538"/>
        <w:gridCol w:w="542"/>
        <w:gridCol w:w="1080"/>
        <w:gridCol w:w="720"/>
        <w:gridCol w:w="773"/>
        <w:gridCol w:w="845"/>
        <w:gridCol w:w="720"/>
        <w:gridCol w:w="902"/>
        <w:gridCol w:w="720"/>
        <w:gridCol w:w="898"/>
        <w:gridCol w:w="902"/>
        <w:gridCol w:w="1987"/>
      </w:tblGrid>
      <w:tr>
        <w:trPr>
          <w:trHeight w:val="196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100" w:line="240" w:lineRule="auto"/>
              <w:ind w:left="0" w:right="0" w:firstLine="200"/>
              <w:jc w:val="left"/>
            </w:pPr>
            <w:r>
              <w:rPr>
                <w:rFonts w:ascii="SimSun" w:eastAsia="SimSun" w:hAnsi="SimSun" w:cs="SimSun"/>
                <w:color w:val="000000"/>
                <w:spacing w:val="0"/>
                <w:w w:val="100"/>
                <w:position w:val="0"/>
              </w:rPr>
              <w:t>关</w:t>
            </w:r>
          </w:p>
          <w:p>
            <w:pPr>
              <w:pStyle w:val="Style28"/>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联</w:t>
            </w:r>
          </w:p>
          <w:p>
            <w:pPr>
              <w:pStyle w:val="Style28"/>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180" w:right="0" w:firstLine="0"/>
              <w:jc w:val="both"/>
            </w:pPr>
            <w:r>
              <w:rPr>
                <w:rFonts w:ascii="SimSun" w:eastAsia="SimSun" w:hAnsi="SimSun" w:cs="SimSun"/>
                <w:color w:val="000000"/>
                <w:spacing w:val="0"/>
                <w:w w:val="100"/>
                <w:position w:val="0"/>
              </w:rPr>
              <w:t>关 联 关 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180" w:right="0" w:firstLine="0"/>
              <w:jc w:val="left"/>
            </w:pPr>
            <w:r>
              <w:rPr>
                <w:rFonts w:ascii="SimSun" w:eastAsia="SimSun" w:hAnsi="SimSun" w:cs="SimSun"/>
                <w:color w:val="000000"/>
                <w:spacing w:val="0"/>
                <w:w w:val="100"/>
                <w:position w:val="0"/>
              </w:rPr>
              <w:t>关 联 交 易 类 型</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0" w:lineRule="exact"/>
              <w:ind w:left="180" w:right="0" w:firstLine="0"/>
              <w:jc w:val="left"/>
            </w:pPr>
            <w:r>
              <w:rPr>
                <w:rFonts w:ascii="SimSun" w:eastAsia="SimSun" w:hAnsi="SimSun" w:cs="SimSun"/>
                <w:color w:val="000000"/>
                <w:spacing w:val="0"/>
                <w:w w:val="100"/>
                <w:position w:val="0"/>
              </w:rPr>
              <w:t>关联 交易 定价 原则</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转让资 产的账 面价值</w:t>
            </w:r>
          </w:p>
          <w:p>
            <w:pPr>
              <w:pStyle w:val="Style28"/>
              <w:keepNext w:val="0"/>
              <w:keepLines w:val="0"/>
              <w:widowControl w:val="0"/>
              <w:shd w:val="clear" w:color="auto" w:fill="auto"/>
              <w:bidi w:val="0"/>
              <w:spacing w:before="0" w:after="0" w:line="310" w:lineRule="exact"/>
              <w:ind w:left="0" w:right="200" w:firstLine="0"/>
              <w:jc w:val="right"/>
            </w:pPr>
            <w:r>
              <w:rPr>
                <w:rFonts w:ascii="SimSun" w:eastAsia="SimSun" w:hAnsi="SimSun" w:cs="SimSun"/>
                <w:color w:val="000000"/>
                <w:spacing w:val="0"/>
                <w:w w:val="100"/>
                <w:position w:val="0"/>
              </w:rPr>
              <w:t>（万 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转让资 产的评 估价值</w:t>
            </w:r>
          </w:p>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（万 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9" w:lineRule="exact"/>
              <w:ind w:left="180" w:right="0" w:firstLine="0"/>
              <w:jc w:val="left"/>
            </w:pPr>
            <w:r>
              <w:rPr>
                <w:rFonts w:ascii="SimSun" w:eastAsia="SimSun" w:hAnsi="SimSun" w:cs="SimSun"/>
                <w:color w:val="000000"/>
                <w:spacing w:val="0"/>
                <w:w w:val="100"/>
                <w:position w:val="0"/>
              </w:rPr>
              <w:t>市场 公允 价值</w:t>
            </w:r>
          </w:p>
          <w:p>
            <w:pPr>
              <w:pStyle w:val="Style28"/>
              <w:keepNext w:val="0"/>
              <w:keepLines w:val="0"/>
              <w:widowControl w:val="0"/>
              <w:shd w:val="clear" w:color="auto" w:fill="auto"/>
              <w:bidi w:val="0"/>
              <w:spacing w:before="0" w:after="0" w:line="309" w:lineRule="exact"/>
              <w:ind w:left="180" w:right="0" w:firstLine="0"/>
              <w:jc w:val="left"/>
            </w:pPr>
            <w:r>
              <w:rPr>
                <w:rFonts w:ascii="SimSun" w:eastAsia="SimSun" w:hAnsi="SimSun" w:cs="SimSun"/>
                <w:color w:val="000000"/>
                <w:spacing w:val="0"/>
                <w:w w:val="100"/>
                <w:position w:val="0"/>
              </w:rPr>
              <w:t>（万 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转让价 格（万</w:t>
            </w:r>
          </w:p>
          <w:p>
            <w:pPr>
              <w:pStyle w:val="Style28"/>
              <w:keepNext w:val="0"/>
              <w:keepLines w:val="0"/>
              <w:widowControl w:val="0"/>
              <w:shd w:val="clear" w:color="auto" w:fill="auto"/>
              <w:bidi w:val="0"/>
              <w:spacing w:before="0" w:after="0" w:line="317" w:lineRule="exact"/>
              <w:ind w:left="0" w:right="0" w:firstLine="26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关联 交易 结算 方式</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交易损 益（万</w:t>
            </w:r>
          </w:p>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 期</w:t>
            </w:r>
          </w:p>
        </w:tc>
        <w:tc>
          <w:tcPr>
            <w:tcBorders>
              <w:top w:val="single" w:sz="4"/>
              <w:left w:val="single" w:sz="4"/>
              <w:righ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披露索引</w:t>
            </w:r>
          </w:p>
        </w:tc>
      </w:tr>
      <w:tr>
        <w:trPr>
          <w:trHeight w:val="3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0" w:lineRule="exact"/>
              <w:ind w:left="200" w:right="0" w:firstLine="0"/>
              <w:jc w:val="both"/>
            </w:pPr>
            <w:r>
              <w:rPr>
                <w:rFonts w:ascii="SimSun" w:eastAsia="SimSun" w:hAnsi="SimSun" w:cs="SimSun"/>
                <w:color w:val="000000"/>
                <w:spacing w:val="0"/>
                <w:w w:val="100"/>
                <w:position w:val="0"/>
              </w:rPr>
              <w:t>广 电 物 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300" w:line="308" w:lineRule="exact"/>
              <w:ind w:left="0" w:right="0" w:firstLine="0"/>
              <w:jc w:val="center"/>
            </w:pPr>
            <w:r>
              <w:rPr>
                <w:rFonts w:ascii="SimSun" w:eastAsia="SimSun" w:hAnsi="SimSun" w:cs="SimSun"/>
                <w:color w:val="000000"/>
                <w:spacing w:val="0"/>
                <w:w w:val="100"/>
                <w:position w:val="0"/>
              </w:rPr>
              <w:t>同</w:t>
            </w:r>
          </w:p>
          <w:p>
            <w:pPr>
              <w:pStyle w:val="Style28"/>
              <w:keepNext w:val="0"/>
              <w:keepLines w:val="0"/>
              <w:widowControl w:val="0"/>
              <w:shd w:val="clear" w:color="auto" w:fill="auto"/>
              <w:bidi w:val="0"/>
              <w:spacing w:before="0" w:after="0" w:line="308" w:lineRule="exact"/>
              <w:ind w:left="180" w:right="0" w:firstLine="0"/>
              <w:jc w:val="left"/>
            </w:pPr>
            <w:r>
              <w:rPr>
                <w:rFonts w:ascii="SimSun" w:eastAsia="SimSun" w:hAnsi="SimSun" w:cs="SimSun"/>
                <w:color w:val="000000"/>
                <w:spacing w:val="0"/>
                <w:w w:val="100"/>
                <w:position w:val="0"/>
              </w:rPr>
              <w:t>最 终 母 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8" w:lineRule="exact"/>
              <w:ind w:left="180" w:right="0" w:firstLine="0"/>
              <w:jc w:val="left"/>
            </w:pPr>
            <w:r>
              <w:rPr>
                <w:rFonts w:ascii="SimSun" w:eastAsia="SimSun" w:hAnsi="SimSun" w:cs="SimSun"/>
                <w:color w:val="000000"/>
                <w:spacing w:val="0"/>
                <w:w w:val="100"/>
                <w:position w:val="0"/>
              </w:rPr>
              <w:t xml:space="preserve">联 </w:t>
            </w:r>
            <w:r>
              <w:rPr>
                <w:rFonts w:ascii="SimSun" w:eastAsia="SimSun" w:hAnsi="SimSun" w:cs="SimSun"/>
                <w:color w:val="000000"/>
                <w:spacing w:val="0"/>
                <w:w w:val="100"/>
                <w:position w:val="0"/>
                <w:sz w:val="30"/>
                <w:szCs w:val="30"/>
                <w:vertAlign w:val="subscript"/>
              </w:rPr>
              <w:t xml:space="preserve">合 </w:t>
            </w:r>
            <w:r>
              <w:rPr>
                <w:rFonts w:ascii="SimSun" w:eastAsia="SimSun" w:hAnsi="SimSun" w:cs="SimSun"/>
                <w:color w:val="000000"/>
                <w:spacing w:val="0"/>
                <w:w w:val="100"/>
                <w:position w:val="0"/>
              </w:rPr>
              <w:t>竞 拍 土 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公司子公 司广州穗 通、广州银</w:t>
            </w:r>
          </w:p>
          <w:p>
            <w:pPr>
              <w:pStyle w:val="Style28"/>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通与广电 物业三家 作为受让 方联合竞 拍国有土 地使用权。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120" w:line="240" w:lineRule="auto"/>
              <w:ind w:left="0" w:right="0" w:firstLine="0"/>
              <w:jc w:val="center"/>
            </w:pPr>
            <w:r>
              <w:rPr>
                <w:rFonts w:ascii="SimSun" w:eastAsia="SimSun" w:hAnsi="SimSun" w:cs="SimSun"/>
                <w:color w:val="000000"/>
                <w:spacing w:val="0"/>
                <w:w w:val="100"/>
                <w:position w:val="0"/>
              </w:rPr>
              <w:t>政府</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80" w:line="310" w:lineRule="exact"/>
              <w:ind w:left="0" w:right="0" w:firstLine="0"/>
              <w:jc w:val="both"/>
            </w:pPr>
            <w:r>
              <w:rPr>
                <w:rFonts w:ascii="SimSun" w:eastAsia="SimSun" w:hAnsi="SimSun" w:cs="SimSun"/>
                <w:color w:val="000000"/>
                <w:spacing w:val="0"/>
                <w:w w:val="100"/>
                <w:position w:val="0"/>
              </w:rPr>
              <w:t>竞拍土 地总价 款</w:t>
            </w:r>
          </w:p>
          <w:p>
            <w:pPr>
              <w:pStyle w:val="Style28"/>
              <w:keepNext w:val="0"/>
              <w:keepLines w:val="0"/>
              <w:widowControl w:val="0"/>
              <w:shd w:val="clear" w:color="auto" w:fill="auto"/>
              <w:bidi w:val="0"/>
              <w:spacing w:before="0" w:after="0" w:line="360" w:lineRule="auto"/>
              <w:ind w:left="0" w:right="0" w:firstLine="0"/>
              <w:jc w:val="both"/>
            </w:pPr>
            <w:r>
              <w:rPr>
                <w:color w:val="000000"/>
                <w:spacing w:val="0"/>
                <w:w w:val="100"/>
                <w:position w:val="0"/>
              </w:rPr>
              <w:t>10,032.8</w:t>
            </w:r>
          </w:p>
          <w:p>
            <w:pPr>
              <w:pStyle w:val="Style28"/>
              <w:keepNext w:val="0"/>
              <w:keepLines w:val="0"/>
              <w:widowControl w:val="0"/>
              <w:shd w:val="clear" w:color="auto" w:fill="auto"/>
              <w:bidi w:val="0"/>
              <w:spacing w:before="0" w:after="0" w:line="360" w:lineRule="auto"/>
              <w:ind w:left="0" w:right="0" w:firstLine="0"/>
              <w:jc w:val="both"/>
            </w:pPr>
            <w:r>
              <w:rPr>
                <w:color w:val="000000"/>
                <w:spacing w:val="0"/>
                <w:w w:val="100"/>
                <w:position w:val="0"/>
              </w:rPr>
              <w:t>7</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转账 结算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6</w:t>
            </w:r>
          </w:p>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 巨潮资讯网</w:t>
            </w:r>
          </w:p>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 cninfo.co 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上的《关于公司 控股子公司及孙公司 拟购买国有土地使用 权暨关联交易的公告》</w:t>
            </w:r>
          </w:p>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 xml:space="preserve">（公告编号：临 </w:t>
            </w:r>
            <w:r>
              <w:rPr>
                <w:color w:val="000000"/>
                <w:spacing w:val="0"/>
                <w:w w:val="100"/>
                <w:position w:val="0"/>
              </w:rPr>
              <w:t xml:space="preserve">2013-027 </w:t>
            </w:r>
            <w:r>
              <w:rPr>
                <w:rFonts w:ascii="SimSun" w:eastAsia="SimSun" w:hAnsi="SimSun" w:cs="SimSun"/>
                <w:color w:val="000000"/>
                <w:spacing w:val="0"/>
                <w:w w:val="100"/>
                <w:position w:val="0"/>
              </w:rPr>
              <w:t>）及《关于子 公司购买国有土地使 用权的进展公告》（公 告编号：临</w:t>
            </w:r>
            <w:r>
              <w:rPr>
                <w:color w:val="000000"/>
                <w:spacing w:val="0"/>
                <w:w w:val="100"/>
                <w:position w:val="0"/>
              </w:rPr>
              <w:t>2013-032</w:t>
            </w:r>
            <w:r>
              <w:rPr>
                <w:rFonts w:ascii="SimSun" w:eastAsia="SimSun" w:hAnsi="SimSun" w:cs="SimSun"/>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转让价格与账面价值或评估价 值差异较大的原因（若有）</w:t>
            </w:r>
          </w:p>
        </w:tc>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对公司经营成果与财务状况的 影响情况</w:t>
            </w:r>
          </w:p>
        </w:tc>
        <w:tc>
          <w:tcPr>
            <w:gridSpan w:val="9"/>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44"/>
        <w:keepNext/>
        <w:keepLines/>
        <w:widowControl w:val="0"/>
        <w:shd w:val="clear" w:color="auto" w:fill="auto"/>
        <w:tabs>
          <w:tab w:pos="1162" w:val="left"/>
        </w:tabs>
        <w:bidi w:val="0"/>
        <w:spacing w:before="0" w:after="360" w:line="240" w:lineRule="auto"/>
        <w:ind w:left="0" w:right="0" w:firstLine="78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3</w:t>
      </w:r>
      <w:bookmarkEnd w:id="343"/>
      <w:r>
        <w:rPr>
          <w:color w:val="000000"/>
          <w:spacing w:val="0"/>
          <w:w w:val="100"/>
          <w:position w:val="0"/>
        </w:rPr>
        <w:t>、</w:t>
        <w:tab/>
        <w:t>共同对外投资的重大关联交易</w:t>
      </w:r>
      <w:bookmarkEnd w:id="341"/>
      <w:bookmarkEnd w:id="342"/>
      <w:bookmarkEnd w:id="344"/>
    </w:p>
    <w:p>
      <w:pPr>
        <w:pStyle w:val="Style35"/>
        <w:keepNext w:val="0"/>
        <w:keepLines w:val="0"/>
        <w:widowControl w:val="0"/>
        <w:shd w:val="clear" w:color="auto" w:fill="auto"/>
        <w:bidi w:val="0"/>
        <w:spacing w:before="0" w:after="360" w:line="240" w:lineRule="auto"/>
        <w:ind w:left="0" w:right="0" w:firstLine="780"/>
        <w:jc w:val="left"/>
      </w:pPr>
      <w:r>
        <w:rPr>
          <w:color w:val="000000"/>
          <w:spacing w:val="0"/>
          <w:w w:val="100"/>
          <w:position w:val="0"/>
        </w:rPr>
        <w:t>公司报告期无共同对外投资的重大关联交易情况。</w:t>
      </w:r>
    </w:p>
    <w:p>
      <w:pPr>
        <w:pStyle w:val="Style44"/>
        <w:keepNext/>
        <w:keepLines/>
        <w:widowControl w:val="0"/>
        <w:shd w:val="clear" w:color="auto" w:fill="auto"/>
        <w:tabs>
          <w:tab w:pos="1162" w:val="left"/>
        </w:tabs>
        <w:bidi w:val="0"/>
        <w:spacing w:before="0" w:after="360" w:line="240" w:lineRule="auto"/>
        <w:ind w:left="0" w:right="0" w:firstLine="78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4</w:t>
      </w:r>
      <w:bookmarkEnd w:id="347"/>
      <w:r>
        <w:rPr>
          <w:color w:val="000000"/>
          <w:spacing w:val="0"/>
          <w:w w:val="100"/>
          <w:position w:val="0"/>
        </w:rPr>
        <w:t>、</w:t>
        <w:tab/>
        <w:t>关联债权债务往来</w:t>
      </w:r>
      <w:bookmarkEnd w:id="345"/>
      <w:bookmarkEnd w:id="346"/>
      <w:bookmarkEnd w:id="348"/>
    </w:p>
    <w:p>
      <w:pPr>
        <w:pStyle w:val="Style35"/>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是否存在非经营性关联债权债务往来</w:t>
      </w:r>
    </w:p>
    <w:p>
      <w:pPr>
        <w:pStyle w:val="Style35"/>
        <w:keepNext w:val="0"/>
        <w:keepLines w:val="0"/>
        <w:widowControl w:val="0"/>
        <w:shd w:val="clear" w:color="auto" w:fill="auto"/>
        <w:bidi w:val="0"/>
        <w:spacing w:before="0" w:after="100" w:line="240" w:lineRule="auto"/>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w:t>
      </w:r>
      <w:r>
        <w:rPr>
          <w:color w:val="000000"/>
          <w:spacing w:val="0"/>
          <w:w w:val="100"/>
          <w:position w:val="0"/>
        </w:rPr>
        <w:t>否</w:t>
      </w:r>
    </w:p>
    <w:tbl>
      <w:tblPr>
        <w:tblOverlap w:val="never"/>
        <w:jc w:val="center"/>
        <w:tblLayout w:type="fixed"/>
      </w:tblPr>
      <w:tblGrid>
        <w:gridCol w:w="1138"/>
        <w:gridCol w:w="1387"/>
        <w:gridCol w:w="1800"/>
        <w:gridCol w:w="1133"/>
        <w:gridCol w:w="1277"/>
        <w:gridCol w:w="902"/>
        <w:gridCol w:w="898"/>
        <w:gridCol w:w="854"/>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债权债务类型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是否存在非经</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营性资金占用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期初余额</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本期发生 额（万元）</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期末余额</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广电物业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应付关联方债务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停车费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0.64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广电物业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应收关联方债权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停车押金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鑫广电物业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同一最终母公司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应付关联方债务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560"/>
              <w:jc w:val="both"/>
            </w:pPr>
            <w:r>
              <w:rPr>
                <w:color w:val="000000"/>
                <w:spacing w:val="0"/>
                <w:w w:val="100"/>
                <w:position w:val="0"/>
              </w:rPr>
              <w:t>5.10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3.79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海格机械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同一最终母公司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应付关联方债务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材料采购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广电集团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应付关联方债务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2.26</w:t>
            </w:r>
          </w:p>
        </w:tc>
      </w:tr>
      <w:tr>
        <w:trPr>
          <w:trHeight w:val="720"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关联债权债务对公司经营成果 及财务状况的影响</w:t>
            </w:r>
          </w:p>
        </w:tc>
        <w:tc>
          <w:tcPr>
            <w:gridSpan w:val="6"/>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无影响</w:t>
            </w:r>
          </w:p>
        </w:tc>
      </w:tr>
    </w:tbl>
    <w:p>
      <w:pPr>
        <w:widowControl w:val="0"/>
        <w:spacing w:after="299" w:line="1" w:lineRule="exact"/>
      </w:pPr>
    </w:p>
    <w:p>
      <w:pPr>
        <w:pStyle w:val="Style44"/>
        <w:keepNext/>
        <w:keepLines/>
        <w:widowControl w:val="0"/>
        <w:shd w:val="clear" w:color="auto" w:fill="auto"/>
        <w:bidi w:val="0"/>
        <w:spacing w:before="0" w:after="300" w:line="240" w:lineRule="auto"/>
        <w:ind w:left="0" w:right="0" w:firstLine="78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5</w:t>
      </w:r>
      <w:bookmarkEnd w:id="351"/>
      <w:r>
        <w:rPr>
          <w:color w:val="000000"/>
          <w:spacing w:val="0"/>
          <w:w w:val="100"/>
          <w:position w:val="0"/>
        </w:rPr>
        <w:t>、其他重大关联交易</w:t>
      </w:r>
      <w:bookmarkEnd w:id="349"/>
      <w:bookmarkEnd w:id="350"/>
      <w:bookmarkEnd w:id="352"/>
    </w:p>
    <w:p>
      <w:pPr>
        <w:pStyle w:val="Style35"/>
        <w:keepNext w:val="0"/>
        <w:keepLines w:val="0"/>
        <w:widowControl w:val="0"/>
        <w:shd w:val="clear" w:color="auto" w:fill="auto"/>
        <w:bidi w:val="0"/>
        <w:spacing w:before="0" w:after="100" w:line="305" w:lineRule="exact"/>
        <w:ind w:left="0" w:right="0" w:firstLine="780"/>
        <w:jc w:val="left"/>
      </w:pPr>
      <w:r>
        <w:rPr>
          <w:color w:val="000000"/>
          <w:spacing w:val="0"/>
          <w:w w:val="100"/>
          <w:position w:val="0"/>
        </w:rPr>
        <w:t>与广电集团和广电物业发生的场地租赁和物业管理费</w:t>
      </w:r>
    </w:p>
    <w:p>
      <w:pPr>
        <w:pStyle w:val="Style35"/>
        <w:keepNext w:val="0"/>
        <w:keepLines w:val="0"/>
        <w:widowControl w:val="0"/>
        <w:shd w:val="clear" w:color="auto" w:fill="auto"/>
        <w:bidi w:val="0"/>
        <w:spacing w:before="0" w:after="220" w:line="305" w:lineRule="exact"/>
        <w:ind w:left="780" w:right="0" w:firstLine="420"/>
        <w:jc w:val="both"/>
      </w:pPr>
      <w:r>
        <w:rPr>
          <w:color w:val="000000"/>
          <w:spacing w:val="0"/>
          <w:w w:val="100"/>
          <w:position w:val="0"/>
        </w:rPr>
        <w:t>报告期，公司全资子公司深圳银通及广州银通、控股子公司广州穗通部分生产经营用房继续向公司控股股东广电集团 租用，同时将从广电集团租赁而来的场地物业继续委托给广电集团参股公司广电物业及其子公司鑫广电物业进行管理；本公 司将位于广州市萝岗区科学城科林路</w:t>
      </w:r>
      <w:r>
        <w:rPr>
          <w:rFonts w:ascii="Times New Roman" w:eastAsia="Times New Roman" w:hAnsi="Times New Roman" w:cs="Times New Roman"/>
          <w:color w:val="000000"/>
          <w:spacing w:val="0"/>
          <w:w w:val="100"/>
          <w:position w:val="0"/>
        </w:rPr>
        <w:t>9</w:t>
      </w:r>
      <w:r>
        <w:rPr>
          <w:color w:val="000000"/>
          <w:spacing w:val="0"/>
          <w:w w:val="100"/>
          <w:position w:val="0"/>
        </w:rPr>
        <w:t>号广电运通产业园的物业委托给广电物业进行管理。</w:t>
      </w:r>
    </w:p>
    <w:p>
      <w:pPr>
        <w:pStyle w:val="Style35"/>
        <w:keepNext w:val="0"/>
        <w:keepLines w:val="0"/>
        <w:widowControl w:val="0"/>
        <w:shd w:val="clear" w:color="auto" w:fill="auto"/>
        <w:bidi w:val="0"/>
        <w:spacing w:before="0" w:after="160" w:line="305" w:lineRule="exact"/>
        <w:ind w:left="1140" w:right="0" w:firstLine="0"/>
        <w:jc w:val="left"/>
      </w:pPr>
      <w:r>
        <w:rPr>
          <w:color w:val="000000"/>
          <w:spacing w:val="0"/>
          <w:w w:val="100"/>
          <w:position w:val="0"/>
        </w:rPr>
        <w:t>报告期关联租赁情况：</w:t>
      </w:r>
    </w:p>
    <w:p>
      <w:pPr>
        <w:pStyle w:val="Style33"/>
        <w:keepNext w:val="0"/>
        <w:keepLines w:val="0"/>
        <w:widowControl w:val="0"/>
        <w:shd w:val="clear" w:color="auto" w:fill="auto"/>
        <w:bidi w:val="0"/>
        <w:spacing w:before="0" w:after="0" w:line="240" w:lineRule="auto"/>
        <w:ind w:left="8534" w:right="0" w:firstLine="0"/>
        <w:jc w:val="left"/>
      </w:pPr>
      <w:r>
        <w:rPr>
          <w:color w:val="000000"/>
          <w:spacing w:val="0"/>
          <w:w w:val="100"/>
          <w:position w:val="0"/>
        </w:rPr>
        <w:t>单位：元</w:t>
      </w:r>
    </w:p>
    <w:tbl>
      <w:tblPr>
        <w:tblOverlap w:val="never"/>
        <w:jc w:val="center"/>
        <w:tblLayout w:type="fixed"/>
      </w:tblPr>
      <w:tblGrid>
        <w:gridCol w:w="2347"/>
        <w:gridCol w:w="2486"/>
        <w:gridCol w:w="994"/>
        <w:gridCol w:w="1099"/>
        <w:gridCol w:w="1258"/>
        <w:gridCol w:w="1262"/>
      </w:tblGrid>
      <w:tr>
        <w:trPr>
          <w:trHeight w:val="86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160" w:line="240" w:lineRule="auto"/>
              <w:ind w:left="0" w:right="0" w:firstLine="0"/>
              <w:jc w:val="left"/>
            </w:pPr>
            <w:r>
              <w:rPr>
                <w:rFonts w:ascii="SimSun" w:eastAsia="SimSun" w:hAnsi="SimSun" w:cs="SimSun"/>
                <w:color w:val="000000"/>
                <w:spacing w:val="0"/>
                <w:w w:val="100"/>
                <w:position w:val="0"/>
              </w:rPr>
              <w:t>租赁资产</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160" w:line="240" w:lineRule="auto"/>
              <w:ind w:left="0" w:right="0" w:firstLine="180"/>
              <w:jc w:val="left"/>
            </w:pPr>
            <w:r>
              <w:rPr>
                <w:rFonts w:ascii="SimSun" w:eastAsia="SimSun" w:hAnsi="SimSun" w:cs="SimSun"/>
                <w:color w:val="000000"/>
                <w:spacing w:val="0"/>
                <w:w w:val="100"/>
                <w:position w:val="0"/>
              </w:rPr>
              <w:t>租赁费定</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价依据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160" w:line="240" w:lineRule="auto"/>
              <w:ind w:left="0" w:right="0" w:firstLine="160"/>
              <w:jc w:val="left"/>
            </w:pPr>
            <w:r>
              <w:rPr>
                <w:rFonts w:ascii="SimSun" w:eastAsia="SimSun" w:hAnsi="SimSun" w:cs="SimSun"/>
                <w:color w:val="000000"/>
                <w:spacing w:val="0"/>
                <w:w w:val="100"/>
                <w:position w:val="0"/>
              </w:rPr>
              <w:t>本期确认的</w:t>
            </w:r>
          </w:p>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租赁费</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160" w:line="240" w:lineRule="auto"/>
              <w:ind w:left="0" w:right="0" w:firstLine="160"/>
              <w:jc w:val="left"/>
            </w:pPr>
            <w:r>
              <w:rPr>
                <w:rFonts w:ascii="SimSun" w:eastAsia="SimSun" w:hAnsi="SimSun" w:cs="SimSun"/>
                <w:color w:val="000000"/>
                <w:spacing w:val="0"/>
                <w:w w:val="100"/>
                <w:position w:val="0"/>
              </w:rPr>
              <w:t>上年同期确</w:t>
            </w:r>
          </w:p>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认的租赁费</w:t>
            </w:r>
          </w:p>
        </w:tc>
      </w:tr>
      <w:tr>
        <w:trPr>
          <w:trHeight w:val="4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深圳银通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865,677.75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760,641.95</w:t>
            </w:r>
          </w:p>
        </w:tc>
      </w:tr>
      <w:tr>
        <w:trPr>
          <w:trHeight w:val="4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60"/>
              <w:jc w:val="left"/>
            </w:pPr>
            <w:r>
              <w:rPr>
                <w:color w:val="000000"/>
                <w:spacing w:val="0"/>
                <w:w w:val="100"/>
                <w:position w:val="0"/>
              </w:rPr>
              <w:t>1,006,097.75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414,032.00</w:t>
            </w:r>
          </w:p>
        </w:tc>
      </w:tr>
      <w:tr>
        <w:trPr>
          <w:trHeight w:val="45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广州穗通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市场价格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573,645.21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320"/>
              <w:jc w:val="left"/>
            </w:pPr>
            <w:r>
              <w:rPr>
                <w:color w:val="000000"/>
                <w:spacing w:val="0"/>
                <w:w w:val="100"/>
                <w:position w:val="0"/>
              </w:rPr>
              <w:t>360,003.70</w:t>
            </w:r>
          </w:p>
        </w:tc>
      </w:tr>
      <w:tr>
        <w:trPr>
          <w:trHeight w:val="46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2,445,420.71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1,534,677.65</w:t>
            </w:r>
          </w:p>
        </w:tc>
      </w:tr>
    </w:tbl>
    <w:p>
      <w:pPr>
        <w:widowControl w:val="0"/>
        <w:spacing w:after="299" w:line="1" w:lineRule="exact"/>
      </w:pPr>
    </w:p>
    <w:p>
      <w:pPr>
        <w:pStyle w:val="Style35"/>
        <w:keepNext w:val="0"/>
        <w:keepLines w:val="0"/>
        <w:widowControl w:val="0"/>
        <w:shd w:val="clear" w:color="auto" w:fill="auto"/>
        <w:bidi w:val="0"/>
        <w:spacing w:before="0" w:after="100" w:line="240" w:lineRule="auto"/>
        <w:ind w:left="1140" w:right="0" w:firstLine="0"/>
        <w:jc w:val="left"/>
      </w:pPr>
      <w:r>
        <w:rPr>
          <w:color w:val="000000"/>
          <w:spacing w:val="0"/>
          <w:w w:val="100"/>
          <w:position w:val="0"/>
        </w:rPr>
        <w:t>报告期关联物业管理费情况：</w:t>
      </w:r>
    </w:p>
    <w:p>
      <w:pPr>
        <w:pStyle w:val="Style35"/>
        <w:keepNext w:val="0"/>
        <w:keepLines w:val="0"/>
        <w:widowControl w:val="0"/>
        <w:shd w:val="clear" w:color="auto" w:fill="auto"/>
        <w:bidi w:val="0"/>
        <w:spacing w:before="0" w:after="260" w:line="240" w:lineRule="auto"/>
        <w:ind w:left="9520" w:right="0" w:firstLine="0"/>
        <w:jc w:val="left"/>
      </w:pPr>
      <w:r>
        <w:rPr>
          <w:color w:val="000000"/>
          <w:spacing w:val="0"/>
          <w:w w:val="100"/>
          <w:position w:val="0"/>
        </w:rPr>
        <w:t>单位：元</w:t>
      </w:r>
      <w:r>
        <w:br w:type="page"/>
      </w:r>
    </w:p>
    <w:tbl>
      <w:tblPr>
        <w:tblOverlap w:val="never"/>
        <w:jc w:val="center"/>
        <w:tblLayout w:type="fixed"/>
      </w:tblPr>
      <w:tblGrid>
        <w:gridCol w:w="3749"/>
        <w:gridCol w:w="1795"/>
        <w:gridCol w:w="1992"/>
        <w:gridCol w:w="1997"/>
      </w:tblGrid>
      <w:tr>
        <w:trPr>
          <w:trHeight w:val="44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租赁方</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上期金额</w:t>
            </w: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3,142,450.50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3,015,354.40</w:t>
            </w:r>
          </w:p>
        </w:tc>
      </w:tr>
      <w:tr>
        <w:trPr>
          <w:trHeight w:val="4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广州鑫广电物业服务有限公司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716,991.12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648,633.69</w:t>
            </w: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3,859,441.62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3,663,988.09</w:t>
            </w:r>
          </w:p>
        </w:tc>
      </w:tr>
    </w:tbl>
    <w:p>
      <w:pPr>
        <w:widowControl w:val="0"/>
        <w:spacing w:after="59" w:line="1" w:lineRule="exact"/>
      </w:pPr>
    </w:p>
    <w:p>
      <w:pPr>
        <w:pStyle w:val="Style35"/>
        <w:keepNext w:val="0"/>
        <w:keepLines w:val="0"/>
        <w:widowControl w:val="0"/>
        <w:shd w:val="clear" w:color="auto" w:fill="auto"/>
        <w:bidi w:val="0"/>
        <w:spacing w:before="0" w:after="200" w:line="312" w:lineRule="exact"/>
        <w:ind w:left="760" w:right="0" w:firstLine="440"/>
        <w:jc w:val="both"/>
      </w:pPr>
      <w:r>
        <w:rPr>
          <w:color w:val="000000"/>
          <w:spacing w:val="0"/>
          <w:w w:val="100"/>
          <w:position w:val="0"/>
        </w:rPr>
        <w:t>上述关联交易的定价是根据租赁房屋所在地的市场价格，双方在自愿、平等、协商一致的基础上确定的，价格公允合 理，没有损害非关联方股东的利益，有利于公司的正常生产、办公和长期稳定发展。对于上述关联交易，公司严格履行必要 的决策程序和审批手续，符合《深圳证券交易所股票上市规则》、《公司章程》和《关联交易管理制度》的有关规定。</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1"/>
        <w:gridCol w:w="2650"/>
        <w:gridCol w:w="34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r>
        <w:trPr>
          <w:trHeight w:val="40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2013</w:t>
            </w:r>
            <w:r>
              <w:rPr>
                <w:rFonts w:ascii="SimSun" w:eastAsia="SimSun" w:hAnsi="SimSun" w:cs="SimSun"/>
                <w:color w:val="000000"/>
                <w:spacing w:val="0"/>
                <w:w w:val="100"/>
                <w:position w:val="0"/>
              </w:rPr>
              <w:t>年度日常关联交易预计公告》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巨潮资讯网</w:t>
            </w:r>
            <w:r>
              <w:rPr>
                <w:rFonts w:ascii="SimSun" w:eastAsia="SimSun" w:hAnsi="SimSun" w:cs="SimSun"/>
                <w:color w:val="000000"/>
                <w:spacing w:val="0"/>
                <w:w w:val="100"/>
                <w:position w:val="0"/>
              </w:rPr>
              <w:t>(</w:t>
            </w:r>
            <w:r>
              <w:rPr>
                <w:color w:val="000000"/>
                <w:spacing w:val="0"/>
                <w:w w:val="100"/>
                <w:position w:val="0"/>
              </w:rPr>
              <w:t xml:space="preserve">http: </w:t>
            </w:r>
            <w:r>
              <w:rPr>
                <w:color w:val="000000"/>
                <w:spacing w:val="0"/>
                <w:w w:val="100"/>
                <w:position w:val="0"/>
              </w:rPr>
              <w:t>//www.cninfo.com</w:t>
            </w:r>
            <w:r>
              <w:rPr>
                <w:color w:val="000000"/>
                <w:spacing w:val="0"/>
                <w:w w:val="100"/>
                <w:position w:val="0"/>
              </w:rPr>
              <w:t>. cn</w:t>
            </w:r>
            <w:r>
              <w:rPr>
                <w:rFonts w:ascii="SimSun" w:eastAsia="SimSun" w:hAnsi="SimSun" w:cs="SimSu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760"/>
        <w:jc w:val="left"/>
      </w:pPr>
      <w:bookmarkStart w:id="353" w:name="bookmark353"/>
      <w:bookmarkStart w:id="354" w:name="bookmark354"/>
      <w:bookmarkStart w:id="355" w:name="bookmark355"/>
      <w:bookmarkStart w:id="356" w:name="bookmark356"/>
      <w:r>
        <w:rPr>
          <w:color w:val="000000"/>
          <w:spacing w:val="0"/>
          <w:w w:val="100"/>
          <w:position w:val="0"/>
          <w:sz w:val="24"/>
          <w:szCs w:val="24"/>
        </w:rPr>
        <w:t>八</w:t>
      </w:r>
      <w:bookmarkEnd w:id="355"/>
      <w:r>
        <w:rPr>
          <w:color w:val="000000"/>
          <w:spacing w:val="0"/>
          <w:w w:val="100"/>
          <w:position w:val="0"/>
          <w:sz w:val="24"/>
          <w:szCs w:val="24"/>
        </w:rPr>
        <w:t>、重大合同及其履行情况</w:t>
      </w:r>
      <w:bookmarkEnd w:id="353"/>
      <w:bookmarkEnd w:id="354"/>
      <w:bookmarkEnd w:id="356"/>
    </w:p>
    <w:p>
      <w:pPr>
        <w:pStyle w:val="Style44"/>
        <w:keepNext/>
        <w:keepLines/>
        <w:widowControl w:val="0"/>
        <w:shd w:val="clear" w:color="auto" w:fill="auto"/>
        <w:tabs>
          <w:tab w:pos="1133" w:val="left"/>
        </w:tabs>
        <w:bidi w:val="0"/>
        <w:spacing w:before="0" w:after="360" w:line="240" w:lineRule="auto"/>
        <w:ind w:left="0" w:right="0" w:firstLine="760"/>
        <w:jc w:val="both"/>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w:t>
        <w:tab/>
        <w:t>托管、承包、租赁事项情况</w:t>
      </w:r>
      <w:bookmarkEnd w:id="357"/>
      <w:bookmarkEnd w:id="358"/>
      <w:bookmarkEnd w:id="360"/>
    </w:p>
    <w:p>
      <w:pPr>
        <w:pStyle w:val="Style35"/>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本年度公司无托管、承包、租赁事项情况。</w:t>
      </w:r>
    </w:p>
    <w:p>
      <w:pPr>
        <w:pStyle w:val="Style44"/>
        <w:keepNext/>
        <w:keepLines/>
        <w:widowControl w:val="0"/>
        <w:shd w:val="clear" w:color="auto" w:fill="auto"/>
        <w:tabs>
          <w:tab w:pos="1142" w:val="left"/>
        </w:tabs>
        <w:bidi w:val="0"/>
        <w:spacing w:before="0" w:after="360" w:line="240" w:lineRule="auto"/>
        <w:ind w:left="0" w:right="0" w:firstLine="76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w:t>
        <w:tab/>
        <w:t>担保情况</w:t>
      </w:r>
      <w:bookmarkEnd w:id="361"/>
      <w:bookmarkEnd w:id="362"/>
      <w:bookmarkEnd w:id="364"/>
    </w:p>
    <w:p>
      <w:pPr>
        <w:pStyle w:val="Style33"/>
        <w:keepNext w:val="0"/>
        <w:keepLines w:val="0"/>
        <w:widowControl w:val="0"/>
        <w:shd w:val="clear" w:color="auto" w:fill="auto"/>
        <w:bidi w:val="0"/>
        <w:spacing w:before="0" w:after="0" w:line="240" w:lineRule="auto"/>
        <w:ind w:left="8453" w:right="0" w:firstLine="0"/>
        <w:jc w:val="left"/>
      </w:pPr>
      <w:r>
        <w:rPr>
          <w:color w:val="000000"/>
          <w:spacing w:val="0"/>
          <w:w w:val="100"/>
          <w:position w:val="0"/>
        </w:rPr>
        <w:t>单位：万元</w:t>
      </w:r>
    </w:p>
    <w:tbl>
      <w:tblPr>
        <w:tblOverlap w:val="never"/>
        <w:jc w:val="center"/>
        <w:tblLayout w:type="fixed"/>
      </w:tblPr>
      <w:tblGrid>
        <w:gridCol w:w="1608"/>
        <w:gridCol w:w="936"/>
        <w:gridCol w:w="941"/>
        <w:gridCol w:w="1210"/>
        <w:gridCol w:w="1181"/>
        <w:gridCol w:w="1094"/>
        <w:gridCol w:w="1013"/>
        <w:gridCol w:w="806"/>
        <w:gridCol w:w="946"/>
      </w:tblGrid>
      <w:tr>
        <w:trPr>
          <w:trHeight w:val="40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是否为关 联方担保 （是或否）</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担保额度</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相关公告</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是否为关 联方担保 （是或否）</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运通国际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2012-3-29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连带责任</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运通国际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400</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2011-06-27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r>
              <w:rPr>
                <w:rFonts w:ascii="SimSun" w:eastAsia="SimSun" w:hAnsi="SimSun" w:cs="SimSun"/>
                <w:color w:val="000000"/>
                <w:spacing w:val="0"/>
                <w:w w:val="100"/>
                <w:position w:val="0"/>
              </w:rPr>
              <w:t>万美元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连带责任</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2011.6.27</w:t>
              <w:softHyphen/>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2014.5.24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报告期内审批对子公司担保额 度合计</w:t>
            </w:r>
            <w:r>
              <w:rPr>
                <w:rFonts w:ascii="SimSun" w:eastAsia="SimSun" w:hAnsi="SimSun" w:cs="SimSun"/>
                <w:color w:val="000000"/>
                <w:spacing w:val="0"/>
                <w:w w:val="100"/>
                <w:position w:val="0"/>
              </w:rPr>
              <w:t>（</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报告期内对子公司担保实际 发生额合计（</w:t>
            </w:r>
            <w:r>
              <w:rPr>
                <w:color w:val="000000"/>
                <w:spacing w:val="0"/>
                <w:w w:val="100"/>
                <w:position w:val="0"/>
              </w:rPr>
              <w:t>B2</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报告期末已审批的对子公司担 保额度合计（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r>
              <w:rPr>
                <w:rFonts w:ascii="SimSun" w:eastAsia="SimSun" w:hAnsi="SimSun" w:cs="SimSun"/>
                <w:color w:val="000000"/>
                <w:spacing w:val="0"/>
                <w:w w:val="100"/>
                <w:position w:val="0"/>
              </w:rPr>
              <w:t>万美元</w:t>
            </w:r>
          </w:p>
        </w:tc>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报告期末对子公司实际担保 余额合计</w:t>
            </w:r>
            <w:r>
              <w:rPr>
                <w:rFonts w:ascii="SimSun" w:eastAsia="SimSun" w:hAnsi="SimSun" w:cs="SimSun"/>
                <w:color w:val="000000"/>
                <w:spacing w:val="0"/>
                <w:w w:val="100"/>
                <w:position w:val="0"/>
              </w:rPr>
              <w:t>（</w:t>
            </w:r>
            <w:r>
              <w:rPr>
                <w:color w:val="000000"/>
                <w:spacing w:val="0"/>
                <w:w w:val="100"/>
                <w:position w:val="0"/>
              </w:rPr>
              <w:t>B4</w:t>
            </w:r>
            <w:r>
              <w:rPr>
                <w:rFonts w:ascii="SimSun" w:eastAsia="SimSun" w:hAnsi="SimSun" w:cs="SimSun"/>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r>
              <w:rPr>
                <w:rFonts w:ascii="SimSun" w:eastAsia="SimSun" w:hAnsi="SimSun" w:cs="SimSun"/>
                <w:color w:val="000000"/>
                <w:spacing w:val="0"/>
                <w:w w:val="100"/>
                <w:position w:val="0"/>
              </w:rPr>
              <w:t>万美元</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公司担保总额（即前两大项的合计）</w:t>
            </w:r>
          </w:p>
        </w:tc>
      </w:tr>
    </w:tbl>
    <w:p>
      <w:pPr>
        <w:spacing w:lineRule="exact" w:line="1"/>
        <w:rPr>
          <w:sz w:val="2"/>
          <w:szCs w:val="2"/>
        </w:rPr>
      </w:pPr>
      <w:r>
        <w:br w:type="page"/>
      </w:r>
    </w:p>
    <w:tbl>
      <w:tblPr>
        <w:tblOverlap w:val="never"/>
        <w:jc w:val="center"/>
        <w:tblLayout w:type="fixed"/>
      </w:tblPr>
      <w:tblGrid>
        <w:gridCol w:w="2544"/>
        <w:gridCol w:w="2150"/>
        <w:gridCol w:w="2275"/>
        <w:gridCol w:w="2765"/>
      </w:tblGrid>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报告期内审批担保额度合计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A1+B1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报告期内担保实际发生额合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color w:val="000000"/>
                <w:spacing w:val="0"/>
                <w:w w:val="100"/>
                <w:position w:val="0"/>
              </w:rPr>
              <w:t>A2+B2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报告期末已审批的担保额度合</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r>
              <w:rPr>
                <w:rFonts w:ascii="SimSun" w:eastAsia="SimSun" w:hAnsi="SimSun" w:cs="SimSun"/>
                <w:color w:val="000000"/>
                <w:spacing w:val="0"/>
                <w:w w:val="100"/>
                <w:position w:val="0"/>
              </w:rPr>
              <w:t>（</w:t>
            </w:r>
            <w:r>
              <w:rPr>
                <w:color w:val="000000"/>
                <w:spacing w:val="0"/>
                <w:w w:val="100"/>
                <w:position w:val="0"/>
              </w:rPr>
              <w:t>A3+B3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r>
              <w:rPr>
                <w:rFonts w:ascii="SimSun" w:eastAsia="SimSun" w:hAnsi="SimSun" w:cs="SimSun"/>
                <w:color w:val="000000"/>
                <w:spacing w:val="0"/>
                <w:w w:val="100"/>
                <w:position w:val="0"/>
              </w:rPr>
              <w:t>万美元</w:t>
            </w:r>
          </w:p>
        </w:tc>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80" w:line="240" w:lineRule="auto"/>
              <w:ind w:left="0" w:right="0" w:firstLine="0"/>
              <w:jc w:val="left"/>
            </w:pPr>
            <w:r>
              <w:rPr>
                <w:rFonts w:ascii="SimSun" w:eastAsia="SimSun" w:hAnsi="SimSun" w:cs="SimSun"/>
                <w:color w:val="000000"/>
                <w:spacing w:val="0"/>
                <w:w w:val="100"/>
                <w:position w:val="0"/>
              </w:rPr>
              <w:t>报告期末实际担保余额合计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r>
              <w:rPr>
                <w:rFonts w:ascii="SimSun" w:eastAsia="SimSun" w:hAnsi="SimSun" w:cs="SimSun"/>
                <w:color w:val="000000"/>
                <w:spacing w:val="0"/>
                <w:w w:val="100"/>
                <w:position w:val="0"/>
              </w:rPr>
              <w:t>万美元</w:t>
            </w:r>
          </w:p>
        </w:tc>
      </w:tr>
      <w:tr>
        <w:trPr>
          <w:trHeight w:val="40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403" w:hRule="exact"/>
        </w:trPr>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98"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为股东、实际控制人及其关联方提供担保的金额</w:t>
            </w:r>
            <w:r>
              <w:rPr>
                <w:rFonts w:ascii="SimSun" w:eastAsia="SimSun" w:hAnsi="SimSun" w:cs="SimSun"/>
                <w:color w:val="000000"/>
                <w:spacing w:val="0"/>
                <w:w w:val="100"/>
                <w:position w:val="0"/>
              </w:rPr>
              <w:t>（</w:t>
            </w:r>
            <w:r>
              <w:rPr>
                <w:color w:val="000000"/>
                <w:spacing w:val="0"/>
                <w:w w:val="100"/>
                <w:position w:val="0"/>
              </w:rPr>
              <w:t>C</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 务担保金额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r>
              <w:rPr>
                <w:rFonts w:ascii="SimSun" w:eastAsia="SimSun" w:hAnsi="SimSun" w:cs="SimSun"/>
                <w:color w:val="000000"/>
                <w:spacing w:val="0"/>
                <w:w w:val="100"/>
                <w:position w:val="0"/>
              </w:rPr>
              <w:t>万美元</w:t>
            </w:r>
          </w:p>
        </w:tc>
      </w:tr>
      <w:tr>
        <w:trPr>
          <w:trHeight w:val="40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C+D+E</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w:t>
            </w:r>
            <w:r>
              <w:rPr>
                <w:rFonts w:ascii="SimSun" w:eastAsia="SimSun" w:hAnsi="SimSun" w:cs="SimSun"/>
                <w:color w:val="000000"/>
                <w:spacing w:val="0"/>
                <w:w w:val="100"/>
                <w:position w:val="0"/>
              </w:rPr>
              <w:t>万美元</w:t>
            </w:r>
          </w:p>
        </w:tc>
      </w:tr>
      <w:tr>
        <w:trPr>
          <w:trHeight w:val="398"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未到期担保可能承担连带清偿责任说明（如有）</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采用复合方式担保的具体情况说明</w:t>
      </w:r>
    </w:p>
    <w:p>
      <w:pPr>
        <w:pStyle w:val="Style35"/>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口适用”不适用</w:t>
      </w:r>
    </w:p>
    <w:p>
      <w:pPr>
        <w:pStyle w:val="Style44"/>
        <w:keepNext/>
        <w:keepLines/>
        <w:widowControl w:val="0"/>
        <w:shd w:val="clear" w:color="auto" w:fill="auto"/>
        <w:bidi w:val="0"/>
        <w:spacing w:before="0" w:after="340" w:line="240" w:lineRule="auto"/>
        <w:ind w:left="0" w:right="0" w:firstLine="90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65"/>
      <w:bookmarkEnd w:id="366"/>
      <w:bookmarkEnd w:id="368"/>
    </w:p>
    <w:p>
      <w:pPr>
        <w:pStyle w:val="Style3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口适用"不适用</w:t>
      </w:r>
    </w:p>
    <w:p>
      <w:pPr>
        <w:pStyle w:val="Style44"/>
        <w:keepNext/>
        <w:keepLines/>
        <w:widowControl w:val="0"/>
        <w:shd w:val="clear" w:color="auto" w:fill="auto"/>
        <w:bidi w:val="0"/>
        <w:spacing w:before="0" w:after="340" w:line="240" w:lineRule="auto"/>
        <w:ind w:left="0" w:right="0" w:firstLine="76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、其他重大合同</w:t>
      </w:r>
      <w:bookmarkEnd w:id="369"/>
      <w:bookmarkEnd w:id="370"/>
      <w:bookmarkEnd w:id="372"/>
    </w:p>
    <w:tbl>
      <w:tblPr>
        <w:tblOverlap w:val="never"/>
        <w:jc w:val="center"/>
        <w:tblLayout w:type="fixed"/>
      </w:tblPr>
      <w:tblGrid>
        <w:gridCol w:w="874"/>
        <w:gridCol w:w="869"/>
        <w:gridCol w:w="869"/>
        <w:gridCol w:w="874"/>
        <w:gridCol w:w="869"/>
        <w:gridCol w:w="869"/>
        <w:gridCol w:w="869"/>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合同订立 公司方名</w:t>
            </w:r>
          </w:p>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合同订立 对方名称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合同涉及 资产的账 面价值（万 元）（如有）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合同涉及 资产的评 估价值（万 元）（如有）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评估机构 名称（如</w:t>
            </w:r>
          </w:p>
          <w:p>
            <w:pPr>
              <w:pStyle w:val="Style28"/>
              <w:keepNext w:val="0"/>
              <w:keepLines w:val="0"/>
              <w:widowControl w:val="0"/>
              <w:shd w:val="clear" w:color="auto" w:fill="auto"/>
              <w:bidi w:val="0"/>
              <w:spacing w:before="0" w:after="0" w:line="302" w:lineRule="exact"/>
              <w:ind w:left="0" w:right="0" w:firstLine="240"/>
              <w:jc w:val="left"/>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评估基准 日（如有）</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定价原则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交易价格</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是否关联 交易</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截至报告 期末的执 行情况</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市场定价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29,300.00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76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、其他重大交易</w:t>
      </w:r>
      <w:bookmarkEnd w:id="373"/>
      <w:bookmarkEnd w:id="374"/>
      <w:bookmarkEnd w:id="376"/>
    </w:p>
    <w:p>
      <w:pPr>
        <w:pStyle w:val="Style35"/>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760"/>
        <w:jc w:val="left"/>
      </w:pPr>
      <w:bookmarkStart w:id="377" w:name="bookmark377"/>
      <w:bookmarkStart w:id="378" w:name="bookmark378"/>
      <w:bookmarkStart w:id="379" w:name="bookmark379"/>
      <w:bookmarkStart w:id="380" w:name="bookmark380"/>
      <w:r>
        <w:rPr>
          <w:color w:val="000000"/>
          <w:spacing w:val="0"/>
          <w:w w:val="100"/>
          <w:position w:val="0"/>
          <w:sz w:val="24"/>
          <w:szCs w:val="24"/>
        </w:rPr>
        <w:t>九</w:t>
      </w:r>
      <w:bookmarkEnd w:id="379"/>
      <w:r>
        <w:rPr>
          <w:color w:val="000000"/>
          <w:spacing w:val="0"/>
          <w:w w:val="100"/>
          <w:position w:val="0"/>
          <w:sz w:val="24"/>
          <w:szCs w:val="24"/>
        </w:rPr>
        <w:t>、承诺事项履行情况</w:t>
      </w:r>
      <w:bookmarkEnd w:id="377"/>
      <w:bookmarkEnd w:id="378"/>
      <w:bookmarkEnd w:id="380"/>
    </w:p>
    <w:p>
      <w:pPr>
        <w:pStyle w:val="Style44"/>
        <w:keepNext/>
        <w:keepLines/>
        <w:widowControl w:val="0"/>
        <w:shd w:val="clear" w:color="auto" w:fill="auto"/>
        <w:bidi w:val="0"/>
        <w:spacing w:before="0" w:after="340" w:line="240" w:lineRule="auto"/>
        <w:ind w:left="0" w:right="0" w:firstLine="76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1</w:t>
      </w:r>
      <w:bookmarkEnd w:id="38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以上股东在报告期内或持续到报告期内的承诺事项</w:t>
      </w:r>
      <w:bookmarkEnd w:id="381"/>
      <w:bookmarkEnd w:id="382"/>
      <w:bookmarkEnd w:id="384"/>
    </w:p>
    <w:tbl>
      <w:tblPr>
        <w:tblOverlap w:val="never"/>
        <w:jc w:val="center"/>
        <w:tblLayout w:type="fixed"/>
      </w:tblPr>
      <w:tblGrid>
        <w:gridCol w:w="2165"/>
        <w:gridCol w:w="1262"/>
        <w:gridCol w:w="3960"/>
        <w:gridCol w:w="898"/>
        <w:gridCol w:w="902"/>
        <w:gridCol w:w="8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收购报告书或权益变动报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65"/>
        <w:gridCol w:w="1262"/>
        <w:gridCol w:w="3960"/>
        <w:gridCol w:w="898"/>
        <w:gridCol w:w="902"/>
        <w:gridCol w:w="854"/>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首次公开发行时所作承诺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）公司董事、 监事及高级管 理人员；（</w:t>
            </w:r>
            <w:r>
              <w:rPr>
                <w:color w:val="000000"/>
                <w:spacing w:val="0"/>
                <w:w w:val="100"/>
                <w:position w:val="0"/>
              </w:rPr>
              <w:t>2</w:t>
            </w:r>
            <w:r>
              <w:rPr>
                <w:rFonts w:ascii="SimSun" w:eastAsia="SimSun" w:hAnsi="SimSun" w:cs="SimSun"/>
                <w:color w:val="000000"/>
                <w:spacing w:val="0"/>
                <w:w w:val="100"/>
                <w:position w:val="0"/>
              </w:rPr>
              <w:t>）公 司控股股东广 电集团和其他 三名发起人股 东梅州敬基实 业有限公司、盈 富泰克创业投 资有限公司、广 州藤川科技有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）担任公司董事、监事及高级管理人员承诺， 在其任职期间每年转让的股份不超过其所持有本 公司股份总数的</w:t>
            </w:r>
            <w:r>
              <w:rPr>
                <w:color w:val="000000"/>
                <w:spacing w:val="0"/>
                <w:w w:val="100"/>
                <w:position w:val="0"/>
              </w:rPr>
              <w:t>25%</w:t>
            </w:r>
            <w:r>
              <w:rPr>
                <w:rFonts w:ascii="SimSun" w:eastAsia="SimSun" w:hAnsi="SimSun" w:cs="SimSun"/>
                <w:color w:val="000000"/>
                <w:spacing w:val="0"/>
                <w:w w:val="100"/>
                <w:position w:val="0"/>
              </w:rPr>
              <w:t>，离职后</w:t>
            </w:r>
            <w:r>
              <w:rPr>
                <w:color w:val="000000"/>
                <w:spacing w:val="0"/>
                <w:w w:val="100"/>
                <w:position w:val="0"/>
              </w:rPr>
              <w:t>6</w:t>
            </w:r>
            <w:r>
              <w:rPr>
                <w:rFonts w:ascii="SimSun" w:eastAsia="SimSun" w:hAnsi="SimSun" w:cs="SimSun"/>
                <w:color w:val="000000"/>
                <w:spacing w:val="0"/>
                <w:w w:val="100"/>
                <w:position w:val="0"/>
              </w:rPr>
              <w:t>个月内，不转让其 所持有的本公司股份；离职</w:t>
            </w:r>
            <w:r>
              <w:rPr>
                <w:color w:val="000000"/>
                <w:spacing w:val="0"/>
                <w:w w:val="100"/>
                <w:position w:val="0"/>
              </w:rPr>
              <w:t>6</w:t>
            </w:r>
            <w:r>
              <w:rPr>
                <w:rFonts w:ascii="SimSun" w:eastAsia="SimSun" w:hAnsi="SimSun" w:cs="SimSun"/>
                <w:color w:val="000000"/>
                <w:spacing w:val="0"/>
                <w:w w:val="100"/>
                <w:position w:val="0"/>
              </w:rPr>
              <w:t>个月后的</w:t>
            </w:r>
            <w:r>
              <w:rPr>
                <w:color w:val="000000"/>
                <w:spacing w:val="0"/>
                <w:w w:val="100"/>
                <w:position w:val="0"/>
              </w:rPr>
              <w:t>12</w:t>
            </w:r>
            <w:r>
              <w:rPr>
                <w:rFonts w:ascii="SimSun" w:eastAsia="SimSun" w:hAnsi="SimSun" w:cs="SimSun"/>
                <w:color w:val="000000"/>
                <w:spacing w:val="0"/>
                <w:w w:val="100"/>
                <w:position w:val="0"/>
              </w:rPr>
              <w:t>个月内 通过证券交易所挂牌交易出售本公司股票数量占 其所持有本公司股票总数（包括有限售条件和无限 售条件的股份）的比例不超过</w:t>
            </w:r>
            <w:r>
              <w:rPr>
                <w:color w:val="000000"/>
                <w:spacing w:val="0"/>
                <w:w w:val="100"/>
                <w:position w:val="0"/>
              </w:rPr>
              <w:t>50</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）为避免 在以后的经营中产生同业竞争，公司控股股东广电 集团和其他三名发起人股东梅州敬基实业有限公 司、盈富泰克创业投资有限公司、广州藤川科技有 限公司向公司出具了《关于避免与广州广电运通金 融电子股份有限公司同业竞争的承诺函》，承诺其 以后不从事与本公司业务相同或相近的业务。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08</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严格履行</w:t>
            </w: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100" w:line="240" w:lineRule="auto"/>
              <w:ind w:left="0" w:right="0" w:firstLine="0"/>
              <w:jc w:val="left"/>
            </w:pPr>
            <w:r>
              <w:rPr>
                <w:rFonts w:ascii="SimSun" w:eastAsia="SimSun" w:hAnsi="SimSun" w:cs="SimSun"/>
                <w:color w:val="000000"/>
                <w:spacing w:val="0"/>
                <w:w w:val="100"/>
                <w:position w:val="0"/>
              </w:rPr>
              <w:t>其他对公司中小股东所作</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未完成履行的具体原因及 下一步计划</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39" w:line="1" w:lineRule="exact"/>
      </w:pPr>
    </w:p>
    <w:p>
      <w:pPr>
        <w:pStyle w:val="Style44"/>
        <w:keepNext/>
        <w:keepLines/>
        <w:widowControl w:val="0"/>
        <w:shd w:val="clear" w:color="auto" w:fill="auto"/>
        <w:bidi w:val="0"/>
        <w:spacing w:before="0" w:after="360" w:line="322" w:lineRule="exact"/>
        <w:ind w:left="740" w:right="0" w:firstLine="4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、公司资产或项目存在盈利预测，且报告期仍处在盈利预测期间，公司就资产或项目达到原盈利预测及 其原因做出说明</w:t>
      </w:r>
      <w:bookmarkEnd w:id="385"/>
      <w:bookmarkEnd w:id="386"/>
      <w:bookmarkEnd w:id="388"/>
    </w:p>
    <w:p>
      <w:pPr>
        <w:pStyle w:val="Style35"/>
        <w:keepNext w:val="0"/>
        <w:keepLines w:val="0"/>
        <w:widowControl w:val="0"/>
        <w:shd w:val="clear" w:color="auto" w:fill="auto"/>
        <w:bidi w:val="0"/>
        <w:spacing w:before="0" w:after="360" w:line="240" w:lineRule="auto"/>
        <w:ind w:left="740" w:right="0" w:firstLine="4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740"/>
        <w:jc w:val="left"/>
      </w:pPr>
      <w:bookmarkStart w:id="389" w:name="bookmark389"/>
      <w:bookmarkStart w:id="390" w:name="bookmark390"/>
      <w:bookmarkStart w:id="391" w:name="bookmark391"/>
      <w:r>
        <w:rPr>
          <w:color w:val="000000"/>
          <w:spacing w:val="0"/>
          <w:w w:val="100"/>
          <w:position w:val="0"/>
          <w:sz w:val="24"/>
          <w:szCs w:val="24"/>
        </w:rPr>
        <w:t>十、聘任、解聘会计师事务所情况</w:t>
      </w:r>
      <w:bookmarkEnd w:id="389"/>
      <w:bookmarkEnd w:id="390"/>
      <w:bookmarkEnd w:id="39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142"/>
        <w:gridCol w:w="543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王建民、蔡洁瑜</w:t>
            </w:r>
          </w:p>
        </w:tc>
      </w:tr>
    </w:tbl>
    <w:p>
      <w:pPr>
        <w:widowControl w:val="0"/>
        <w:spacing w:after="119" w:line="1" w:lineRule="exact"/>
      </w:pPr>
    </w:p>
    <w:p>
      <w:pPr>
        <w:pStyle w:val="Style35"/>
        <w:keepNext w:val="0"/>
        <w:keepLines w:val="0"/>
        <w:widowControl w:val="0"/>
        <w:shd w:val="clear" w:color="auto" w:fill="auto"/>
        <w:bidi w:val="0"/>
        <w:spacing w:before="0" w:line="240" w:lineRule="auto"/>
        <w:ind w:left="0" w:right="0" w:firstLine="740"/>
        <w:jc w:val="both"/>
      </w:pPr>
      <w:r>
        <w:rPr>
          <w:color w:val="000000"/>
          <w:spacing w:val="0"/>
          <w:w w:val="100"/>
          <w:position w:val="0"/>
        </w:rPr>
        <w:t>当期是否改聘会计师事务所</w:t>
      </w:r>
    </w:p>
    <w:p>
      <w:pPr>
        <w:pStyle w:val="Style35"/>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5"/>
        <w:keepNext w:val="0"/>
        <w:keepLines w:val="0"/>
        <w:widowControl w:val="0"/>
        <w:shd w:val="clear" w:color="auto" w:fill="auto"/>
        <w:bidi w:val="0"/>
        <w:spacing w:before="0" w:line="240" w:lineRule="auto"/>
        <w:ind w:left="0" w:right="0" w:firstLine="740"/>
        <w:jc w:val="both"/>
      </w:pPr>
      <w:r>
        <w:rPr>
          <w:color w:val="000000"/>
          <w:spacing w:val="0"/>
          <w:w w:val="100"/>
          <w:position w:val="0"/>
        </w:rPr>
        <w:t>是否在审计期间改聘会计师事务所</w:t>
      </w:r>
    </w:p>
    <w:p>
      <w:pPr>
        <w:pStyle w:val="Style35"/>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5"/>
        <w:keepNext w:val="0"/>
        <w:keepLines w:val="0"/>
        <w:widowControl w:val="0"/>
        <w:shd w:val="clear" w:color="auto" w:fill="auto"/>
        <w:bidi w:val="0"/>
        <w:spacing w:before="0" w:line="240" w:lineRule="auto"/>
        <w:ind w:left="0" w:right="0" w:firstLine="740"/>
        <w:jc w:val="both"/>
      </w:pPr>
      <w:r>
        <w:rPr>
          <w:color w:val="000000"/>
          <w:spacing w:val="0"/>
          <w:w w:val="100"/>
          <w:position w:val="0"/>
        </w:rPr>
        <w:t>聘请内部控制审计会计师事务所、财务顾问或保荐人情况</w:t>
      </w:r>
    </w:p>
    <w:p>
      <w:pPr>
        <w:pStyle w:val="Style35"/>
        <w:keepNext w:val="0"/>
        <w:keepLines w:val="0"/>
        <w:widowControl w:val="0"/>
        <w:shd w:val="clear" w:color="auto" w:fill="auto"/>
        <w:bidi w:val="0"/>
        <w:spacing w:before="0" w:line="240" w:lineRule="auto"/>
        <w:ind w:left="0" w:right="0" w:firstLine="7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760"/>
        <w:jc w:val="left"/>
      </w:pPr>
      <w:bookmarkStart w:id="392" w:name="bookmark392"/>
      <w:bookmarkStart w:id="393" w:name="bookmark393"/>
      <w:bookmarkStart w:id="394" w:name="bookmark394"/>
      <w:r>
        <w:rPr>
          <w:color w:val="000000"/>
          <w:spacing w:val="0"/>
          <w:w w:val="100"/>
          <w:position w:val="0"/>
          <w:sz w:val="24"/>
          <w:szCs w:val="24"/>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92"/>
      <w:bookmarkEnd w:id="393"/>
      <w:bookmarkEnd w:id="394"/>
    </w:p>
    <w:p>
      <w:pPr>
        <w:pStyle w:val="Style35"/>
        <w:keepNext w:val="0"/>
        <w:keepLines w:val="0"/>
        <w:widowControl w:val="0"/>
        <w:shd w:val="clear" w:color="auto" w:fill="auto"/>
        <w:bidi w:val="0"/>
        <w:spacing w:before="0" w:after="260"/>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760"/>
        <w:jc w:val="both"/>
      </w:pPr>
      <w:bookmarkStart w:id="395" w:name="bookmark395"/>
      <w:bookmarkStart w:id="396" w:name="bookmark396"/>
      <w:bookmarkStart w:id="397" w:name="bookmark397"/>
      <w:r>
        <w:rPr>
          <w:color w:val="000000"/>
          <w:spacing w:val="0"/>
          <w:w w:val="100"/>
          <w:position w:val="0"/>
          <w:sz w:val="24"/>
          <w:szCs w:val="24"/>
        </w:rPr>
        <w:t>十二、处罚及整改情况</w:t>
      </w:r>
      <w:bookmarkEnd w:id="395"/>
      <w:bookmarkEnd w:id="396"/>
      <w:bookmarkEnd w:id="397"/>
    </w:p>
    <w:p>
      <w:pPr>
        <w:pStyle w:val="Style35"/>
        <w:keepNext w:val="0"/>
        <w:keepLines w:val="0"/>
        <w:widowControl w:val="0"/>
        <w:shd w:val="clear" w:color="auto" w:fill="auto"/>
        <w:bidi w:val="0"/>
        <w:spacing w:before="0" w:after="0" w:line="314" w:lineRule="exact"/>
        <w:ind w:left="0" w:right="0" w:firstLine="760"/>
        <w:jc w:val="both"/>
      </w:pPr>
      <w:r>
        <w:rPr>
          <w:color w:val="000000"/>
          <w:spacing w:val="0"/>
          <w:w w:val="100"/>
          <w:position w:val="0"/>
        </w:rPr>
        <w:t>报告期，公司不存在处罚及整改情况。</w:t>
      </w:r>
    </w:p>
    <w:p>
      <w:pPr>
        <w:pStyle w:val="Style35"/>
        <w:keepNext w:val="0"/>
        <w:keepLines w:val="0"/>
        <w:widowControl w:val="0"/>
        <w:shd w:val="clear" w:color="auto" w:fill="auto"/>
        <w:bidi w:val="0"/>
        <w:spacing w:before="0" w:after="140" w:line="314" w:lineRule="exact"/>
        <w:ind w:left="0" w:right="0" w:firstLine="76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以上的股东涉嫌违规买卖公司股票且公司已披露将收回涉嫌违规所得收益的情况。</w:t>
      </w:r>
    </w:p>
    <w:p>
      <w:pPr>
        <w:pStyle w:val="Style35"/>
        <w:keepNext w:val="0"/>
        <w:keepLines w:val="0"/>
        <w:widowControl w:val="0"/>
        <w:shd w:val="clear" w:color="auto" w:fill="auto"/>
        <w:bidi w:val="0"/>
        <w:spacing w:before="0" w:after="260"/>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760"/>
        <w:jc w:val="both"/>
      </w:pPr>
      <w:bookmarkStart w:id="398" w:name="bookmark398"/>
      <w:bookmarkStart w:id="399" w:name="bookmark399"/>
      <w:bookmarkStart w:id="400" w:name="bookmark400"/>
      <w:r>
        <w:rPr>
          <w:color w:val="000000"/>
          <w:spacing w:val="0"/>
          <w:w w:val="100"/>
          <w:position w:val="0"/>
          <w:sz w:val="24"/>
          <w:szCs w:val="24"/>
        </w:rPr>
        <w:t>十三、年度报告披露后面临暂停上市和终止上市情况</w:t>
      </w:r>
      <w:bookmarkEnd w:id="398"/>
      <w:bookmarkEnd w:id="399"/>
      <w:bookmarkEnd w:id="400"/>
    </w:p>
    <w:p>
      <w:pPr>
        <w:pStyle w:val="Style35"/>
        <w:keepNext w:val="0"/>
        <w:keepLines w:val="0"/>
        <w:widowControl w:val="0"/>
        <w:shd w:val="clear" w:color="auto" w:fill="auto"/>
        <w:bidi w:val="0"/>
        <w:spacing w:before="0" w:after="260"/>
        <w:ind w:left="0" w:right="0" w:firstLine="7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760"/>
        <w:jc w:val="both"/>
      </w:pPr>
      <w:bookmarkStart w:id="401" w:name="bookmark401"/>
      <w:bookmarkStart w:id="402" w:name="bookmark402"/>
      <w:bookmarkStart w:id="403" w:name="bookmark403"/>
      <w:r>
        <w:rPr>
          <w:color w:val="000000"/>
          <w:spacing w:val="0"/>
          <w:w w:val="100"/>
          <w:position w:val="0"/>
          <w:sz w:val="24"/>
          <w:szCs w:val="24"/>
        </w:rPr>
        <w:t>十四、其他重大事项的说明</w:t>
      </w:r>
      <w:bookmarkEnd w:id="401"/>
      <w:bookmarkEnd w:id="402"/>
      <w:bookmarkEnd w:id="403"/>
    </w:p>
    <w:p>
      <w:pPr>
        <w:pStyle w:val="Style54"/>
        <w:keepNext w:val="0"/>
        <w:keepLines w:val="0"/>
        <w:widowControl w:val="0"/>
        <w:shd w:val="clear" w:color="auto" w:fill="auto"/>
        <w:bidi w:val="0"/>
        <w:spacing w:before="0" w:after="100" w:line="240" w:lineRule="auto"/>
        <w:ind w:left="1140" w:right="0" w:firstLine="0"/>
        <w:jc w:val="both"/>
      </w:pPr>
      <w:r>
        <w:rPr>
          <w:b w:val="0"/>
          <w:bCs w:val="0"/>
          <w:color w:val="000000"/>
          <w:spacing w:val="0"/>
          <w:w w:val="100"/>
          <w:position w:val="0"/>
        </w:rPr>
        <w:t>关于在金融城竞拍土地事宜的说明</w:t>
      </w:r>
    </w:p>
    <w:p>
      <w:pPr>
        <w:pStyle w:val="Style35"/>
        <w:keepNext w:val="0"/>
        <w:keepLines w:val="0"/>
        <w:widowControl w:val="0"/>
        <w:shd w:val="clear" w:color="auto" w:fill="auto"/>
        <w:bidi w:val="0"/>
        <w:spacing w:before="0" w:after="340" w:line="314" w:lineRule="exact"/>
        <w:ind w:left="760" w:right="0" w:firstLine="4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日召开的第三届董事会第十一次（临时）会议及于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 审议通过了《关于公司拟参与竞拍国有土地使用权的议案》，同意公司以不超过人民币</w:t>
      </w:r>
      <w:r>
        <w:rPr>
          <w:rFonts w:ascii="Times New Roman" w:eastAsia="Times New Roman" w:hAnsi="Times New Roman" w:cs="Times New Roman"/>
          <w:color w:val="000000"/>
          <w:spacing w:val="0"/>
          <w:w w:val="100"/>
          <w:position w:val="0"/>
        </w:rPr>
        <w:t>14</w:t>
      </w:r>
      <w:r>
        <w:rPr>
          <w:color w:val="000000"/>
          <w:spacing w:val="0"/>
          <w:w w:val="100"/>
          <w:position w:val="0"/>
        </w:rPr>
        <w:t>亿元的自有资金参与竞拍广州国际 金融城地块，所购买的土地资产将用于建设广电运通金融服务大厦。（具体内容详见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日公司刊登 于《证券时报》及巨潮资讯网</w:t>
      </w:r>
      <w:r>
        <w:rPr>
          <w:rFonts w:ascii="Times New Roman" w:eastAsia="Times New Roman" w:hAnsi="Times New Roman" w:cs="Times New Roman"/>
          <w:color w:val="000000"/>
          <w:spacing w:val="0"/>
          <w:w w:val="100"/>
          <w:position w:val="0"/>
        </w:rPr>
        <w:t>www.cnmfo.com.cn</w:t>
      </w:r>
      <w:r>
        <w:rPr>
          <w:color w:val="000000"/>
          <w:spacing w:val="0"/>
          <w:w w:val="100"/>
          <w:position w:val="0"/>
        </w:rPr>
        <w:t>上的相关公告）。随后，公司密切跟进广州国际金融城竞拍土地事宜，结 合广州国际金融城已出让地块的成交情况（包括土地竞拍的面积、价格及广州国土局对土地用途、建设等的后续规划等）， 以及公司在广州天河软件园新获取的金融服务用地规划情况，本着实现公司及公司股东利益最大化的原则，经公司慎重考虑， 决定放弃参与竞拍广州国际金融城的国有土地使用权。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日公司第三届董事会第十七次（临时）会议审议通 过了《关于公司放弃参与竞拍广州国际金融城土地使用权的议案》，独立董事也发表了独立意见，同意公司放弃对广州国际 金融城土地使用权的竞拍事宜。（具体内容详见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日公司刊登于《证券时报》及巨潮资讯网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上的相关公告）。</w:t>
      </w:r>
    </w:p>
    <w:p>
      <w:pPr>
        <w:pStyle w:val="Style31"/>
        <w:keepNext/>
        <w:keepLines/>
        <w:widowControl w:val="0"/>
        <w:shd w:val="clear" w:color="auto" w:fill="auto"/>
        <w:bidi w:val="0"/>
        <w:spacing w:before="0" w:after="340" w:line="240" w:lineRule="auto"/>
        <w:ind w:left="0" w:right="0" w:firstLine="760"/>
        <w:jc w:val="both"/>
      </w:pPr>
      <w:bookmarkStart w:id="404" w:name="bookmark404"/>
      <w:bookmarkStart w:id="405" w:name="bookmark405"/>
      <w:bookmarkStart w:id="406" w:name="bookmark406"/>
      <w:r>
        <w:rPr>
          <w:color w:val="000000"/>
          <w:spacing w:val="0"/>
          <w:w w:val="100"/>
          <w:position w:val="0"/>
          <w:sz w:val="24"/>
          <w:szCs w:val="24"/>
        </w:rPr>
        <w:t>十五、公司子公司重要事项</w:t>
      </w:r>
      <w:bookmarkEnd w:id="404"/>
      <w:bookmarkEnd w:id="405"/>
      <w:bookmarkEnd w:id="406"/>
    </w:p>
    <w:tbl>
      <w:tblPr>
        <w:tblOverlap w:val="never"/>
        <w:jc w:val="center"/>
        <w:tblLayout w:type="fixed"/>
      </w:tblPr>
      <w:tblGrid>
        <w:gridCol w:w="1085"/>
        <w:gridCol w:w="3058"/>
        <w:gridCol w:w="55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重要事项</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临时公告披露的指定网站查询索引</w:t>
            </w:r>
          </w:p>
        </w:tc>
      </w:tr>
      <w:tr>
        <w:trPr>
          <w:trHeight w:val="10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广州穗通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公司向广州穗通增资，增资后，公司共 持有广州穗通</w:t>
            </w:r>
            <w:r>
              <w:rPr>
                <w:color w:val="000000"/>
                <w:spacing w:val="0"/>
                <w:w w:val="100"/>
                <w:position w:val="0"/>
              </w:rPr>
              <w:t>2,550</w:t>
            </w:r>
            <w:r>
              <w:rPr>
                <w:rFonts w:ascii="SimSun" w:eastAsia="SimSun" w:hAnsi="SimSun" w:cs="SimSun"/>
                <w:color w:val="000000"/>
                <w:spacing w:val="0"/>
                <w:w w:val="100"/>
                <w:position w:val="0"/>
              </w:rPr>
              <w:t>万股权，占其注册 资本的</w:t>
            </w:r>
            <w:r>
              <w:rPr>
                <w:color w:val="000000"/>
                <w:spacing w:val="0"/>
                <w:w w:val="100"/>
                <w:position w:val="0"/>
              </w:rPr>
              <w:t>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刊登在《证券时报》及巨潮资讯网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w:t>
            </w:r>
            <w:r>
              <w:rPr>
                <w:rFonts w:ascii="SimSun" w:eastAsia="SimSun" w:hAnsi="SimSun" w:cs="SimSun"/>
                <w:color w:val="000000"/>
                <w:spacing w:val="0"/>
                <w:w w:val="100"/>
                <w:position w:val="0"/>
              </w:rPr>
              <w:t xml:space="preserve"> 于向控股子公司增资的公告》（公告编号：临</w:t>
            </w:r>
            <w:r>
              <w:rPr>
                <w:color w:val="000000"/>
                <w:spacing w:val="0"/>
                <w:w w:val="100"/>
                <w:position w:val="0"/>
              </w:rPr>
              <w:t>2013-028</w:t>
            </w:r>
            <w:r>
              <w:rPr>
                <w:rFonts w:ascii="SimSun" w:eastAsia="SimSun" w:hAnsi="SimSun" w:cs="SimSun"/>
                <w:color w:val="000000"/>
                <w:spacing w:val="0"/>
                <w:w w:val="100"/>
                <w:position w:val="0"/>
              </w:rPr>
              <w:t>）、《关于控股子 公司完成增资及变更工商登记的公告》（公告编号：临</w:t>
            </w:r>
            <w:r>
              <w:rPr>
                <w:color w:val="000000"/>
                <w:spacing w:val="0"/>
                <w:w w:val="100"/>
                <w:position w:val="0"/>
              </w:rPr>
              <w:t>2013-034</w:t>
            </w:r>
            <w:r>
              <w:rPr>
                <w:rFonts w:ascii="SimSun" w:eastAsia="SimSun" w:hAnsi="SimSun" w:cs="SimSun"/>
                <w:color w:val="000000"/>
                <w:spacing w:val="0"/>
                <w:w w:val="100"/>
                <w:position w:val="0"/>
              </w:rPr>
              <w:t>）</w:t>
            </w:r>
          </w:p>
        </w:tc>
      </w:tr>
      <w:tr>
        <w:trPr>
          <w:trHeight w:val="165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广州银通</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收购孙公司</w:t>
            </w:r>
            <w:r>
              <w:rPr>
                <w:color w:val="000000"/>
                <w:spacing w:val="0"/>
                <w:w w:val="100"/>
                <w:position w:val="0"/>
              </w:rPr>
              <w:t>100%</w:t>
            </w:r>
            <w:r>
              <w:rPr>
                <w:rFonts w:ascii="SimSun" w:eastAsia="SimSun" w:hAnsi="SimSun" w:cs="SimSun"/>
                <w:color w:val="000000"/>
                <w:spacing w:val="0"/>
                <w:w w:val="100"/>
                <w:position w:val="0"/>
              </w:rPr>
              <w:t>的股权并增资，孙公 司变更为子公司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刊登在《证券时报》及巨潮资讯网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w:t>
            </w:r>
            <w:r>
              <w:rPr>
                <w:rFonts w:ascii="SimSun" w:eastAsia="SimSun" w:hAnsi="SimSun" w:cs="SimSun"/>
                <w:color w:val="000000"/>
                <w:spacing w:val="0"/>
                <w:w w:val="100"/>
                <w:position w:val="0"/>
              </w:rPr>
              <w:t xml:space="preserve"> 于收购全资孙公司广州广电银通金融电子科技有限公司</w:t>
            </w:r>
            <w:r>
              <w:rPr>
                <w:color w:val="000000"/>
                <w:spacing w:val="0"/>
                <w:w w:val="100"/>
                <w:position w:val="0"/>
              </w:rPr>
              <w:t>100%</w:t>
            </w:r>
            <w:r>
              <w:rPr>
                <w:rFonts w:ascii="SimSun" w:eastAsia="SimSun" w:hAnsi="SimSun" w:cs="SimSun"/>
                <w:color w:val="000000"/>
                <w:spacing w:val="0"/>
                <w:w w:val="100"/>
                <w:position w:val="0"/>
              </w:rPr>
              <w:t>股权并 增资的公告》（公告编号：临</w:t>
            </w:r>
            <w:r>
              <w:rPr>
                <w:color w:val="000000"/>
                <w:spacing w:val="0"/>
                <w:w w:val="100"/>
                <w:position w:val="0"/>
              </w:rPr>
              <w:t>2013-030</w:t>
            </w:r>
            <w:r>
              <w:rPr>
                <w:rFonts w:ascii="SimSun" w:eastAsia="SimSun" w:hAnsi="SimSun" w:cs="SimSun"/>
                <w:color w:val="000000"/>
                <w:spacing w:val="0"/>
                <w:w w:val="100"/>
                <w:position w:val="0"/>
              </w:rPr>
              <w:t>）、《关于收购全资孙公司广州广 电银通金融电子科技有限公司</w:t>
            </w:r>
            <w:r>
              <w:rPr>
                <w:color w:val="000000"/>
                <w:spacing w:val="0"/>
                <w:w w:val="100"/>
                <w:position w:val="0"/>
              </w:rPr>
              <w:t>100%</w:t>
            </w:r>
            <w:r>
              <w:rPr>
                <w:rFonts w:ascii="SimSun" w:eastAsia="SimSun" w:hAnsi="SimSun" w:cs="SimSun"/>
                <w:color w:val="000000"/>
                <w:spacing w:val="0"/>
                <w:w w:val="100"/>
                <w:position w:val="0"/>
              </w:rPr>
              <w:t xml:space="preserve">股权并增资的进展公告》（公告编 号：临 </w:t>
            </w:r>
            <w:r>
              <w:rPr>
                <w:color w:val="000000"/>
                <w:spacing w:val="0"/>
                <w:w w:val="100"/>
                <w:position w:val="0"/>
              </w:rPr>
              <w:t>2013-035</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龙源环保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参股公司龙源环保资本公积转增股本， 龙源环保由参股公司变更为公司控股 子公司，公司股权比例增至</w:t>
            </w:r>
            <w:r>
              <w:rPr>
                <w:color w:val="000000"/>
                <w:spacing w:val="0"/>
                <w:w w:val="100"/>
                <w:position w:val="0"/>
              </w:rPr>
              <w:t>60.1%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刊登在《证券时报》及巨潮资讯网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w:t>
            </w:r>
            <w:r>
              <w:rPr>
                <w:rFonts w:ascii="SimSun" w:eastAsia="SimSun" w:hAnsi="SimSun" w:cs="SimSun"/>
                <w:color w:val="000000"/>
                <w:spacing w:val="0"/>
                <w:w w:val="100"/>
                <w:position w:val="0"/>
              </w:rPr>
              <w:t xml:space="preserve"> 于公司参股公司资本公积转增股本暨公司合并报表范围发生变更的公 告》（公告编号：临</w:t>
            </w:r>
            <w:r>
              <w:rPr>
                <w:color w:val="000000"/>
                <w:spacing w:val="0"/>
                <w:w w:val="100"/>
                <w:position w:val="0"/>
              </w:rPr>
              <w:t>2013-017</w:t>
            </w:r>
            <w:r>
              <w:rPr>
                <w:rFonts w:ascii="SimSun" w:eastAsia="SimSun" w:hAnsi="SimSun" w:cs="SimSun"/>
                <w:color w:val="000000"/>
                <w:spacing w:val="0"/>
                <w:w w:val="100"/>
                <w:position w:val="0"/>
              </w:rPr>
              <w:t>）、《关于广州市龙源环保科技有限公司资</w:t>
            </w:r>
          </w:p>
        </w:tc>
      </w:tr>
    </w:tbl>
    <w:p>
      <w:pPr>
        <w:spacing w:lineRule="exact" w:line="1"/>
        <w:rPr>
          <w:sz w:val="2"/>
          <w:szCs w:val="2"/>
        </w:rPr>
      </w:pPr>
      <w:r>
        <w:br w:type="page"/>
      </w:r>
    </w:p>
    <w:tbl>
      <w:tblPr>
        <w:tblOverlap w:val="never"/>
        <w:jc w:val="center"/>
        <w:tblLayout w:type="fixed"/>
      </w:tblPr>
      <w:tblGrid>
        <w:gridCol w:w="1085"/>
        <w:gridCol w:w="3058"/>
        <w:gridCol w:w="55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本公积转增股本的进展公告》（公告编号：临</w:t>
            </w:r>
            <w:r>
              <w:rPr>
                <w:color w:val="000000"/>
                <w:spacing w:val="0"/>
                <w:w w:val="100"/>
                <w:position w:val="0"/>
              </w:rPr>
              <w:t>2013-037</w:t>
            </w:r>
            <w:r>
              <w:rPr>
                <w:rFonts w:ascii="SimSun" w:eastAsia="SimSun" w:hAnsi="SimSun" w:cs="SimSun"/>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广州穗通、 广州银通</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公司子公司广州穗通、广州银通与广电 物业三家作为受让方联合竞拍国有土 地使用权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刊登在《证券时报》及巨潮资讯网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上的《关</w:t>
            </w:r>
            <w:r>
              <w:rPr>
                <w:rFonts w:ascii="SimSun" w:eastAsia="SimSun" w:hAnsi="SimSun" w:cs="SimSun"/>
                <w:color w:val="000000"/>
                <w:spacing w:val="0"/>
                <w:w w:val="100"/>
                <w:position w:val="0"/>
              </w:rPr>
              <w:t xml:space="preserve"> 于公司控股子公司及孙公司拟购买国有土地使用权暨关联交易的公 告》（公告编号：临</w:t>
            </w:r>
            <w:r>
              <w:rPr>
                <w:color w:val="000000"/>
                <w:spacing w:val="0"/>
                <w:w w:val="100"/>
                <w:position w:val="0"/>
              </w:rPr>
              <w:t>2013-027</w:t>
            </w:r>
            <w:r>
              <w:rPr>
                <w:rFonts w:ascii="SimSun" w:eastAsia="SimSun" w:hAnsi="SimSun" w:cs="SimSun"/>
                <w:color w:val="000000"/>
                <w:spacing w:val="0"/>
                <w:w w:val="100"/>
                <w:position w:val="0"/>
              </w:rPr>
              <w:t>）、《关于子公司购买国有土地使用权的进 展公告》（公告编号：临</w:t>
            </w:r>
            <w:r>
              <w:rPr>
                <w:color w:val="000000"/>
                <w:spacing w:val="0"/>
                <w:w w:val="100"/>
                <w:position w:val="0"/>
              </w:rPr>
              <w:t>2013-032</w:t>
            </w:r>
            <w:r>
              <w:rPr>
                <w:rFonts w:ascii="SimSun" w:eastAsia="SimSun" w:hAnsi="SimSun" w:cs="SimSun"/>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760"/>
        <w:jc w:val="left"/>
      </w:pPr>
      <w:bookmarkStart w:id="407" w:name="bookmark407"/>
      <w:bookmarkStart w:id="408" w:name="bookmark408"/>
      <w:bookmarkStart w:id="409" w:name="bookmark409"/>
      <w:r>
        <w:rPr>
          <w:color w:val="000000"/>
          <w:spacing w:val="0"/>
          <w:w w:val="100"/>
          <w:position w:val="0"/>
          <w:sz w:val="24"/>
          <w:szCs w:val="24"/>
        </w:rPr>
        <w:t>十六、公司发行公司债券的情况</w:t>
      </w:r>
      <w:bookmarkEnd w:id="407"/>
      <w:bookmarkEnd w:id="408"/>
      <w:bookmarkEnd w:id="409"/>
    </w:p>
    <w:p>
      <w:pPr>
        <w:pStyle w:val="Style35"/>
        <w:keepNext w:val="0"/>
        <w:keepLines w:val="0"/>
        <w:widowControl w:val="0"/>
        <w:shd w:val="clear" w:color="auto" w:fill="auto"/>
        <w:bidi w:val="0"/>
        <w:spacing w:before="0" w:after="340" w:line="240" w:lineRule="auto"/>
        <w:ind w:left="0" w:right="0" w:firstLine="760"/>
        <w:jc w:val="left"/>
        <w:sectPr>
          <w:footnotePr>
            <w:pos w:val="pageBottom"/>
            <w:numFmt w:val="decimal"/>
            <w:numRestart w:val="continuous"/>
          </w:footnotePr>
          <w:pgSz w:w="11900" w:h="16840"/>
          <w:pgMar w:top="1374" w:right="348" w:bottom="1772" w:left="348" w:header="0" w:footer="3" w:gutter="0"/>
          <w:cols w:space="720"/>
          <w:noEndnote/>
          <w:rtlGutter w:val="0"/>
          <w:docGrid w:linePitch="360"/>
        </w:sectPr>
      </w:pPr>
      <w:r>
        <w:rPr>
          <w:color w:val="000000"/>
          <w:spacing w:val="0"/>
          <w:w w:val="100"/>
          <w:position w:val="0"/>
        </w:rPr>
        <w:t>无</w:t>
      </w:r>
    </w:p>
    <w:p>
      <w:pPr>
        <w:pStyle w:val="Style20"/>
        <w:keepNext/>
        <w:keepLines/>
        <w:widowControl w:val="0"/>
        <w:shd w:val="clear" w:color="auto" w:fill="auto"/>
        <w:bidi w:val="0"/>
        <w:spacing w:before="580" w:after="540" w:line="240" w:lineRule="auto"/>
        <w:ind w:left="0" w:right="0" w:firstLine="0"/>
        <w:jc w:val="center"/>
      </w:pPr>
      <w:bookmarkStart w:id="410" w:name="bookmark410"/>
      <w:bookmarkStart w:id="411" w:name="bookmark411"/>
      <w:bookmarkStart w:id="412" w:name="bookmark412"/>
      <w:r>
        <w:rPr>
          <w:color w:val="000000"/>
          <w:spacing w:val="0"/>
          <w:w w:val="100"/>
          <w:position w:val="0"/>
        </w:rPr>
        <w:t>第六节股份变动及股东情况</w:t>
      </w:r>
      <w:bookmarkEnd w:id="410"/>
      <w:bookmarkEnd w:id="411"/>
      <w:bookmarkEnd w:id="412"/>
    </w:p>
    <w:p>
      <w:pPr>
        <w:pStyle w:val="Style31"/>
        <w:keepNext/>
        <w:keepLines/>
        <w:widowControl w:val="0"/>
        <w:shd w:val="clear" w:color="auto" w:fill="auto"/>
        <w:bidi w:val="0"/>
        <w:spacing w:before="0" w:after="300" w:line="240" w:lineRule="auto"/>
        <w:ind w:left="1020" w:right="0" w:firstLine="0"/>
        <w:jc w:val="both"/>
      </w:pPr>
      <w:bookmarkStart w:id="413" w:name="bookmark413"/>
      <w:bookmarkStart w:id="414" w:name="bookmark414"/>
      <w:bookmarkStart w:id="415" w:name="bookmark415"/>
      <w:bookmarkStart w:id="416" w:name="bookmark416"/>
      <w:r>
        <w:rPr>
          <w:color w:val="000000"/>
          <w:spacing w:val="0"/>
          <w:w w:val="100"/>
          <w:position w:val="0"/>
          <w:sz w:val="24"/>
          <w:szCs w:val="24"/>
        </w:rPr>
        <w:t>、股份变动情况</w:t>
      </w:r>
      <w:bookmarkEnd w:id="414"/>
      <w:bookmarkEnd w:id="415"/>
      <w:bookmarkEnd w:id="416"/>
      <w:bookmarkEnd w:id="413"/>
    </w:p>
    <w:tbl>
      <w:tblPr>
        <w:tblOverlap w:val="never"/>
        <w:jc w:val="center"/>
        <w:tblLayout w:type="fixed"/>
      </w:tblPr>
      <w:tblGrid>
        <w:gridCol w:w="1843"/>
        <w:gridCol w:w="1080"/>
        <w:gridCol w:w="720"/>
        <w:gridCol w:w="442"/>
        <w:gridCol w:w="1070"/>
        <w:gridCol w:w="610"/>
        <w:gridCol w:w="955"/>
        <w:gridCol w:w="994"/>
        <w:gridCol w:w="974"/>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发行 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公积金</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比例</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24,886,818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24,886,818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24,886,818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4,771,003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597,810,937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120,800,353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718,611,290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597,810,937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119,768,548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1,031,805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120,800,353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718,611,290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96.17%</w:t>
            </w: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622,697,755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124,539,551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124,539,551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747,237,306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99" w:line="1" w:lineRule="exact"/>
      </w:pPr>
    </w:p>
    <w:p>
      <w:pPr>
        <w:pStyle w:val="Style35"/>
        <w:keepNext w:val="0"/>
        <w:keepLines w:val="0"/>
        <w:widowControl w:val="0"/>
        <w:shd w:val="clear" w:color="auto" w:fill="auto"/>
        <w:bidi w:val="0"/>
        <w:spacing w:before="0" w:after="200" w:line="240" w:lineRule="auto"/>
        <w:ind w:left="0" w:right="0" w:firstLine="76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tabs>
          <w:tab w:pos="1474" w:val="left"/>
        </w:tabs>
        <w:bidi w:val="0"/>
        <w:spacing w:before="0" w:after="200" w:line="240" w:lineRule="auto"/>
        <w:ind w:left="1140" w:right="0" w:firstLine="0"/>
        <w:jc w:val="left"/>
      </w:pPr>
      <w:bookmarkStart w:id="417" w:name="bookmark417"/>
      <w:r>
        <w:rPr>
          <w:color w:val="000000"/>
          <w:spacing w:val="0"/>
          <w:w w:val="100"/>
          <w:position w:val="0"/>
        </w:rPr>
        <w:t>1</w:t>
      </w:r>
      <w:bookmarkEnd w:id="417"/>
      <w:r>
        <w:rPr>
          <w:rFonts w:ascii="SimSun" w:eastAsia="SimSun" w:hAnsi="SimSun" w:cs="SimSun"/>
          <w:color w:val="000000"/>
          <w:spacing w:val="0"/>
          <w:w w:val="100"/>
          <w:position w:val="0"/>
        </w:rPr>
        <w:t>、</w:t>
        <w:tab/>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w:t>
      </w:r>
      <w:r>
        <w:rPr>
          <w:color w:val="000000"/>
          <w:spacing w:val="0"/>
          <w:w w:val="100"/>
          <w:position w:val="0"/>
        </w:rPr>
        <w:t>2012</w:t>
      </w:r>
      <w:r>
        <w:rPr>
          <w:rFonts w:ascii="SimSun" w:eastAsia="SimSun" w:hAnsi="SimSun" w:cs="SimSun"/>
          <w:color w:val="000000"/>
          <w:spacing w:val="0"/>
          <w:w w:val="100"/>
          <w:position w:val="0"/>
        </w:rPr>
        <w:t>年度权益分派方案实施完毕，公司总股本由</w:t>
      </w:r>
      <w:r>
        <w:rPr>
          <w:color w:val="000000"/>
          <w:spacing w:val="0"/>
          <w:w w:val="100"/>
          <w:position w:val="0"/>
        </w:rPr>
        <w:t>622,697,755</w:t>
      </w:r>
      <w:r>
        <w:rPr>
          <w:rFonts w:ascii="SimSun" w:eastAsia="SimSun" w:hAnsi="SimSun" w:cs="SimSun"/>
          <w:color w:val="000000"/>
          <w:spacing w:val="0"/>
          <w:w w:val="100"/>
          <w:position w:val="0"/>
        </w:rPr>
        <w:t>股增加至</w:t>
      </w:r>
      <w:r>
        <w:rPr>
          <w:color w:val="000000"/>
          <w:spacing w:val="0"/>
          <w:w w:val="100"/>
          <w:position w:val="0"/>
        </w:rPr>
        <w:t>747,237,306</w:t>
      </w:r>
      <w:r>
        <w:rPr>
          <w:rFonts w:ascii="SimSun" w:eastAsia="SimSun" w:hAnsi="SimSun" w:cs="SimSun"/>
          <w:color w:val="000000"/>
          <w:spacing w:val="0"/>
          <w:w w:val="100"/>
          <w:position w:val="0"/>
        </w:rPr>
        <w:t>股。</w:t>
      </w:r>
    </w:p>
    <w:p>
      <w:pPr>
        <w:pStyle w:val="Style35"/>
        <w:keepNext w:val="0"/>
        <w:keepLines w:val="0"/>
        <w:widowControl w:val="0"/>
        <w:shd w:val="clear" w:color="auto" w:fill="auto"/>
        <w:tabs>
          <w:tab w:pos="1494" w:val="left"/>
        </w:tabs>
        <w:bidi w:val="0"/>
        <w:spacing w:before="0" w:after="200" w:line="240" w:lineRule="auto"/>
        <w:ind w:left="1140" w:right="0" w:firstLine="0"/>
        <w:jc w:val="both"/>
      </w:pPr>
      <w:bookmarkStart w:id="418" w:name="bookmark418"/>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限售股份变动情况表</w:t>
      </w:r>
    </w:p>
    <w:p>
      <w:pPr>
        <w:pStyle w:val="Style33"/>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单位：股</w:t>
      </w:r>
    </w:p>
    <w:tbl>
      <w:tblPr>
        <w:tblOverlap w:val="never"/>
        <w:jc w:val="center"/>
        <w:tblLayout w:type="fixed"/>
      </w:tblPr>
      <w:tblGrid>
        <w:gridCol w:w="1027"/>
        <w:gridCol w:w="1018"/>
        <w:gridCol w:w="1018"/>
        <w:gridCol w:w="1018"/>
        <w:gridCol w:w="1018"/>
        <w:gridCol w:w="2006"/>
        <w:gridCol w:w="3058"/>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年初限售股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本年解除限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本年增加限 售股数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年末限售股 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解除限售日期</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12,129,663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768,120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2,272,309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13,633,852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40,541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243,244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3,640,263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728,053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4,368,316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3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4,104,363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820,873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4,925,236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637,280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22,499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122,956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737,737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196,242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49,061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29,436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176,617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陈振光</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2,896,996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165,735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546,252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3,277,513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bl>
    <w:p>
      <w:pPr>
        <w:widowControl w:val="0"/>
        <w:spacing w:line="1" w:lineRule="exact"/>
      </w:pPr>
    </w:p>
    <w:tbl>
      <w:tblPr>
        <w:tblOverlap w:val="never"/>
        <w:jc w:val="center"/>
        <w:tblLayout w:type="fixed"/>
      </w:tblPr>
      <w:tblGrid>
        <w:gridCol w:w="1027"/>
        <w:gridCol w:w="1018"/>
        <w:gridCol w:w="1018"/>
        <w:gridCol w:w="1018"/>
        <w:gridCol w:w="1018"/>
        <w:gridCol w:w="2006"/>
        <w:gridCol w:w="3058"/>
      </w:tblGrid>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454,916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90,983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545,899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43,403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93,006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111,607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康丰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52,780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31,668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离任高管锁定股份解锁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r>
      <w:tr>
        <w:trPr>
          <w:trHeight w:val="34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261,589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52,318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313,907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高管锁定股份</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每年首个交易日按</w:t>
            </w:r>
            <w:r>
              <w:rPr>
                <w:color w:val="000000"/>
                <w:spacing w:val="0"/>
                <w:w w:val="100"/>
                <w:position w:val="0"/>
              </w:rPr>
              <w:t>25%</w:t>
            </w:r>
            <w:r>
              <w:rPr>
                <w:rFonts w:ascii="SimSun" w:eastAsia="SimSun" w:hAnsi="SimSun" w:cs="SimSun"/>
                <w:color w:val="000000"/>
                <w:spacing w:val="0"/>
                <w:w w:val="100"/>
                <w:position w:val="0"/>
              </w:rPr>
              <w:t>解除限售</w:t>
            </w:r>
          </w:p>
        </w:tc>
      </w:tr>
      <w:tr>
        <w:trPr>
          <w:trHeight w:val="346"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24,886,818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1,031,805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4,771,003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28,626,016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780"/>
        <w:jc w:val="left"/>
      </w:pPr>
      <w:r>
        <w:rPr>
          <w:color w:val="000000"/>
          <w:spacing w:val="0"/>
          <w:w w:val="100"/>
          <w:position w:val="0"/>
        </w:rPr>
        <w:t>股份变动的批准情况</w:t>
      </w:r>
    </w:p>
    <w:p>
      <w:pPr>
        <w:pStyle w:val="Style3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40" w:line="319" w:lineRule="exact"/>
        <w:ind w:left="780" w:right="74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年度利润分配的议案》，决定以公司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622,697,755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2</w:t>
      </w:r>
      <w:r>
        <w:rPr>
          <w:color w:val="000000"/>
          <w:spacing w:val="0"/>
          <w:w w:val="100"/>
          <w:position w:val="0"/>
        </w:rPr>
        <w:t>股红股，派发现金红利</w:t>
      </w:r>
      <w:r>
        <w:rPr>
          <w:rFonts w:ascii="Times New Roman" w:eastAsia="Times New Roman" w:hAnsi="Times New Roman" w:cs="Times New Roman"/>
          <w:color w:val="000000"/>
          <w:spacing w:val="0"/>
          <w:w w:val="100"/>
          <w:position w:val="0"/>
        </w:rPr>
        <w:t>3</w:t>
      </w:r>
      <w:r>
        <w:rPr>
          <w:color w:val="000000"/>
          <w:spacing w:val="0"/>
          <w:w w:val="100"/>
          <w:position w:val="0"/>
        </w:rPr>
        <w:t>元（含税），不进行资本公积转增 股本。</w:t>
      </w:r>
    </w:p>
    <w:p>
      <w:pPr>
        <w:pStyle w:val="Style35"/>
        <w:keepNext w:val="0"/>
        <w:keepLines w:val="0"/>
        <w:widowControl w:val="0"/>
        <w:shd w:val="clear" w:color="auto" w:fill="auto"/>
        <w:bidi w:val="0"/>
        <w:spacing w:before="0" w:after="0" w:line="326" w:lineRule="exact"/>
        <w:ind w:left="0" w:right="0" w:firstLine="780"/>
        <w:jc w:val="left"/>
      </w:pPr>
      <w:r>
        <w:rPr>
          <w:color w:val="000000"/>
          <w:spacing w:val="0"/>
          <w:w w:val="100"/>
          <w:position w:val="0"/>
        </w:rPr>
        <w:t>股份变动的过户情况</w:t>
      </w:r>
    </w:p>
    <w:p>
      <w:pPr>
        <w:pStyle w:val="Style35"/>
        <w:keepNext w:val="0"/>
        <w:keepLines w:val="0"/>
        <w:widowControl w:val="0"/>
        <w:shd w:val="clear" w:color="auto" w:fill="auto"/>
        <w:bidi w:val="0"/>
        <w:spacing w:before="0" w:after="0" w:line="326" w:lineRule="exact"/>
        <w:ind w:left="0" w:right="0" w:firstLine="78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7"/>
        <w:keepNext w:val="0"/>
        <w:keepLines w:val="0"/>
        <w:widowControl w:val="0"/>
        <w:shd w:val="clear" w:color="auto" w:fill="auto"/>
        <w:bidi w:val="0"/>
        <w:spacing w:before="0" w:after="240" w:line="326" w:lineRule="exact"/>
        <w:ind w:left="114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日，公司</w:t>
      </w:r>
      <w:r>
        <w:rPr>
          <w:color w:val="000000"/>
          <w:spacing w:val="0"/>
          <w:w w:val="100"/>
          <w:position w:val="0"/>
        </w:rPr>
        <w:t>2012</w:t>
      </w:r>
      <w:r>
        <w:rPr>
          <w:rFonts w:ascii="SimSun" w:eastAsia="SimSun" w:hAnsi="SimSun" w:cs="SimSun"/>
          <w:color w:val="000000"/>
          <w:spacing w:val="0"/>
          <w:w w:val="100"/>
          <w:position w:val="0"/>
        </w:rPr>
        <w:t>年度权益分派方案实施完毕，公司总股本由</w:t>
      </w:r>
      <w:r>
        <w:rPr>
          <w:color w:val="000000"/>
          <w:spacing w:val="0"/>
          <w:w w:val="100"/>
          <w:position w:val="0"/>
        </w:rPr>
        <w:t>622,697,755</w:t>
      </w:r>
      <w:r>
        <w:rPr>
          <w:rFonts w:ascii="SimSun" w:eastAsia="SimSun" w:hAnsi="SimSun" w:cs="SimSun"/>
          <w:color w:val="000000"/>
          <w:spacing w:val="0"/>
          <w:w w:val="100"/>
          <w:position w:val="0"/>
        </w:rPr>
        <w:t>股增加至</w:t>
      </w:r>
      <w:r>
        <w:rPr>
          <w:color w:val="000000"/>
          <w:spacing w:val="0"/>
          <w:w w:val="100"/>
          <w:position w:val="0"/>
        </w:rPr>
        <w:t>747,237,306</w:t>
      </w:r>
      <w:r>
        <w:rPr>
          <w:rFonts w:ascii="SimSun" w:eastAsia="SimSun" w:hAnsi="SimSun" w:cs="SimSun"/>
          <w:color w:val="000000"/>
          <w:spacing w:val="0"/>
          <w:w w:val="100"/>
          <w:position w:val="0"/>
        </w:rPr>
        <w:t>股。</w:t>
      </w:r>
    </w:p>
    <w:p>
      <w:pPr>
        <w:pStyle w:val="Style35"/>
        <w:keepNext w:val="0"/>
        <w:keepLines w:val="0"/>
        <w:widowControl w:val="0"/>
        <w:shd w:val="clear" w:color="auto" w:fill="auto"/>
        <w:bidi w:val="0"/>
        <w:spacing w:before="0" w:after="0" w:line="334" w:lineRule="exact"/>
        <w:ind w:left="78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val="0"/>
        <w:keepLines w:val="0"/>
        <w:widowControl w:val="0"/>
        <w:shd w:val="clear" w:color="auto" w:fill="auto"/>
        <w:bidi w:val="0"/>
        <w:spacing w:before="0" w:after="240" w:line="334" w:lineRule="exact"/>
        <w:ind w:left="78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年度权益分派方案实施后，按变动后股本</w:t>
      </w:r>
      <w:r>
        <w:rPr>
          <w:rFonts w:ascii="Times New Roman" w:eastAsia="Times New Roman" w:hAnsi="Times New Roman" w:cs="Times New Roman"/>
          <w:color w:val="000000"/>
          <w:spacing w:val="0"/>
          <w:w w:val="100"/>
          <w:position w:val="0"/>
        </w:rPr>
        <w:t>747,237,306</w:t>
      </w:r>
      <w:r>
        <w:rPr>
          <w:color w:val="000000"/>
          <w:spacing w:val="0"/>
          <w:w w:val="100"/>
          <w:position w:val="0"/>
        </w:rPr>
        <w:t>股摊薄计算，</w:t>
      </w:r>
      <w:r>
        <w:rPr>
          <w:rFonts w:ascii="Times New Roman" w:eastAsia="Times New Roman" w:hAnsi="Times New Roman" w:cs="Times New Roman"/>
          <w:color w:val="000000"/>
          <w:spacing w:val="0"/>
          <w:w w:val="100"/>
          <w:position w:val="0"/>
        </w:rPr>
        <w:t>2012</w:t>
      </w:r>
      <w:r>
        <w:rPr>
          <w:color w:val="000000"/>
          <w:spacing w:val="0"/>
          <w:w w:val="100"/>
          <w:position w:val="0"/>
        </w:rPr>
        <w:t>年每股收益和稀释每股收益调整为</w:t>
      </w:r>
      <w:r>
        <w:rPr>
          <w:rFonts w:ascii="Times New Roman" w:eastAsia="Times New Roman" w:hAnsi="Times New Roman" w:cs="Times New Roman"/>
          <w:color w:val="000000"/>
          <w:spacing w:val="0"/>
          <w:w w:val="100"/>
          <w:position w:val="0"/>
        </w:rPr>
        <w:t xml:space="preserve">0.77 </w:t>
      </w:r>
      <w:r>
        <w:rPr>
          <w:color w:val="000000"/>
          <w:spacing w:val="0"/>
          <w:w w:val="100"/>
          <w:position w:val="0"/>
        </w:rPr>
        <w:t>元，其他财务指标无影响。</w:t>
      </w:r>
    </w:p>
    <w:p>
      <w:pPr>
        <w:pStyle w:val="Style35"/>
        <w:keepNext w:val="0"/>
        <w:keepLines w:val="0"/>
        <w:widowControl w:val="0"/>
        <w:shd w:val="clear" w:color="auto" w:fill="auto"/>
        <w:bidi w:val="0"/>
        <w:spacing w:before="0" w:after="0" w:line="326" w:lineRule="exact"/>
        <w:ind w:left="0" w:right="0" w:firstLine="780"/>
        <w:jc w:val="left"/>
      </w:pPr>
      <w:r>
        <w:rPr>
          <w:color w:val="000000"/>
          <w:spacing w:val="0"/>
          <w:w w:val="100"/>
          <w:position w:val="0"/>
        </w:rPr>
        <w:t>公司认为必要或证券监管机构要求披露的其他内容</w:t>
      </w:r>
    </w:p>
    <w:p>
      <w:pPr>
        <w:pStyle w:val="Style35"/>
        <w:keepNext w:val="0"/>
        <w:keepLines w:val="0"/>
        <w:widowControl w:val="0"/>
        <w:shd w:val="clear" w:color="auto" w:fill="auto"/>
        <w:bidi w:val="0"/>
        <w:spacing w:before="0" w:after="360" w:line="326" w:lineRule="exact"/>
        <w:ind w:left="0" w:right="0" w:firstLine="780"/>
        <w:jc w:val="left"/>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1302" w:val="left"/>
        </w:tabs>
        <w:bidi w:val="0"/>
        <w:spacing w:before="0" w:after="360" w:line="240" w:lineRule="auto"/>
        <w:ind w:left="0" w:right="0" w:firstLine="780"/>
        <w:jc w:val="left"/>
      </w:pPr>
      <w:bookmarkStart w:id="419" w:name="bookmark419"/>
      <w:bookmarkStart w:id="420" w:name="bookmark420"/>
      <w:bookmarkStart w:id="421" w:name="bookmark421"/>
      <w:bookmarkStart w:id="422" w:name="bookmark422"/>
      <w:r>
        <w:rPr>
          <w:color w:val="000000"/>
          <w:spacing w:val="0"/>
          <w:w w:val="100"/>
          <w:position w:val="0"/>
          <w:sz w:val="24"/>
          <w:szCs w:val="24"/>
        </w:rPr>
        <w:t>二</w:t>
      </w:r>
      <w:bookmarkEnd w:id="421"/>
      <w:r>
        <w:rPr>
          <w:color w:val="000000"/>
          <w:spacing w:val="0"/>
          <w:w w:val="100"/>
          <w:position w:val="0"/>
          <w:sz w:val="24"/>
          <w:szCs w:val="24"/>
        </w:rPr>
        <w:t>、</w:t>
        <w:tab/>
        <w:t>证券发行与上市情况</w:t>
      </w:r>
      <w:bookmarkEnd w:id="419"/>
      <w:bookmarkEnd w:id="420"/>
      <w:bookmarkEnd w:id="422"/>
    </w:p>
    <w:p>
      <w:pPr>
        <w:pStyle w:val="Style44"/>
        <w:keepNext/>
        <w:keepLines/>
        <w:widowControl w:val="0"/>
        <w:shd w:val="clear" w:color="auto" w:fill="auto"/>
        <w:tabs>
          <w:tab w:pos="1162" w:val="left"/>
        </w:tabs>
        <w:bidi w:val="0"/>
        <w:spacing w:before="0" w:after="280" w:line="240" w:lineRule="auto"/>
        <w:ind w:left="0" w:right="0" w:firstLine="78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w:t>
        <w:tab/>
        <w:t>报告期末近三年历次证券发行情况</w:t>
      </w:r>
      <w:bookmarkEnd w:id="423"/>
      <w:bookmarkEnd w:id="424"/>
      <w:bookmarkEnd w:id="426"/>
    </w:p>
    <w:p>
      <w:pPr>
        <w:pStyle w:val="Style35"/>
        <w:keepNext w:val="0"/>
        <w:keepLines w:val="0"/>
        <w:widowControl w:val="0"/>
        <w:shd w:val="clear" w:color="auto" w:fill="auto"/>
        <w:bidi w:val="0"/>
        <w:spacing w:before="0" w:after="360" w:line="326" w:lineRule="exact"/>
        <w:ind w:left="0" w:right="0" w:firstLine="7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4"/>
        <w:keepNext/>
        <w:keepLines/>
        <w:widowControl w:val="0"/>
        <w:shd w:val="clear" w:color="auto" w:fill="auto"/>
        <w:tabs>
          <w:tab w:pos="1162" w:val="left"/>
        </w:tabs>
        <w:bidi w:val="0"/>
        <w:spacing w:before="0" w:after="280" w:line="240" w:lineRule="auto"/>
        <w:ind w:left="0" w:right="0" w:firstLine="78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公司股份总数及股东结构的变动、公司资产和负债结构的变动情况说明</w:t>
      </w:r>
      <w:bookmarkEnd w:id="427"/>
      <w:bookmarkEnd w:id="428"/>
      <w:bookmarkEnd w:id="430"/>
    </w:p>
    <w:p>
      <w:pPr>
        <w:pStyle w:val="Style35"/>
        <w:keepNext w:val="0"/>
        <w:keepLines w:val="0"/>
        <w:widowControl w:val="0"/>
        <w:shd w:val="clear" w:color="auto" w:fill="auto"/>
        <w:bidi w:val="0"/>
        <w:spacing w:before="0" w:after="360" w:line="312" w:lineRule="exact"/>
        <w:ind w:left="78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日公司实施了 </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年度权益分派方案，实行每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2</w:t>
      </w:r>
      <w:r>
        <w:rPr>
          <w:color w:val="000000"/>
          <w:spacing w:val="0"/>
          <w:w w:val="100"/>
          <w:position w:val="0"/>
        </w:rPr>
        <w:t>股，送股后公司股本由</w:t>
      </w:r>
      <w:r>
        <w:rPr>
          <w:rFonts w:ascii="Times New Roman" w:eastAsia="Times New Roman" w:hAnsi="Times New Roman" w:cs="Times New Roman"/>
          <w:color w:val="000000"/>
          <w:spacing w:val="0"/>
          <w:w w:val="100"/>
          <w:position w:val="0"/>
        </w:rPr>
        <w:t>622,697,755</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 xml:space="preserve">747,237,306 </w:t>
      </w:r>
      <w:r>
        <w:rPr>
          <w:color w:val="000000"/>
          <w:spacing w:val="0"/>
          <w:w w:val="100"/>
          <w:position w:val="0"/>
        </w:rPr>
        <w:t>股。</w:t>
      </w:r>
    </w:p>
    <w:p>
      <w:pPr>
        <w:pStyle w:val="Style44"/>
        <w:keepNext/>
        <w:keepLines/>
        <w:widowControl w:val="0"/>
        <w:shd w:val="clear" w:color="auto" w:fill="auto"/>
        <w:tabs>
          <w:tab w:pos="1162" w:val="left"/>
        </w:tabs>
        <w:bidi w:val="0"/>
        <w:spacing w:before="0" w:after="280" w:line="240" w:lineRule="auto"/>
        <w:ind w:left="0" w:right="0" w:firstLine="78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现存的内部职工股情况</w:t>
      </w:r>
      <w:bookmarkEnd w:id="431"/>
      <w:bookmarkEnd w:id="432"/>
      <w:bookmarkEnd w:id="434"/>
    </w:p>
    <w:p>
      <w:pPr>
        <w:pStyle w:val="Style35"/>
        <w:keepNext w:val="0"/>
        <w:keepLines w:val="0"/>
        <w:widowControl w:val="0"/>
        <w:shd w:val="clear" w:color="auto" w:fill="auto"/>
        <w:bidi w:val="0"/>
        <w:spacing w:before="0" w:after="360" w:line="326" w:lineRule="exact"/>
        <w:ind w:left="0" w:right="0" w:firstLine="780"/>
        <w:jc w:val="left"/>
      </w:pPr>
      <w:r>
        <w:rPr>
          <w:b/>
          <w:bCs/>
          <w:color w:val="000000"/>
          <w:spacing w:val="0"/>
          <w:w w:val="100"/>
          <w:position w:val="0"/>
        </w:rPr>
        <w:t>无</w:t>
      </w:r>
    </w:p>
    <w:p>
      <w:pPr>
        <w:pStyle w:val="Style31"/>
        <w:keepNext/>
        <w:keepLines/>
        <w:widowControl w:val="0"/>
        <w:shd w:val="clear" w:color="auto" w:fill="auto"/>
        <w:tabs>
          <w:tab w:pos="1306" w:val="left"/>
        </w:tabs>
        <w:bidi w:val="0"/>
        <w:spacing w:before="0" w:after="240" w:line="240" w:lineRule="auto"/>
        <w:ind w:left="0" w:right="0" w:firstLine="780"/>
        <w:jc w:val="left"/>
      </w:pPr>
      <w:bookmarkStart w:id="435" w:name="bookmark435"/>
      <w:bookmarkStart w:id="436" w:name="bookmark436"/>
      <w:bookmarkStart w:id="437" w:name="bookmark437"/>
      <w:bookmarkStart w:id="438" w:name="bookmark438"/>
      <w:r>
        <w:rPr>
          <w:color w:val="000000"/>
          <w:spacing w:val="0"/>
          <w:w w:val="100"/>
          <w:position w:val="0"/>
          <w:sz w:val="24"/>
          <w:szCs w:val="24"/>
        </w:rPr>
        <w:t>三</w:t>
      </w:r>
      <w:bookmarkEnd w:id="437"/>
      <w:r>
        <w:rPr>
          <w:color w:val="000000"/>
          <w:spacing w:val="0"/>
          <w:w w:val="100"/>
          <w:position w:val="0"/>
          <w:sz w:val="24"/>
          <w:szCs w:val="24"/>
        </w:rPr>
        <w:t>、</w:t>
        <w:tab/>
        <w:t>股东和实际控制人情况</w:t>
      </w:r>
      <w:bookmarkEnd w:id="435"/>
      <w:bookmarkEnd w:id="436"/>
      <w:bookmarkEnd w:id="438"/>
    </w:p>
    <w:p>
      <w:pPr>
        <w:pStyle w:val="Style35"/>
        <w:keepNext w:val="0"/>
        <w:keepLines w:val="0"/>
        <w:widowControl w:val="0"/>
        <w:shd w:val="clear" w:color="auto" w:fill="auto"/>
        <w:bidi w:val="0"/>
        <w:spacing w:before="0" w:after="0" w:line="326" w:lineRule="exact"/>
        <w:ind w:left="0" w:right="0" w:firstLine="780"/>
        <w:jc w:val="left"/>
      </w:pPr>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p>
    <w:p>
      <w:pPr>
        <w:pStyle w:val="Style35"/>
        <w:keepNext w:val="0"/>
        <w:keepLines w:val="0"/>
        <w:widowControl w:val="0"/>
        <w:shd w:val="clear" w:color="auto" w:fill="auto"/>
        <w:bidi w:val="0"/>
        <w:spacing w:before="0" w:after="240" w:line="326" w:lineRule="exact"/>
        <w:ind w:left="0" w:right="780" w:firstLine="0"/>
        <w:jc w:val="right"/>
      </w:pPr>
      <w:r>
        <w:rPr>
          <w:color w:val="000000"/>
          <w:spacing w:val="0"/>
          <w:w w:val="100"/>
          <w:position w:val="0"/>
        </w:rPr>
        <w:t>单位：股</w:t>
      </w:r>
      <w:r>
        <w:br w:type="page"/>
      </w:r>
    </w:p>
    <w:tbl>
      <w:tblPr>
        <w:tblOverlap w:val="never"/>
        <w:jc w:val="center"/>
        <w:tblLayout w:type="fixed"/>
      </w:tblPr>
      <w:tblGrid>
        <w:gridCol w:w="2246"/>
        <w:gridCol w:w="1368"/>
        <w:gridCol w:w="691"/>
        <w:gridCol w:w="1037"/>
        <w:gridCol w:w="854"/>
        <w:gridCol w:w="946"/>
        <w:gridCol w:w="1080"/>
        <w:gridCol w:w="422"/>
        <w:gridCol w:w="1186"/>
      </w:tblGrid>
      <w:tr>
        <w:trPr>
          <w:trHeight w:val="403" w:hRule="exact"/>
        </w:trPr>
        <w:tc>
          <w:tcPr>
            <w:gridSpan w:val="2"/>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报告期股东总数</w:t>
            </w:r>
          </w:p>
        </w:tc>
        <w:tc>
          <w:tcPr>
            <w:gridSpan w:val="6"/>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13,608</w:t>
            </w: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18,849</w:t>
            </w: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75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356,432,470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59,405,412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356,432,470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梅州敬基实业有限公司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3.69%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27,596,331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4,599,389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27,596,331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中国工商银行一广发大盘成 长混合型证券投资基金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22,000,786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19,428,522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22,000,786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全国社保基金一零四组合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20,299,998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1,511,102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20,299,998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全国社会保障基金理事会转 持二户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18,869,760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3,144,960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18,869,760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17,847,769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2,699,045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13,633,852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4,213,917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上海浦东发展银行一广发小 盘成长股票型证券投资基金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9,382,628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2,414,290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9,382,628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中国工商银行一上投摩根内</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需动力股票型证券投资基金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8,499,856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8,499,856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全国社保基金四一八组合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7,700,516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1,369,912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7,700,516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中国建设银行一国泰金马稳 健回报证券投资基金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0.96%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7,142,327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7,142,327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 xml:space="preserve">10 </w:t>
            </w:r>
            <w:r>
              <w:rPr>
                <w:rFonts w:ascii="SimSun" w:eastAsia="SimSun" w:hAnsi="SimSun" w:cs="SimSun"/>
                <w:color w:val="000000"/>
                <w:spacing w:val="0"/>
                <w:w w:val="100"/>
                <w:position w:val="0"/>
              </w:rPr>
              <w:t>名股东的情况（如有）</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公司前十名股东中：公司第六大股东赵友永先生为广州无线电集团有限公司的 董事长，存在关联关系，未知其他股东之间是否存在关联关系，也未知是否属 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年末持有无限售条件股份数量-</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356,432,470 ,</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356,432,470</w:t>
            </w:r>
          </w:p>
        </w:tc>
      </w:tr>
      <w:tr>
        <w:trPr>
          <w:trHeight w:val="39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梅州敬基实业有限公司</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27,596,331 ,</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27,596,331</w:t>
            </w:r>
          </w:p>
        </w:tc>
      </w:tr>
      <w:tr>
        <w:trPr>
          <w:trHeight w:val="715"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中国工商银行一广发大盘成长混合型证券投 资基金</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22,000,786</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22,000,786</w:t>
            </w:r>
          </w:p>
        </w:tc>
      </w:tr>
      <w:tr>
        <w:trPr>
          <w:trHeight w:val="40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全国社保基金一零四组合</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20,299,998 ,</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20,299,998</w:t>
            </w:r>
          </w:p>
        </w:tc>
      </w:tr>
      <w:tr>
        <w:trPr>
          <w:trHeight w:val="403"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全国社会保障基金理事会转持二户</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18,869,760 ,</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18,869,760</w:t>
            </w:r>
          </w:p>
        </w:tc>
      </w:tr>
      <w:tr>
        <w:trPr>
          <w:trHeight w:val="725" w:hRule="exact"/>
        </w:trPr>
        <w:tc>
          <w:tcPr>
            <w:gridSpan w:val="2"/>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上海浦东发展银行一广发小盘成长股票型证 券投资基金</w:t>
            </w:r>
          </w:p>
        </w:tc>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9,382,628</w:t>
            </w:r>
          </w:p>
        </w:tc>
        <w:tc>
          <w:tcPr>
            <w:gridSpan w:val="3"/>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9,382,628</w:t>
            </w:r>
          </w:p>
        </w:tc>
      </w:tr>
    </w:tbl>
    <w:p>
      <w:pPr>
        <w:widowControl w:val="0"/>
        <w:spacing w:line="1" w:lineRule="exact"/>
      </w:pPr>
      <w:r>
        <w:br w:type="page"/>
      </w:r>
    </w:p>
    <w:tbl>
      <w:tblPr>
        <w:tblOverlap w:val="never"/>
        <w:jc w:val="center"/>
        <w:tblLayout w:type="fixed"/>
      </w:tblPr>
      <w:tblGrid>
        <w:gridCol w:w="3614"/>
        <w:gridCol w:w="2510"/>
        <w:gridCol w:w="2520"/>
        <w:gridCol w:w="1186"/>
      </w:tblGrid>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中国工商银行一上投摩根内需动力股票型证 券投资基金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8,499,856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8,499,856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全国社保基金四一八组合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7,700,516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7,700,516</w:t>
            </w: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中国建设银行一国泰金马稳健回报证券投资 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7,142,327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7,142,327</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中国工商银行</w:t>
            </w:r>
            <w:r>
              <w:rPr>
                <w:color w:val="000000"/>
                <w:spacing w:val="0"/>
                <w:w w:val="100"/>
                <w:position w:val="0"/>
              </w:rPr>
              <w:t>-</w:t>
            </w:r>
            <w:r>
              <w:rPr>
                <w:rFonts w:ascii="SimSun" w:eastAsia="SimSun" w:hAnsi="SimSun" w:cs="SimSun"/>
                <w:color w:val="000000"/>
                <w:spacing w:val="0"/>
                <w:w w:val="100"/>
                <w:position w:val="0"/>
              </w:rPr>
              <w:t>汇添富价值精选股票型证券投 资基金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 无限售流通股股东和前</w:t>
            </w:r>
            <w:r>
              <w:rPr>
                <w:color w:val="000000"/>
                <w:spacing w:val="0"/>
                <w:w w:val="100"/>
                <w:position w:val="0"/>
              </w:rPr>
              <w:t>10</w:t>
            </w:r>
            <w:r>
              <w:rPr>
                <w:rFonts w:ascii="SimSun" w:eastAsia="SimSun" w:hAnsi="SimSun" w:cs="SimSun"/>
                <w:color w:val="000000"/>
                <w:spacing w:val="0"/>
                <w:w w:val="100"/>
                <w:position w:val="0"/>
              </w:rPr>
              <w:t>名股东之间关联关 系或一致行动的说明</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前十名无限售流通股股东中：第一大股东广州无线电集团有限公司与第二大股 东梅州敬基实业有限公司同为公司发起人股东，但不存在关联关系，未知其他 股东之间是否存在关联关系，也未知是否属于一致行动人。</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参与融资融券业务股东情况说明（如有）</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公司股东在报告期内是否进行约定购回交易</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4"/>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2</w:t>
      </w:r>
      <w:bookmarkEnd w:id="441"/>
      <w:r>
        <w:rPr>
          <w:color w:val="000000"/>
          <w:spacing w:val="0"/>
          <w:w w:val="100"/>
          <w:position w:val="0"/>
        </w:rPr>
        <w:t>、公司控股股东情况</w:t>
      </w:r>
      <w:bookmarkEnd w:id="439"/>
      <w:bookmarkEnd w:id="440"/>
      <w:bookmarkEnd w:id="442"/>
    </w:p>
    <w:p>
      <w:pPr>
        <w:pStyle w:val="Style33"/>
        <w:keepNext w:val="0"/>
        <w:keepLines w:val="0"/>
        <w:widowControl w:val="0"/>
        <w:shd w:val="clear" w:color="auto" w:fill="auto"/>
        <w:bidi w:val="0"/>
        <w:spacing w:before="0" w:after="0" w:line="240" w:lineRule="auto"/>
        <w:ind w:left="14" w:right="0" w:firstLine="0"/>
        <w:jc w:val="left"/>
      </w:pPr>
      <w:r>
        <w:rPr>
          <w:color w:val="000000"/>
          <w:spacing w:val="0"/>
          <w:w w:val="100"/>
          <w:position w:val="0"/>
        </w:rPr>
        <w:t>法人</w:t>
      </w:r>
    </w:p>
    <w:tbl>
      <w:tblPr>
        <w:tblOverlap w:val="never"/>
        <w:jc w:val="center"/>
        <w:tblLayout w:type="fixed"/>
      </w:tblPr>
      <w:tblGrid>
        <w:gridCol w:w="1445"/>
        <w:gridCol w:w="1080"/>
        <w:gridCol w:w="955"/>
        <w:gridCol w:w="1315"/>
        <w:gridCol w:w="970"/>
        <w:gridCol w:w="414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414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广州无线电集团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1981 </w:t>
            </w:r>
            <w:r>
              <w:rPr>
                <w:rFonts w:ascii="SimSun" w:eastAsia="SimSun" w:hAnsi="SimSun" w:cs="SimSun"/>
                <w:color w:val="000000"/>
                <w:spacing w:val="0"/>
                <w:w w:val="100"/>
                <w:position w:val="0"/>
              </w:rPr>
              <w:t xml:space="preserve">年 </w:t>
            </w:r>
            <w:r>
              <w:rPr>
                <w:color w:val="000000"/>
                <w:spacing w:val="0"/>
                <w:w w:val="100"/>
                <w:position w:val="0"/>
              </w:rPr>
              <w:t>02</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23121622-0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w:t>
            </w:r>
            <w:r>
              <w:rPr>
                <w:rFonts w:ascii="SimSun" w:eastAsia="SimSun" w:hAnsi="SimSun" w:cs="SimSun"/>
                <w:color w:val="000000"/>
                <w:spacing w:val="0"/>
                <w:w w:val="100"/>
                <w:position w:val="0"/>
              </w:rPr>
              <w:t>亿元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经营授权管理的国有资产。出口本企业的产品；进出 口本企业生产所需的设备及原辅材料。制造、加工通 信设备、视频产品、音响设备、电工器材、无线电导 航设备、电子测量仪器、电子玩具、电子防盗设备、 计算机及配件、金属结构件、金属切削工具、模具、 塑料制品。电子产品、通信产品、通信设备、机床设 备、仪器仪表、机电产品及其配套工程的设计、安装、 维修、技术咨询及技术服务。电子产品、计算机软硬 件及零配件的制造、研究、开发、设计、销售及技术 服务。批发和零售贸易（国家专营专控商品除外）。 房地产开发。房屋租赁。货物进出口、技术进出口（法 律、行政法规禁止的项目除外，法律、行政法规限制 的项目须取得许可证后方可经营）。</w:t>
            </w:r>
          </w:p>
        </w:tc>
      </w:tr>
      <w:tr>
        <w:trPr>
          <w:trHeight w:val="133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经营成果、财务 状况、现金流和未 来发展战略等</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2013</w:t>
            </w:r>
            <w:r>
              <w:rPr>
                <w:rFonts w:ascii="SimSun" w:eastAsia="SimSun" w:hAnsi="SimSun" w:cs="SimSun"/>
                <w:color w:val="000000"/>
                <w:spacing w:val="0"/>
                <w:w w:val="100"/>
                <w:position w:val="0"/>
              </w:rPr>
              <w:t>年，广电集团营业收入</w:t>
            </w:r>
            <w:r>
              <w:rPr>
                <w:color w:val="000000"/>
                <w:spacing w:val="0"/>
                <w:w w:val="100"/>
                <w:position w:val="0"/>
              </w:rPr>
              <w:t>11.36</w:t>
            </w:r>
            <w:r>
              <w:rPr>
                <w:rFonts w:ascii="SimSun" w:eastAsia="SimSun" w:hAnsi="SimSun" w:cs="SimSun"/>
                <w:color w:val="000000"/>
                <w:spacing w:val="0"/>
                <w:w w:val="100"/>
                <w:position w:val="0"/>
              </w:rPr>
              <w:t>亿元，利润总额</w:t>
            </w:r>
            <w:r>
              <w:rPr>
                <w:color w:val="000000"/>
                <w:spacing w:val="0"/>
                <w:w w:val="100"/>
                <w:position w:val="0"/>
              </w:rPr>
              <w:t>4.96</w:t>
            </w:r>
            <w:r>
              <w:rPr>
                <w:rFonts w:ascii="SimSun" w:eastAsia="SimSun" w:hAnsi="SimSun" w:cs="SimSun"/>
                <w:color w:val="000000"/>
                <w:spacing w:val="0"/>
                <w:w w:val="100"/>
                <w:position w:val="0"/>
              </w:rPr>
              <w:t>亿元，</w:t>
            </w:r>
            <w:r>
              <w:rPr>
                <w:color w:val="000000"/>
                <w:spacing w:val="0"/>
                <w:w w:val="100"/>
                <w:position w:val="0"/>
              </w:rPr>
              <w:t>2013</w:t>
            </w:r>
            <w:r>
              <w:rPr>
                <w:rFonts w:ascii="SimSun" w:eastAsia="SimSun" w:hAnsi="SimSun" w:cs="SimSun"/>
                <w:color w:val="000000"/>
                <w:spacing w:val="0"/>
                <w:w w:val="100"/>
                <w:position w:val="0"/>
              </w:rPr>
              <w:t>年末资产总额</w:t>
            </w:r>
            <w:r>
              <w:rPr>
                <w:color w:val="000000"/>
                <w:spacing w:val="0"/>
                <w:w w:val="100"/>
                <w:position w:val="0"/>
              </w:rPr>
              <w:t>53.10</w:t>
            </w:r>
            <w:r>
              <w:rPr>
                <w:rFonts w:ascii="SimSun" w:eastAsia="SimSun" w:hAnsi="SimSun" w:cs="SimSun"/>
                <w:color w:val="000000"/>
                <w:spacing w:val="0"/>
                <w:w w:val="100"/>
                <w:position w:val="0"/>
              </w:rPr>
              <w:t xml:space="preserve">亿元，净资产 </w:t>
            </w:r>
            <w:r>
              <w:rPr>
                <w:color w:val="000000"/>
                <w:spacing w:val="0"/>
                <w:w w:val="100"/>
                <w:position w:val="0"/>
              </w:rPr>
              <w:t>33.46</w:t>
            </w:r>
            <w:r>
              <w:rPr>
                <w:rFonts w:ascii="SimSun" w:eastAsia="SimSun" w:hAnsi="SimSun" w:cs="SimSun"/>
                <w:color w:val="000000"/>
                <w:spacing w:val="0"/>
                <w:w w:val="100"/>
                <w:position w:val="0"/>
              </w:rPr>
              <w:t>亿元，现金流净额</w:t>
            </w:r>
            <w:r>
              <w:rPr>
                <w:color w:val="000000"/>
                <w:spacing w:val="0"/>
                <w:w w:val="100"/>
                <w:position w:val="0"/>
              </w:rPr>
              <w:t>-0.5</w:t>
            </w:r>
            <w:r>
              <w:rPr>
                <w:color w:val="000000"/>
                <w:spacing w:val="0"/>
                <w:w w:val="100"/>
                <w:position w:val="0"/>
              </w:rPr>
              <w:t>0</w:t>
            </w:r>
            <w:r>
              <w:rPr>
                <w:rFonts w:ascii="SimSun" w:eastAsia="SimSun" w:hAnsi="SimSun" w:cs="SimSun"/>
                <w:color w:val="000000"/>
                <w:spacing w:val="0"/>
                <w:w w:val="100"/>
                <w:position w:val="0"/>
              </w:rPr>
              <w:t>亿元，（以上数据为母公司数据）。广电集团未来将继续依托现有核心产业，加 大在高端高科技制造业和高端现代服务业的投资，同时，将继续利用资本手段，积极整合内外部资源，做强 做大核心产业，促进国有资本保值增值。</w:t>
            </w:r>
          </w:p>
        </w:tc>
      </w:tr>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控股股东报告期 内控股和参股的 其他境内外上市 公司的股权情况</w:t>
            </w:r>
          </w:p>
        </w:tc>
        <w:tc>
          <w:tcPr>
            <w:gridSpan w:val="5"/>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截止</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日，控股股东无线电集团持有海格通信</w:t>
            </w:r>
            <w:r>
              <w:rPr>
                <w:color w:val="000000"/>
                <w:spacing w:val="0"/>
                <w:w w:val="100"/>
                <w:position w:val="0"/>
              </w:rPr>
              <w:t>18.25%</w:t>
            </w:r>
            <w:r>
              <w:rPr>
                <w:rFonts w:ascii="SimSun" w:eastAsia="SimSun" w:hAnsi="SimSun" w:cs="SimSun"/>
                <w:color w:val="000000"/>
                <w:spacing w:val="0"/>
                <w:w w:val="100"/>
                <w:position w:val="0"/>
              </w:rPr>
              <w:t>股权、持有吉林金浦钛业股份有限 公司</w:t>
            </w:r>
            <w:r>
              <w:rPr>
                <w:color w:val="000000"/>
                <w:spacing w:val="0"/>
                <w:w w:val="100"/>
                <w:position w:val="0"/>
              </w:rPr>
              <w:t>9.90%</w:t>
            </w:r>
            <w:r>
              <w:rPr>
                <w:rFonts w:ascii="SimSun" w:eastAsia="SimSun" w:hAnsi="SimSun" w:cs="SimSun"/>
                <w:color w:val="000000"/>
                <w:spacing w:val="0"/>
                <w:w w:val="100"/>
                <w:position w:val="0"/>
              </w:rPr>
              <w:t>股权、持有广州珠江钢琴集团股份有限公司</w:t>
            </w:r>
            <w:r>
              <w:rPr>
                <w:color w:val="000000"/>
                <w:spacing w:val="0"/>
                <w:w w:val="100"/>
                <w:position w:val="0"/>
              </w:rPr>
              <w:t>0.83%</w:t>
            </w:r>
            <w:r>
              <w:rPr>
                <w:rFonts w:ascii="SimSun" w:eastAsia="SimSun" w:hAnsi="SimSun" w:cs="SimSun"/>
                <w:color w:val="000000"/>
                <w:spacing w:val="0"/>
                <w:w w:val="100"/>
                <w:position w:val="0"/>
              </w:rPr>
              <w:t>股权。</w:t>
            </w:r>
          </w:p>
        </w:tc>
      </w:tr>
    </w:tbl>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44"/>
        <w:keepNext/>
        <w:keepLines/>
        <w:widowControl w:val="0"/>
        <w:shd w:val="clear" w:color="auto" w:fill="auto"/>
        <w:bidi w:val="0"/>
        <w:spacing w:before="0" w:after="36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3</w:t>
      </w:r>
      <w:bookmarkEnd w:id="445"/>
      <w:r>
        <w:rPr>
          <w:color w:val="000000"/>
          <w:spacing w:val="0"/>
          <w:w w:val="100"/>
          <w:position w:val="0"/>
        </w:rPr>
        <w:t>、公司实际控制人情况</w:t>
      </w:r>
      <w:bookmarkEnd w:id="443"/>
      <w:bookmarkEnd w:id="444"/>
      <w:bookmarkEnd w:id="446"/>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法人</w:t>
      </w:r>
    </w:p>
    <w:tbl>
      <w:tblPr>
        <w:tblOverlap w:val="never"/>
        <w:jc w:val="center"/>
        <w:tblLayout w:type="fixed"/>
      </w:tblPr>
      <w:tblGrid>
        <w:gridCol w:w="2554"/>
        <w:gridCol w:w="1109"/>
        <w:gridCol w:w="1579"/>
        <w:gridCol w:w="1800"/>
        <w:gridCol w:w="1262"/>
        <w:gridCol w:w="1382"/>
      </w:tblGrid>
      <w:tr>
        <w:trPr>
          <w:trHeight w:val="78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法定代表人</w:t>
            </w:r>
            <w:r>
              <w:rPr>
                <w:color w:val="000000"/>
                <w:spacing w:val="0"/>
                <w:w w:val="100"/>
                <w:position w:val="0"/>
              </w:rPr>
              <w:t xml:space="preserve">/ </w:t>
            </w:r>
            <w:r>
              <w:rPr>
                <w:rFonts w:ascii="SimSun" w:eastAsia="SimSun" w:hAnsi="SimSun" w:cs="SimSun"/>
                <w:color w:val="000000"/>
                <w:spacing w:val="0"/>
                <w:w w:val="100"/>
                <w:position w:val="0"/>
              </w:rPr>
              <w:t>单位负责人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主要经营业务</w:t>
            </w:r>
          </w:p>
        </w:tc>
      </w:tr>
      <w:tr>
        <w:trPr>
          <w:trHeight w:val="4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广州市国资委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黄伟林</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77119611—X</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944495" cy="18592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stretch/>
                  </pic:blipFill>
                  <pic:spPr>
                    <a:xfrm>
                      <a:ext cx="2944495" cy="1859280"/>
                    </a:xfrm>
                    <a:prstGeom prst="rect"/>
                  </pic:spPr>
                </pic:pic>
              </a:graphicData>
            </a:graphic>
          </wp:inline>
        </w:drawing>
      </w:r>
    </w:p>
    <w:p>
      <w:pPr>
        <w:widowControl w:val="0"/>
        <w:spacing w:after="359" w:line="1" w:lineRule="exact"/>
      </w:pP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实际控制人通过信托或其他资产管理方式控制公司</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适用V不适用</w:t>
      </w:r>
    </w:p>
    <w:p>
      <w:pPr>
        <w:pStyle w:val="Style44"/>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4</w:t>
      </w:r>
      <w:bookmarkEnd w:id="44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7"/>
      <w:bookmarkEnd w:id="448"/>
      <w:bookmarkEnd w:id="45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公司无其他持股在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p>
    <w:p>
      <w:pPr>
        <w:pStyle w:val="Style31"/>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四</w:t>
      </w:r>
      <w:bookmarkEnd w:id="453"/>
      <w:r>
        <w:rPr>
          <w:color w:val="000000"/>
          <w:spacing w:val="0"/>
          <w:w w:val="100"/>
          <w:position w:val="0"/>
          <w:sz w:val="24"/>
          <w:szCs w:val="24"/>
        </w:rPr>
        <w:t>、公司股东及其一致行动人在报告期提出或实施股份增持计划的情况</w:t>
      </w:r>
      <w:bookmarkEnd w:id="451"/>
      <w:bookmarkEnd w:id="452"/>
      <w:bookmarkEnd w:id="454"/>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报告期，公司未收到股东及其一致行动人提出或实施股份增持计划的信息。</w:t>
      </w:r>
      <w:r>
        <w:br w:type="page"/>
      </w:r>
    </w:p>
    <w:p>
      <w:pPr>
        <w:pStyle w:val="Style20"/>
        <w:keepNext/>
        <w:keepLines/>
        <w:widowControl w:val="0"/>
        <w:shd w:val="clear" w:color="auto" w:fill="auto"/>
        <w:bidi w:val="0"/>
        <w:spacing w:before="0" w:after="540" w:line="240" w:lineRule="auto"/>
        <w:ind w:left="0" w:right="0" w:firstLine="0"/>
        <w:jc w:val="center"/>
      </w:pPr>
      <w:bookmarkStart w:id="455" w:name="bookmark455"/>
      <w:bookmarkStart w:id="456" w:name="bookmark456"/>
      <w:bookmarkStart w:id="457" w:name="bookmark457"/>
      <w:r>
        <w:rPr>
          <w:color w:val="000000"/>
          <w:spacing w:val="0"/>
          <w:w w:val="100"/>
          <w:position w:val="0"/>
        </w:rPr>
        <w:t>第七节董事、监事、高级管理人员和员工情况</w:t>
      </w:r>
      <w:bookmarkEnd w:id="455"/>
      <w:bookmarkEnd w:id="456"/>
      <w:bookmarkEnd w:id="457"/>
    </w:p>
    <w:p>
      <w:pPr>
        <w:pStyle w:val="Style31"/>
        <w:keepNext/>
        <w:keepLines/>
        <w:widowControl w:val="0"/>
        <w:shd w:val="clear" w:color="auto" w:fill="auto"/>
        <w:bidi w:val="0"/>
        <w:spacing w:before="0" w:line="240" w:lineRule="auto"/>
        <w:ind w:left="0" w:right="0" w:firstLine="260"/>
        <w:jc w:val="left"/>
      </w:pPr>
      <w:bookmarkStart w:id="458" w:name="bookmark458"/>
      <w:bookmarkStart w:id="459" w:name="bookmark459"/>
      <w:bookmarkStart w:id="460" w:name="bookmark460"/>
      <w:bookmarkStart w:id="461" w:name="bookmark461"/>
      <w:r>
        <w:rPr>
          <w:color w:val="000000"/>
          <w:spacing w:val="0"/>
          <w:w w:val="100"/>
          <w:position w:val="0"/>
          <w:sz w:val="24"/>
          <w:szCs w:val="24"/>
        </w:rPr>
        <w:t>、董事、监事和高级管理人员持股变动</w:t>
      </w:r>
      <w:bookmarkEnd w:id="459"/>
      <w:bookmarkEnd w:id="460"/>
      <w:bookmarkEnd w:id="461"/>
      <w:bookmarkEnd w:id="458"/>
    </w:p>
    <w:tbl>
      <w:tblPr>
        <w:tblOverlap w:val="never"/>
        <w:jc w:val="center"/>
        <w:tblLayout w:type="fixed"/>
      </w:tblPr>
      <w:tblGrid>
        <w:gridCol w:w="725"/>
        <w:gridCol w:w="965"/>
        <w:gridCol w:w="422"/>
        <w:gridCol w:w="360"/>
        <w:gridCol w:w="360"/>
        <w:gridCol w:w="1618"/>
        <w:gridCol w:w="1589"/>
        <w:gridCol w:w="869"/>
        <w:gridCol w:w="782"/>
        <w:gridCol w:w="955"/>
        <w:gridCol w:w="87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任职</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性 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年</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期初持股 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12" w:lineRule="exact"/>
              <w:ind w:left="0" w:right="0" w:firstLine="0"/>
              <w:jc w:val="both"/>
            </w:pPr>
            <w:r>
              <w:rPr>
                <w:rFonts w:ascii="SimSun" w:eastAsia="SimSun" w:hAnsi="SimSun" w:cs="SimSun"/>
                <w:color w:val="000000"/>
                <w:spacing w:val="0"/>
                <w:w w:val="100"/>
                <w:position w:val="0"/>
              </w:rPr>
              <w:t>本期增持 股份数量</w:t>
            </w:r>
          </w:p>
          <w:p>
            <w:pPr>
              <w:pStyle w:val="Style28"/>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312" w:lineRule="exact"/>
              <w:ind w:left="0" w:right="0" w:firstLine="0"/>
              <w:jc w:val="center"/>
            </w:pPr>
            <w:r>
              <w:rPr>
                <w:rFonts w:ascii="SimSun" w:eastAsia="SimSun" w:hAnsi="SimSun" w:cs="SimSun"/>
                <w:color w:val="000000"/>
                <w:spacing w:val="0"/>
                <w:w w:val="100"/>
                <w:position w:val="0"/>
              </w:rPr>
              <w:t>本期减持 股份数量</w:t>
            </w:r>
          </w:p>
          <w:p>
            <w:pPr>
              <w:pStyle w:val="Style28"/>
              <w:keepNext w:val="0"/>
              <w:keepLines w:val="0"/>
              <w:widowControl w:val="0"/>
              <w:shd w:val="clear" w:color="auto" w:fill="auto"/>
              <w:bidi w:val="0"/>
              <w:spacing w:before="0" w:after="0" w:line="312" w:lineRule="exact"/>
              <w:ind w:left="0" w:right="200" w:firstLine="0"/>
              <w:jc w:val="righ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期末持股 数（股）</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15,148,724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3,029,745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330,700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17,847,769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270,271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54,055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81,082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243,244</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董事、总经 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4,853,685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5,824,422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1,094,497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6,566,982</w:t>
            </w:r>
          </w:p>
        </w:tc>
      </w:tr>
      <w:tr>
        <w:trPr>
          <w:trHeight w:val="75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董事、董事</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5</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程昆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高符生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819,708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983,650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职工监事、 工会主席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39,248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224,290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3,641,681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4,370,017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289,356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347,227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606,556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121,311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181,968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545,899</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24,801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37,202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111,607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魏东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 财务总监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69,757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104,542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314,000</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31,771,501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6,354,300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746,694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37,379,107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二</w:t>
      </w:r>
      <w:bookmarkEnd w:id="464"/>
      <w:r>
        <w:rPr>
          <w:color w:val="000000"/>
          <w:spacing w:val="0"/>
          <w:w w:val="100"/>
          <w:position w:val="0"/>
          <w:sz w:val="24"/>
          <w:szCs w:val="24"/>
        </w:rPr>
        <w:t>、任职情况</w:t>
      </w:r>
      <w:bookmarkEnd w:id="462"/>
      <w:bookmarkEnd w:id="463"/>
      <w:bookmarkEnd w:id="465"/>
    </w:p>
    <w:p>
      <w:pPr>
        <w:pStyle w:val="Style3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5"/>
        <w:keepNext w:val="0"/>
        <w:keepLines w:val="0"/>
        <w:widowControl w:val="0"/>
        <w:shd w:val="clear" w:color="auto" w:fill="auto"/>
        <w:bidi w:val="0"/>
        <w:spacing w:before="0" w:after="0" w:line="312" w:lineRule="exact"/>
        <w:ind w:left="0" w:right="0" w:firstLine="440"/>
        <w:jc w:val="left"/>
      </w:pPr>
      <w:bookmarkStart w:id="466" w:name="bookmark466"/>
      <w:r>
        <w:rPr>
          <w:rFonts w:ascii="Times New Roman" w:eastAsia="Times New Roman" w:hAnsi="Times New Roman" w:cs="Times New Roman"/>
          <w:color w:val="000000"/>
          <w:spacing w:val="0"/>
          <w:w w:val="100"/>
          <w:position w:val="0"/>
        </w:rPr>
        <w:t>1</w:t>
      </w:r>
      <w:bookmarkEnd w:id="466"/>
      <w:r>
        <w:rPr>
          <w:color w:val="000000"/>
          <w:spacing w:val="0"/>
          <w:w w:val="100"/>
          <w:position w:val="0"/>
        </w:rPr>
        <w:t>、第三届董事会成员</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赵友永先生，中国国籍，</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月出生，研究生学历，高级会计师。曾任广州无线电厂财务处副处长、处长、副总会 计师，广电集团副总经理、总裁、董事长，运通电子总经理、董事长。现任本公司、广州穗通董事长，广电集团董事长、党 委书记，广电房地产、海格通信、广电物业、广电计量、深圳银通、海华电子、武汉广电房地产开发有限公司、武汉广电海 格房地产开发有限公司、北京海格资产管理有限公司、中智融通、支点投资、广州银通董事。其担任本公司董事长的任期为 </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杨海洲先生，中国国籍，</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月出生，研究生学历。曾任广电集团总经理助理、副总裁，广州海格通信有限公司副 董事长、总经理，广州海格通信产业集团有限公司副董事长、总经理。现任本公司董事，广电集团副董事长、总裁、党委副 书记，海格通信、海华电子、北京海格神舟通信科技有限公司、广州海格机械有限公司、广州润芯信息技术有限公司、北京 爱尔达电子设备有限公司、广东南方海岸科技服务有限公司、北京海格资产管理有限公司、北京摩诘创新科技股份有限公司、 深圳市嵘兴实业发展有限公司董事长，广电房地产、广电计量、广电物业、陕西海通天线有限责任公司、武汉广电海格房地 产开发有限公司、武汉广电房地产开发有限公司、广州寰坤科技发展有限公司、广州通导信息技术服务有限公司董事。其担 任本公司董事的任期为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叶子瑜先生，中国国籍，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月出生，研究生学历，高级工程师。曾任国营</w:t>
      </w:r>
      <w:r>
        <w:rPr>
          <w:rFonts w:ascii="Times New Roman" w:eastAsia="Times New Roman" w:hAnsi="Times New Roman" w:cs="Times New Roman"/>
          <w:color w:val="000000"/>
          <w:spacing w:val="0"/>
          <w:w w:val="100"/>
          <w:position w:val="0"/>
        </w:rPr>
        <w:t>750</w:t>
      </w:r>
      <w:r>
        <w:rPr>
          <w:color w:val="000000"/>
          <w:spacing w:val="0"/>
          <w:w w:val="100"/>
          <w:position w:val="0"/>
        </w:rPr>
        <w:t>厂技术工艺科助理工程师，海华电子 工程师、高级工程师、拓展部经理、总工程师，广州科苑电子有限公司副总经理，广州无线电集团军工通讯总公司总工程师, 运通电子副总经理。现任本公司董事、总经理，深圳银通、广州银通、广电汇通、龙源环保、中智融通、运通国际、运通信 息董事长，广百小额贷、广州穗通董事，支点投资执行董事、总经理，其担任本公司董事、总经理的任期为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曾文先生，中国国籍，拥有新西兰居留权，</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月出生，本科学历，工程师。曾任福建建筑工程专科学校教师，福 建实达电脑有限公司产品经理，广州文东电子有限公司市场总监，吉山通讯科技有限公司市场总监，长天国际控股有限公司 华南区总监，深圳奥尊电脑公司金融事业部副总经理，运通电子市场总监、副总经理，本公司副总经理。现任本公司董事。 其担任本公司董事的任期为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任斌女士，中国国籍，</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月出生，本科学历，会计师、经济师、中国注册会计师、中国注册资产评估师，具备证 券、期货从业资格。曾任新疆独山子天利高新技术股份有限公司董事会秘书。现任本公司董事、董事会秘书。其担任本公司 董事的任期为</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月（担任本公司董事会秘书的任期为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刘佩莲女士，中国香港籍，</w:t>
      </w:r>
      <w:r>
        <w:rPr>
          <w:rFonts w:ascii="Times New Roman" w:eastAsia="Times New Roman" w:hAnsi="Times New Roman" w:cs="Times New Roman"/>
          <w:color w:val="000000"/>
          <w:spacing w:val="0"/>
          <w:w w:val="100"/>
          <w:position w:val="0"/>
        </w:rPr>
        <w:t>1953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月出生，研究生学历，会计师、中国注册会计师、中国注册税务师，取得深交所授 予的独立董事资格证书。曾任立信羊城会计师事务所有限公司董事、副主任会计师，立信羊城会计师事务所有限公司顾问， 武汉万鸿集团股份有限公司独立董事。现任青海华鼎实业股份有限公司顾问，力量矿业能源有限公司独立非执行董事，广东 科达机电股份有限公司、广东鸿特精密技术股份有限公司及本公司独立董事。其担任本公司独立董事的任期为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jc w:val="both"/>
      </w:pPr>
      <w:r>
        <w:rPr>
          <w:color w:val="000000"/>
          <w:spacing w:val="0"/>
          <w:w w:val="100"/>
          <w:position w:val="0"/>
        </w:rPr>
        <w:t>高符生女士，中国国籍，</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月出生，硕士学历，高级会计师，取得上海证券交易所授予的独立董事资格证书。曾 任广州市纺织品公司、广州万宝进出口公司主管会计，广东天贸集团股份有限公司财务部副总经理，广州市人民政府汽车工 业办公室资金处处长，广州汽车集团有限公司财审处处长，骏威汽车有限公司（香港）副总经理兼财务总监。现任广州汽车 工业集团有限公司总会计师，广州汽车集团股份有限公司监事会主席，广汽集团（香港）有限公司总经理，索非亚家居股份 有限公司监事，本公司独立董事。其担任本公司独立董事的任期为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0" w:lineRule="exact"/>
        <w:ind w:left="0" w:right="0"/>
        <w:jc w:val="both"/>
      </w:pPr>
      <w:r>
        <w:rPr>
          <w:color w:val="000000"/>
          <w:spacing w:val="0"/>
          <w:w w:val="100"/>
          <w:position w:val="0"/>
        </w:rPr>
        <w:t>张宗贵先生，中国国籍，</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月出生，研究生学历，中级经济师，曾任广州机电工业资产经营有限公司资产运营部 副经理、规划运营部经理，广电集团发展规划部部长、总裁助理。现任广州中值投资管理有限公司总裁，中广美意文化传播 控股有限公司副董事长，广州中值创新投资企业（有限合伙）执行事务合伙人，本公司独立董事。其担任本公司独立董事的 任期为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line="312" w:lineRule="exact"/>
        <w:ind w:left="0" w:right="0"/>
        <w:jc w:val="both"/>
      </w:pPr>
      <w:bookmarkStart w:id="467" w:name="bookmark467"/>
      <w:r>
        <w:rPr>
          <w:rFonts w:ascii="Times New Roman" w:eastAsia="Times New Roman" w:hAnsi="Times New Roman" w:cs="Times New Roman"/>
          <w:color w:val="000000"/>
          <w:spacing w:val="0"/>
          <w:w w:val="100"/>
          <w:position w:val="0"/>
        </w:rPr>
        <w:t>2</w:t>
      </w:r>
      <w:bookmarkEnd w:id="467"/>
      <w:r>
        <w:rPr>
          <w:color w:val="000000"/>
          <w:spacing w:val="0"/>
          <w:w w:val="100"/>
          <w:position w:val="0"/>
        </w:rPr>
        <w:t>、第三届监事会成员</w:t>
      </w:r>
    </w:p>
    <w:p>
      <w:pPr>
        <w:pStyle w:val="Style35"/>
        <w:keepNext w:val="0"/>
        <w:keepLines w:val="0"/>
        <w:widowControl w:val="0"/>
        <w:shd w:val="clear" w:color="auto" w:fill="auto"/>
        <w:bidi w:val="0"/>
        <w:spacing w:before="0" w:after="40" w:line="317" w:lineRule="exact"/>
        <w:ind w:left="0" w:right="0"/>
        <w:jc w:val="both"/>
      </w:pPr>
      <w:r>
        <w:rPr>
          <w:color w:val="000000"/>
          <w:spacing w:val="0"/>
          <w:w w:val="100"/>
          <w:position w:val="0"/>
        </w:rPr>
        <w:t>祝立新先生，中国国籍，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月出生，研究生学历，会计师。曾任广州无线电厂广电部会计，广电集团审计室副主 任、财务部副部长、部长、总裁助理、审计部部长，海格通信副总经理。现任本公司监事会主席，广电集团副总裁。其担任 </w:t>
      </w:r>
      <w:r>
        <w:rPr>
          <w:color w:val="000000"/>
          <w:spacing w:val="0"/>
          <w:w w:val="100"/>
          <w:position w:val="0"/>
        </w:rPr>
        <w:t>本公司监事会主席的任期为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杨永明先生，中国国籍，</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月出生，大学本科学历，政工师。曾任广电集团团委副书记、团委书记、审计监察 部副部长。现任本公司监事，广电集团职工监事、工会副主席、纪委副书记、工会办公室主任。其担任本公司监事的任期为 </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line="310" w:lineRule="exact"/>
        <w:ind w:left="0" w:right="0"/>
        <w:jc w:val="both"/>
      </w:pPr>
      <w:r>
        <w:rPr>
          <w:color w:val="000000"/>
          <w:spacing w:val="0"/>
          <w:w w:val="100"/>
          <w:position w:val="0"/>
        </w:rPr>
        <w:t>冯丰穗女士，中国国籍，</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月出生，本科学历，会计师。曾任广州市糖烟酒公司宣传科干事，广电集团印制板厂 行政主管、出纳、会计主管，运通电子人力资源部主管、副经理、经理。现任本公司职工监事及工会主席。其担任本公司监 事的任期为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0"/>
        <w:ind w:left="0" w:right="0"/>
        <w:jc w:val="both"/>
      </w:pPr>
      <w:bookmarkStart w:id="468" w:name="bookmark468"/>
      <w:r>
        <w:rPr>
          <w:rFonts w:ascii="Times New Roman" w:eastAsia="Times New Roman" w:hAnsi="Times New Roman" w:cs="Times New Roman"/>
          <w:color w:val="000000"/>
          <w:spacing w:val="0"/>
          <w:w w:val="100"/>
          <w:position w:val="0"/>
        </w:rPr>
        <w:t>3</w:t>
      </w:r>
      <w:bookmarkEnd w:id="468"/>
      <w:r>
        <w:rPr>
          <w:color w:val="000000"/>
          <w:spacing w:val="0"/>
          <w:w w:val="100"/>
          <w:position w:val="0"/>
        </w:rPr>
        <w:t>、高级管理人员</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叶子瑜先生，本公司总经理，简历参阅本年度报告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第七节、二、</w:t>
      </w:r>
      <w:r>
        <w:rPr>
          <w:rFonts w:ascii="Times New Roman" w:eastAsia="Times New Roman" w:hAnsi="Times New Roman" w:cs="Times New Roman"/>
          <w:color w:val="000000"/>
          <w:spacing w:val="0"/>
          <w:w w:val="100"/>
          <w:position w:val="0"/>
        </w:rPr>
        <w:t>1</w:t>
      </w:r>
      <w:r>
        <w:rPr>
          <w:color w:val="000000"/>
          <w:spacing w:val="0"/>
          <w:w w:val="100"/>
          <w:position w:val="0"/>
        </w:rPr>
        <w:t>、第三届董事会成员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陈振光先生，中国国籍，</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月出生，研究生学历，工程师。曾任国营</w:t>
      </w:r>
      <w:r>
        <w:rPr>
          <w:rFonts w:ascii="Times New Roman" w:eastAsia="Times New Roman" w:hAnsi="Times New Roman" w:cs="Times New Roman"/>
          <w:color w:val="000000"/>
          <w:spacing w:val="0"/>
          <w:w w:val="100"/>
          <w:position w:val="0"/>
        </w:rPr>
        <w:t>750</w:t>
      </w:r>
      <w:r>
        <w:rPr>
          <w:color w:val="000000"/>
          <w:spacing w:val="0"/>
          <w:w w:val="100"/>
          <w:position w:val="0"/>
        </w:rPr>
        <w:t>厂收录机分厂技术员，海华电子工程师, 广电集团军工通讯总公司工程师、中心实验室主任，运通电子总经理助理、副总经理。现任本公司副总经理，广电汇通、深 圳银通、广州银通董事，广州穗通董事、总经理。其担任本公司副总经理的任期为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束萌先生，中国国籍，</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月出生，本科学历，高级工程师。曾任安徽凤阳县化肥厂电工，淮南矿业学院教师，中 国农业银行安徽省分行副科长、副处长、处长，北京龙翔达信息技术有限公司副总经理，运通电子副总经理。现任本公司副 总经理，广电汇通、深圳银通、运通信息、广州银通董事，中智融通执行董事。其担任本公司副总经理的任期为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陈建良先生，中国国籍，</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月出生，研究生学历，工程师。曾任广州无线电厂电视机分厂结构设计师、设计室主 任和采购部经理，运通电子结构设计部经理、物料部经理、总经理助理。现任本公司副总经理，深圳银通、广州银通董事、 总经理，广电汇通、中智融通、运通信息、广州穗通董事。其担任本公司副总经理的任期为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0" w:lineRule="exact"/>
        <w:ind w:left="0" w:right="0"/>
        <w:jc w:val="both"/>
      </w:pPr>
      <w:r>
        <w:rPr>
          <w:color w:val="000000"/>
          <w:spacing w:val="0"/>
          <w:w w:val="100"/>
          <w:position w:val="0"/>
        </w:rPr>
        <w:t>李叶东先生，中国国籍，</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月出生，本科学历。曾任合肥天鹅空调器科技有限公司助理工程师，东莞大同机械有 限公司工程部副经理，顺德科达自动化有限公司项目主管，广州神通电信科技有限公司工程师，运通电子硬件工程师、硬件 开发部模块组主任、海外客户服务部副经理、经理、总经理助理。现任本公司副总经理，运通国际董事、总经理。其担任本 公司副总经理的任期为</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罗攀峰先生，中国国籍，</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月出生，研究生学历。曾任本公司系统集成部经理、金融市场部经理、市场总监、总 经理助理。现任本公司副总经理，广电汇通、运通信息董事、总经理，中智融通董事。其担任本公司副总经理的任期为</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22" w:lineRule="exact"/>
        <w:ind w:left="0" w:right="0"/>
        <w:jc w:val="both"/>
      </w:pPr>
      <w:r>
        <w:rPr>
          <w:color w:val="000000"/>
          <w:spacing w:val="0"/>
          <w:w w:val="100"/>
          <w:position w:val="0"/>
        </w:rPr>
        <w:t>魏东先生，中国国籍，</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月出生，研究生学历。曾任本公司工业设计部工程师、工业设计部取款机芯组主任、上 海研发中心经理、研究院副总工程师、制造中心生产总监、总经理助理。现任本公司副总经理，任期为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after="40" w:line="312" w:lineRule="exact"/>
        <w:ind w:left="0" w:right="0"/>
        <w:jc w:val="both"/>
      </w:pPr>
      <w:r>
        <w:rPr>
          <w:color w:val="000000"/>
          <w:spacing w:val="0"/>
          <w:w w:val="100"/>
          <w:position w:val="0"/>
        </w:rPr>
        <w:t>蒋春晨先生，中国国籍，</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月出生，本科学历，会计师，中国注册会计师协会非执业会员。曾任江西电视机厂主 办会计，赣新电视有限公司财务主管，中国人寿保险公司吉安分公司会计师，广电集团审计师，运通电子财务部经理。现任 本公司副总经理、财务负责人、财务总监，运通信息董事，支点投资董事、财务总监，广百小额贷、广电汇通、中智融通、 龙源环保、深圳银通、广州银通、广州穗通监事。其担任本公司副总经理的任期为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月（其担任本公司财 务负责人、财务总监的任期为</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p>
      <w:pPr>
        <w:pStyle w:val="Style35"/>
        <w:keepNext w:val="0"/>
        <w:keepLines w:val="0"/>
        <w:widowControl w:val="0"/>
        <w:shd w:val="clear" w:color="auto" w:fill="auto"/>
        <w:bidi w:val="0"/>
        <w:spacing w:before="0" w:line="312" w:lineRule="exact"/>
        <w:ind w:left="0" w:right="0"/>
        <w:jc w:val="both"/>
      </w:pPr>
      <w:r>
        <w:rPr>
          <w:color w:val="000000"/>
          <w:spacing w:val="0"/>
          <w:w w:val="100"/>
          <w:position w:val="0"/>
        </w:rPr>
        <w:t>任斌女士，本公司董事会秘书，简历参阅本年度报告</w:t>
      </w:r>
      <w:r>
        <w:rPr>
          <w:rFonts w:ascii="Times New Roman" w:eastAsia="Times New Roman" w:hAnsi="Times New Roman" w:cs="Times New Roman"/>
          <w:color w:val="000000"/>
          <w:spacing w:val="0"/>
          <w:w w:val="100"/>
          <w:position w:val="0"/>
        </w:rPr>
        <w:t>“</w:t>
      </w:r>
      <w:r>
        <w:rPr>
          <w:color w:val="000000"/>
          <w:spacing w:val="0"/>
          <w:w w:val="100"/>
          <w:position w:val="0"/>
        </w:rPr>
        <w:t>第七节、二、</w:t>
      </w:r>
      <w:r>
        <w:rPr>
          <w:rFonts w:ascii="Times New Roman" w:eastAsia="Times New Roman" w:hAnsi="Times New Roman" w:cs="Times New Roman"/>
          <w:color w:val="000000"/>
          <w:spacing w:val="0"/>
          <w:w w:val="100"/>
          <w:position w:val="0"/>
        </w:rPr>
        <w:t>1</w:t>
      </w:r>
      <w:r>
        <w:rPr>
          <w:color w:val="000000"/>
          <w:spacing w:val="0"/>
          <w:w w:val="100"/>
          <w:position w:val="0"/>
        </w:rPr>
        <w:t xml:space="preserve">、第三届董事会成员匚 </w:t>
      </w:r>
      <w:r>
        <w:rPr>
          <w:color w:val="000000"/>
          <w:spacing w:val="0"/>
          <w:w w:val="100"/>
          <w:position w:val="0"/>
        </w:rPr>
        <w:t>在股东单位任职情况</w:t>
      </w:r>
    </w:p>
    <w:p>
      <w:pPr>
        <w:pStyle w:val="Style35"/>
        <w:keepNext w:val="0"/>
        <w:keepLines w:val="0"/>
        <w:widowControl w:val="0"/>
        <w:shd w:val="clear" w:color="auto" w:fill="auto"/>
        <w:bidi w:val="0"/>
        <w:spacing w:before="0" w:line="240" w:lineRule="auto"/>
        <w:ind w:left="0" w:right="0" w:firstLine="0"/>
        <w:jc w:val="both"/>
      </w:pPr>
      <w:r>
        <w:rPr>
          <w:color w:val="000000"/>
          <w:spacing w:val="0"/>
          <w:w w:val="100"/>
          <w:position w:val="0"/>
        </w:rPr>
        <w:t>V适用口不适用</w:t>
      </w:r>
    </w:p>
    <w:tbl>
      <w:tblPr>
        <w:tblOverlap w:val="never"/>
        <w:jc w:val="center"/>
        <w:tblLayout w:type="fixed"/>
      </w:tblPr>
      <w:tblGrid>
        <w:gridCol w:w="710"/>
        <w:gridCol w:w="2160"/>
        <w:gridCol w:w="2885"/>
        <w:gridCol w:w="1608"/>
        <w:gridCol w:w="907"/>
        <w:gridCol w:w="1349"/>
      </w:tblGrid>
      <w:tr>
        <w:trPr>
          <w:trHeight w:val="44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在股东单位担任的职务</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在股东单位是否</w:t>
            </w:r>
          </w:p>
        </w:tc>
      </w:tr>
      <w:tr>
        <w:trPr>
          <w:trHeight w:val="274" w:hRule="exact"/>
        </w:trPr>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员姓名</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left w:val="single" w:sz="4"/>
              <w:righ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领取报酬津贴</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董事长、党委书记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line="1" w:lineRule="exact"/>
      </w:pPr>
      <w:r>
        <w:br w:type="page"/>
      </w:r>
    </w:p>
    <w:tbl>
      <w:tblPr>
        <w:tblOverlap w:val="never"/>
        <w:jc w:val="center"/>
        <w:tblLayout w:type="fixed"/>
      </w:tblPr>
      <w:tblGrid>
        <w:gridCol w:w="710"/>
        <w:gridCol w:w="2160"/>
        <w:gridCol w:w="2880"/>
        <w:gridCol w:w="1618"/>
        <w:gridCol w:w="902"/>
        <w:gridCol w:w="1349"/>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副董事长、总裁、党委副书记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杨永明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职工监事、工会副主席、纪委副书记、 工会办公室主任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bl>
    <w:p>
      <w:pPr>
        <w:widowControl w:val="0"/>
        <w:spacing w:after="3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适用口不适用</w:t>
      </w:r>
    </w:p>
    <w:tbl>
      <w:tblPr>
        <w:tblOverlap w:val="never"/>
        <w:jc w:val="center"/>
        <w:tblLayout w:type="fixed"/>
      </w:tblPr>
      <w:tblGrid>
        <w:gridCol w:w="749"/>
        <w:gridCol w:w="3283"/>
        <w:gridCol w:w="1066"/>
        <w:gridCol w:w="1565"/>
        <w:gridCol w:w="1642"/>
        <w:gridCol w:w="1397"/>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在其他单位</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在其他单位是否</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领取报酬津贴</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广州广电房地产开发集团股份有限公司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海华电子企业（中国）有限公司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北京海格资产管理有限公司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武汉广电房地产开发有限公司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武汉广电海格房地产开发有限公司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海华电子企业（中国）有限公司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北京海格神舟通信科技有限公司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北京海格资产管理有限公司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广东南方海岸科技服务有限公司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北京爱尔达电子设备有限公司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广州润芯信息技术有限公司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陕西海通天线有限责任公司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广州通导信息技术服务有限公司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广州寰坤科技发展有限公司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武汉广电海格房地产开发有限公司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r>
        <w:trPr>
          <w:trHeight w:val="413" w:hRule="exact"/>
        </w:trPr>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广州广电房地产开发集团股份有限公司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749"/>
        <w:gridCol w:w="3283"/>
        <w:gridCol w:w="1066"/>
        <w:gridCol w:w="1565"/>
        <w:gridCol w:w="1642"/>
        <w:gridCol w:w="1397"/>
      </w:tblGrid>
      <w:tr>
        <w:trPr>
          <w:trHeight w:val="40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武汉广电房地产开发有限公司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深圳市嵘兴实业发展有限公司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北京摩诘创新科技股份有限公司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执行董事兼</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广电运通国际有限公司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青海华鼎实业股份有限公司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顾问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广东科达机电股份有限公司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力量矿业能源有限公司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独立非执行</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广东鸿特精密技术股份有限公司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高符生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广州汽车工业集团有限公司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总会计师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广州汽车集团股份有限公司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广汽集团（香港）有限公司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索菲亚家居股份有限公司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广州中值投资管理有限公司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中广美意文化传播控股有限公司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广州中值创新投资企业（有限合伙）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执行事务合</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束萌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749"/>
        <w:gridCol w:w="3283"/>
        <w:gridCol w:w="1066"/>
        <w:gridCol w:w="1565"/>
        <w:gridCol w:w="1642"/>
        <w:gridCol w:w="1397"/>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广电运通国际有限公司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董事、财务总 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299" w:line="1" w:lineRule="exact"/>
      </w:pPr>
    </w:p>
    <w:p>
      <w:pPr>
        <w:pStyle w:val="Style31"/>
        <w:keepNext/>
        <w:keepLines/>
        <w:widowControl w:val="0"/>
        <w:shd w:val="clear" w:color="auto" w:fill="auto"/>
        <w:bidi w:val="0"/>
        <w:spacing w:before="0" w:after="24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、董事、监事、高级管理人员报酬情况</w:t>
      </w:r>
      <w:bookmarkEnd w:id="469"/>
      <w:bookmarkEnd w:id="470"/>
      <w:bookmarkEnd w:id="472"/>
    </w:p>
    <w:p>
      <w:pPr>
        <w:pStyle w:val="Style35"/>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w:t>
      </w:r>
    </w:p>
    <w:p>
      <w:pPr>
        <w:pStyle w:val="Style35"/>
        <w:keepNext w:val="0"/>
        <w:keepLines w:val="0"/>
        <w:widowControl w:val="0"/>
        <w:shd w:val="clear" w:color="auto" w:fill="auto"/>
        <w:bidi w:val="0"/>
        <w:spacing w:before="0" w:after="240" w:line="312" w:lineRule="exact"/>
        <w:ind w:left="0" w:right="0"/>
        <w:jc w:val="both"/>
      </w:pPr>
      <w:r>
        <w:rPr>
          <w:color w:val="000000"/>
          <w:spacing w:val="0"/>
          <w:w w:val="100"/>
          <w:position w:val="0"/>
        </w:rPr>
        <w:t>在公司任职的董事、监事未在公司领薪，兼任公司董事、监事的高管、员工不以董事、监事职务领取报酬。高管人员按 其职务根据公司董事会批准的《高管层年度业绩考核与薪酬管理办法》，在每年年初落实有关考核指标及相关事项，在年度 结束后对全年计划完成情况进行考核，由董事会薪酬与考核委员会审议通过相关议案后，提交董事会审议，按照考核结果兑 现绩效年薪和奖励。独立董事津贴按照股东大会决议执行，为每人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年，均按具体任职时间及规定发放；独立董事参加 会议发生的差旅费，办公费等履职费用由本公司承担。</w:t>
      </w:r>
    </w:p>
    <w:p>
      <w:pPr>
        <w:pStyle w:val="Style35"/>
        <w:keepNext w:val="0"/>
        <w:keepLines w:val="0"/>
        <w:widowControl w:val="0"/>
        <w:shd w:val="clear" w:color="auto" w:fill="auto"/>
        <w:bidi w:val="0"/>
        <w:spacing w:before="0" w:after="240" w:line="312" w:lineRule="exact"/>
        <w:ind w:left="0" w:right="0" w:firstLine="0"/>
        <w:jc w:val="left"/>
      </w:pPr>
      <w:r>
        <w:rPr>
          <w:color w:val="000000"/>
          <w:spacing w:val="0"/>
          <w:w w:val="100"/>
          <w:position w:val="0"/>
        </w:rPr>
        <w:t>公司报告期内董事、监事和高级管理人员报酬情况</w:t>
      </w:r>
      <w:r>
        <w:br w:type="page"/>
      </w:r>
    </w:p>
    <w:p>
      <w:pPr>
        <w:pStyle w:val="Style33"/>
        <w:keepNext w:val="0"/>
        <w:keepLines w:val="0"/>
        <w:widowControl w:val="0"/>
        <w:shd w:val="clear" w:color="auto" w:fill="auto"/>
        <w:bidi w:val="0"/>
        <w:spacing w:before="0" w:after="0" w:line="240" w:lineRule="auto"/>
        <w:ind w:left="8357" w:right="0" w:firstLine="0"/>
        <w:jc w:val="left"/>
      </w:pPr>
      <w:r>
        <w:rPr>
          <w:color w:val="000000"/>
          <w:spacing w:val="0"/>
          <w:w w:val="100"/>
          <w:position w:val="0"/>
        </w:rPr>
        <w:t>单位：万元</w:t>
      </w:r>
    </w:p>
    <w:tbl>
      <w:tblPr>
        <w:tblOverlap w:val="never"/>
        <w:jc w:val="center"/>
        <w:tblLayout w:type="fixed"/>
      </w:tblPr>
      <w:tblGrid>
        <w:gridCol w:w="725"/>
        <w:gridCol w:w="1800"/>
        <w:gridCol w:w="542"/>
        <w:gridCol w:w="538"/>
        <w:gridCol w:w="720"/>
        <w:gridCol w:w="1622"/>
        <w:gridCol w:w="1800"/>
        <w:gridCol w:w="1810"/>
      </w:tblGrid>
      <w:tr>
        <w:trPr>
          <w:trHeight w:val="75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180"/>
              <w:jc w:val="both"/>
            </w:pPr>
            <w:r>
              <w:rPr>
                <w:rFonts w:ascii="SimSun" w:eastAsia="SimSun" w:hAnsi="SimSun" w:cs="SimSun"/>
                <w:color w:val="000000"/>
                <w:spacing w:val="0"/>
                <w:w w:val="100"/>
                <w:position w:val="0"/>
              </w:rPr>
              <w:t>任职</w:t>
            </w:r>
          </w:p>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从公司获得的应付 报酬总额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从股东单位获得的报 酬总额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报告期末实际获得报</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酬</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60"/>
              <w:jc w:val="both"/>
            </w:pPr>
            <w:r>
              <w:rPr>
                <w:color w:val="000000"/>
                <w:spacing w:val="0"/>
                <w:w w:val="100"/>
                <w:position w:val="0"/>
              </w:rPr>
              <w:t>56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76.00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360" w:right="0" w:firstLine="0"/>
              <w:jc w:val="both"/>
            </w:pPr>
            <w:r>
              <w:rPr>
                <w:color w:val="000000"/>
                <w:spacing w:val="0"/>
                <w:w w:val="100"/>
                <w:position w:val="0"/>
              </w:rPr>
              <w:t>76.00</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杨海洲</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60"/>
              <w:jc w:val="both"/>
            </w:pPr>
            <w:r>
              <w:rPr>
                <w:color w:val="000000"/>
                <w:spacing w:val="0"/>
                <w:w w:val="100"/>
                <w:position w:val="0"/>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85.45</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360" w:right="0" w:firstLine="0"/>
              <w:jc w:val="both"/>
            </w:pPr>
            <w:r>
              <w:rPr>
                <w:color w:val="000000"/>
                <w:spacing w:val="0"/>
                <w:w w:val="100"/>
                <w:position w:val="0"/>
              </w:rPr>
              <w:t>85.45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240.80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曾文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任斌</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董事、董事会秘书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160"/>
              <w:jc w:val="both"/>
            </w:pPr>
            <w:r>
              <w:rPr>
                <w:color w:val="000000"/>
                <w:spacing w:val="0"/>
                <w:w w:val="100"/>
                <w:position w:val="0"/>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72.20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360" w:right="0" w:firstLine="0"/>
              <w:jc w:val="both"/>
            </w:pPr>
            <w:r>
              <w:rPr>
                <w:color w:val="000000"/>
                <w:spacing w:val="0"/>
                <w:w w:val="100"/>
                <w:position w:val="0"/>
              </w:rPr>
              <w:t>72.20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程昆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高符生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祝立新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69.88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杨永明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37.50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冯丰穗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职工监事、工会主席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27.06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96.30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束萌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99.40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罗攀峰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魏东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蒋春晨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副总经理、财务总监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93.90</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268.83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1,608.93</w:t>
            </w:r>
          </w:p>
        </w:tc>
      </w:tr>
    </w:tbl>
    <w:p>
      <w:pPr>
        <w:widowControl w:val="0"/>
        <w:spacing w:after="79" w:line="1" w:lineRule="exact"/>
      </w:pPr>
    </w:p>
    <w:p>
      <w:pPr>
        <w:pStyle w:val="Style3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3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sz w:val="24"/>
          <w:szCs w:val="24"/>
        </w:rPr>
        <w:t>四</w:t>
      </w:r>
      <w:bookmarkEnd w:id="475"/>
      <w:r>
        <w:rPr>
          <w:color w:val="000000"/>
          <w:spacing w:val="0"/>
          <w:w w:val="100"/>
          <w:position w:val="0"/>
          <w:sz w:val="24"/>
          <w:szCs w:val="24"/>
        </w:rPr>
        <w:t>、公司董事、监事、高级管理人员变动情况</w:t>
      </w:r>
      <w:bookmarkEnd w:id="473"/>
      <w:bookmarkEnd w:id="474"/>
      <w:bookmarkEnd w:id="476"/>
    </w:p>
    <w:tbl>
      <w:tblPr>
        <w:tblOverlap w:val="never"/>
        <w:jc w:val="center"/>
        <w:tblLayout w:type="fixed"/>
      </w:tblPr>
      <w:tblGrid>
        <w:gridCol w:w="902"/>
        <w:gridCol w:w="1262"/>
        <w:gridCol w:w="1080"/>
        <w:gridCol w:w="1618"/>
        <w:gridCol w:w="471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因个人职务变动原因不适合担任上市公司独立董事之职。</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由于独立董事程昆的辞职将会导致公司独立董事人数少于 董事会总人数的三分之一，公司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 xml:space="preserve">日召开的 </w:t>
            </w:r>
            <w:r>
              <w:rPr>
                <w:color w:val="000000"/>
                <w:spacing w:val="0"/>
                <w:w w:val="100"/>
                <w:position w:val="0"/>
              </w:rPr>
              <w:t>2012</w:t>
            </w:r>
            <w:r>
              <w:rPr>
                <w:rFonts w:ascii="SimSun" w:eastAsia="SimSun" w:hAnsi="SimSun" w:cs="SimSun"/>
                <w:color w:val="000000"/>
                <w:spacing w:val="0"/>
                <w:w w:val="100"/>
                <w:position w:val="0"/>
              </w:rPr>
              <w:t>年度股东大会选举张宗贵为公司独立董事。</w:t>
            </w:r>
          </w:p>
        </w:tc>
      </w:tr>
      <w:tr>
        <w:trPr>
          <w:trHeight w:val="76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蒋春晨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50" w:lineRule="exact"/>
              <w:ind w:left="0" w:right="0" w:firstLine="0"/>
              <w:jc w:val="left"/>
            </w:pPr>
            <w:r>
              <w:rPr>
                <w:rFonts w:ascii="SimSun" w:eastAsia="SimSun" w:hAnsi="SimSun" w:cs="SimSun"/>
                <w:color w:val="000000"/>
                <w:spacing w:val="0"/>
                <w:w w:val="100"/>
                <w:position w:val="0"/>
              </w:rPr>
              <w:t>副总经理、 财务总监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根据公司经营管理的需要，公司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日召开的第 三届董事会第十次会议聘任蒋春晨为公司副总经理，主管公</w:t>
            </w:r>
          </w:p>
        </w:tc>
      </w:tr>
    </w:tbl>
    <w:p>
      <w:pPr>
        <w:widowControl w:val="0"/>
        <w:spacing w:line="1" w:lineRule="exact"/>
      </w:pPr>
      <w:r>
        <w:br w:type="page"/>
      </w:r>
    </w:p>
    <w:tbl>
      <w:tblPr>
        <w:tblOverlap w:val="never"/>
        <w:jc w:val="center"/>
        <w:tblLayout w:type="fixed"/>
      </w:tblPr>
      <w:tblGrid>
        <w:gridCol w:w="902"/>
        <w:gridCol w:w="1262"/>
        <w:gridCol w:w="1080"/>
        <w:gridCol w:w="1618"/>
        <w:gridCol w:w="4718"/>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司财务工作和投资工作，兼任公司财务总监。</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五</w:t>
      </w:r>
      <w:bookmarkEnd w:id="479"/>
      <w:r>
        <w:rPr>
          <w:color w:val="000000"/>
          <w:spacing w:val="0"/>
          <w:w w:val="100"/>
          <w:position w:val="0"/>
          <w:sz w:val="24"/>
          <w:szCs w:val="24"/>
        </w:rPr>
        <w:t>、报告期核心技术团队或关键技术人员变动情况（非董事、监事、高级管理人员）</w:t>
      </w:r>
      <w:bookmarkEnd w:id="477"/>
      <w:bookmarkEnd w:id="478"/>
      <w:bookmarkEnd w:id="480"/>
    </w:p>
    <w:p>
      <w:pPr>
        <w:pStyle w:val="Style3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六</w:t>
      </w:r>
      <w:bookmarkEnd w:id="483"/>
      <w:r>
        <w:rPr>
          <w:color w:val="000000"/>
          <w:spacing w:val="0"/>
          <w:w w:val="100"/>
          <w:position w:val="0"/>
          <w:sz w:val="24"/>
          <w:szCs w:val="24"/>
        </w:rPr>
        <w:t>、公司员工情况</w:t>
      </w:r>
      <w:bookmarkEnd w:id="481"/>
      <w:bookmarkEnd w:id="482"/>
      <w:bookmarkEnd w:id="484"/>
    </w:p>
    <w:p>
      <w:pPr>
        <w:pStyle w:val="Style35"/>
        <w:keepNext w:val="0"/>
        <w:keepLines w:val="0"/>
        <w:widowControl w:val="0"/>
        <w:shd w:val="clear" w:color="auto" w:fill="auto"/>
        <w:bidi w:val="0"/>
        <w:spacing w:before="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日，与公司签订正式劳动用工合同的员工总数为</w:t>
      </w:r>
      <w:r>
        <w:rPr>
          <w:rFonts w:ascii="Times New Roman" w:eastAsia="Times New Roman" w:hAnsi="Times New Roman" w:cs="Times New Roman"/>
          <w:color w:val="000000"/>
          <w:spacing w:val="0"/>
          <w:w w:val="100"/>
          <w:position w:val="0"/>
        </w:rPr>
        <w:t>6,805</w:t>
      </w:r>
      <w:r>
        <w:rPr>
          <w:color w:val="000000"/>
          <w:spacing w:val="0"/>
          <w:w w:val="100"/>
          <w:position w:val="0"/>
        </w:rPr>
        <w:t>人（其中：本部</w:t>
      </w:r>
      <w:r>
        <w:rPr>
          <w:rFonts w:ascii="Times New Roman" w:eastAsia="Times New Roman" w:hAnsi="Times New Roman" w:cs="Times New Roman"/>
          <w:color w:val="000000"/>
          <w:spacing w:val="0"/>
          <w:w w:val="100"/>
          <w:position w:val="0"/>
        </w:rPr>
        <w:t>2,105</w:t>
      </w:r>
      <w:r>
        <w:rPr>
          <w:color w:val="000000"/>
          <w:spacing w:val="0"/>
          <w:w w:val="100"/>
          <w:position w:val="0"/>
        </w:rPr>
        <w:t>人，全资子公司</w:t>
      </w:r>
      <w:r>
        <w:rPr>
          <w:rFonts w:ascii="Times New Roman" w:eastAsia="Times New Roman" w:hAnsi="Times New Roman" w:cs="Times New Roman"/>
          <w:color w:val="000000"/>
          <w:spacing w:val="0"/>
          <w:w w:val="100"/>
          <w:position w:val="0"/>
        </w:rPr>
        <w:t xml:space="preserve">4,179 </w:t>
      </w:r>
      <w:r>
        <w:rPr>
          <w:color w:val="000000"/>
          <w:spacing w:val="0"/>
          <w:w w:val="100"/>
          <w:position w:val="0"/>
        </w:rPr>
        <w:t>人，控股子公司</w:t>
      </w:r>
      <w:r>
        <w:rPr>
          <w:rFonts w:ascii="Times New Roman" w:eastAsia="Times New Roman" w:hAnsi="Times New Roman" w:cs="Times New Roman"/>
          <w:color w:val="000000"/>
          <w:spacing w:val="0"/>
          <w:w w:val="100"/>
          <w:position w:val="0"/>
        </w:rPr>
        <w:t>521</w:t>
      </w:r>
      <w:r>
        <w:rPr>
          <w:color w:val="000000"/>
          <w:spacing w:val="0"/>
          <w:w w:val="100"/>
          <w:position w:val="0"/>
        </w:rPr>
        <w:t>人）。其专业构成、教育程度情况如下:</w:t>
      </w:r>
    </w:p>
    <w:p>
      <w:pPr>
        <w:pStyle w:val="Style35"/>
        <w:keepNext w:val="0"/>
        <w:keepLines w:val="0"/>
        <w:widowControl w:val="0"/>
        <w:shd w:val="clear" w:color="auto" w:fill="auto"/>
        <w:bidi w:val="0"/>
        <w:spacing w:before="0" w:after="80" w:line="240" w:lineRule="auto"/>
        <w:ind w:left="0" w:right="0"/>
        <w:jc w:val="left"/>
      </w:pPr>
      <w:bookmarkStart w:id="485" w:name="bookmark485"/>
      <w:r>
        <w:rPr>
          <w:rFonts w:ascii="Times New Roman" w:eastAsia="Times New Roman" w:hAnsi="Times New Roman" w:cs="Times New Roman"/>
          <w:color w:val="000000"/>
          <w:spacing w:val="0"/>
          <w:w w:val="100"/>
          <w:position w:val="0"/>
        </w:rPr>
        <w:t>1</w:t>
      </w:r>
      <w:bookmarkEnd w:id="485"/>
      <w:r>
        <w:rPr>
          <w:color w:val="000000"/>
          <w:spacing w:val="0"/>
          <w:w w:val="100"/>
          <w:position w:val="0"/>
        </w:rPr>
        <w:t>、专业构成情况如下：</w:t>
      </w:r>
    </w:p>
    <w:p>
      <w:pPr>
        <w:widowControl w:val="0"/>
        <w:spacing w:line="1" w:lineRule="exact"/>
      </w:pPr>
      <w:r>
        <mc:AlternateContent>
          <mc:Choice Requires="wps">
            <w:drawing>
              <wp:anchor distT="224790" distB="1969135" distL="0" distR="0" simplePos="0" relativeHeight="125829380" behindDoc="0" locked="0" layoutInCell="1" allowOverlap="1">
                <wp:simplePos x="0" y="0"/>
                <wp:positionH relativeFrom="page">
                  <wp:posOffset>2327910</wp:posOffset>
                </wp:positionH>
                <wp:positionV relativeFrom="paragraph">
                  <wp:posOffset>224790</wp:posOffset>
                </wp:positionV>
                <wp:extent cx="783590" cy="350520"/>
                <wp:wrapTopAndBottom/>
                <wp:docPr id="15" name="Shape 15"/>
                <a:graphic xmlns:a="http://schemas.openxmlformats.org/drawingml/2006/main">
                  <a:graphicData uri="http://schemas.microsoft.com/office/word/2010/wordprocessingShape">
                    <wps:wsp>
                      <wps:cNvSpPr txBox="1"/>
                      <wps:spPr>
                        <a:xfrm>
                          <a:ext cx="783590" cy="3505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销位人员</w:t>
                            </w:r>
                            <w:r>
                              <w:rPr>
                                <w:rFonts w:ascii="Times New Roman" w:eastAsia="Times New Roman" w:hAnsi="Times New Roman" w:cs="Times New Roman"/>
                                <w:color w:val="000000"/>
                                <w:spacing w:val="0"/>
                                <w:w w:val="100"/>
                                <w:position w:val="0"/>
                              </w:rPr>
                              <w:t>280</w:t>
                            </w:r>
                          </w:p>
                          <w:p>
                            <w:pPr>
                              <w:pStyle w:val="Style5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r>
                              <w:rPr>
                                <w:color w:val="000000"/>
                                <w:spacing w:val="0"/>
                                <w:w w:val="100"/>
                                <w:position w:val="0"/>
                              </w:rPr>
                              <w:t>4.11%</w:t>
                            </w:r>
                          </w:p>
                        </w:txbxContent>
                      </wps:txbx>
                      <wps:bodyPr lIns="0" tIns="0" rIns="0" bIns="0">
                        <a:noAutoFit/>
                      </wps:bodyPr>
                    </wps:wsp>
                  </a:graphicData>
                </a:graphic>
              </wp:anchor>
            </w:drawing>
          </mc:Choice>
          <mc:Fallback>
            <w:pict>
              <v:shape id="_x0000_s1041" type="#_x0000_t202" style="position:absolute;margin-left:183.30000000000001pt;margin-top:17.699999999999999pt;width:61.700000000000003pt;height:27.600000000000001pt;z-index:-125829373;mso-wrap-distance-left:0;mso-wrap-distance-top:17.699999999999999pt;mso-wrap-distance-right:0;mso-wrap-distance-bottom:155.05000000000001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销位人员</w:t>
                      </w:r>
                      <w:r>
                        <w:rPr>
                          <w:rFonts w:ascii="Times New Roman" w:eastAsia="Times New Roman" w:hAnsi="Times New Roman" w:cs="Times New Roman"/>
                          <w:color w:val="000000"/>
                          <w:spacing w:val="0"/>
                          <w:w w:val="100"/>
                          <w:position w:val="0"/>
                        </w:rPr>
                        <w:t>280</w:t>
                      </w:r>
                    </w:p>
                    <w:p>
                      <w:pPr>
                        <w:pStyle w:val="Style5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r>
                        <w:rPr>
                          <w:color w:val="000000"/>
                          <w:spacing w:val="0"/>
                          <w:w w:val="100"/>
                          <w:position w:val="0"/>
                        </w:rPr>
                        <w:t>4.11%</w:t>
                      </w:r>
                    </w:p>
                  </w:txbxContent>
                </v:textbox>
                <w10:wrap type="topAndBottom" anchorx="page"/>
              </v:shape>
            </w:pict>
          </mc:Fallback>
        </mc:AlternateContent>
      </w:r>
      <w:r>
        <mc:AlternateContent>
          <mc:Choice Requires="wps">
            <w:drawing>
              <wp:anchor distT="215900" distB="1978025" distL="0" distR="0" simplePos="0" relativeHeight="125829382" behindDoc="0" locked="0" layoutInCell="1" allowOverlap="1">
                <wp:simplePos x="0" y="0"/>
                <wp:positionH relativeFrom="page">
                  <wp:posOffset>3617595</wp:posOffset>
                </wp:positionH>
                <wp:positionV relativeFrom="paragraph">
                  <wp:posOffset>215900</wp:posOffset>
                </wp:positionV>
                <wp:extent cx="789305" cy="350520"/>
                <wp:wrapTopAndBottom/>
                <wp:docPr id="17" name="Shape 17"/>
                <a:graphic xmlns:a="http://schemas.openxmlformats.org/drawingml/2006/main">
                  <a:graphicData uri="http://schemas.microsoft.com/office/word/2010/wordprocessingShape">
                    <wps:wsp>
                      <wps:cNvSpPr txBox="1"/>
                      <wps:spPr>
                        <a:xfrm>
                          <a:ext cx="789305" cy="35052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r>
                              <w:rPr>
                                <w:rFonts w:ascii="Times New Roman" w:eastAsia="Times New Roman" w:hAnsi="Times New Roman" w:cs="Times New Roman"/>
                                <w:color w:val="000000"/>
                                <w:spacing w:val="0"/>
                                <w:w w:val="100"/>
                                <w:position w:val="0"/>
                              </w:rPr>
                              <w:t>69</w:t>
                            </w:r>
                            <w:r>
                              <w:rPr>
                                <w:color w:val="000000"/>
                                <w:spacing w:val="0"/>
                                <w:w w:val="100"/>
                                <w:position w:val="0"/>
                              </w:rPr>
                              <w:t>。</w:t>
                            </w:r>
                          </w:p>
                          <w:p>
                            <w:pPr>
                              <w:pStyle w:val="Style5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r>
                              <w:rPr>
                                <w:color w:val="000000"/>
                                <w:spacing w:val="0"/>
                                <w:w w:val="100"/>
                                <w:position w:val="0"/>
                              </w:rPr>
                              <w:t>10.14%</w:t>
                            </w:r>
                          </w:p>
                        </w:txbxContent>
                      </wps:txbx>
                      <wps:bodyPr lIns="0" tIns="0" rIns="0" bIns="0">
                        <a:noAutoFit/>
                      </wps:bodyPr>
                    </wps:wsp>
                  </a:graphicData>
                </a:graphic>
              </wp:anchor>
            </w:drawing>
          </mc:Choice>
          <mc:Fallback>
            <w:pict>
              <v:shape id="_x0000_s1043" type="#_x0000_t202" style="position:absolute;margin-left:284.85000000000002pt;margin-top:17.pt;width:62.149999999999999pt;height:27.600000000000001pt;z-index:-125829371;mso-wrap-distance-left:0;mso-wrap-distance-top:17.pt;mso-wrap-distance-right:0;mso-wrap-distance-bottom:155.7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w:t>
                      </w:r>
                      <w:r>
                        <w:rPr>
                          <w:rFonts w:ascii="Times New Roman" w:eastAsia="Times New Roman" w:hAnsi="Times New Roman" w:cs="Times New Roman"/>
                          <w:color w:val="000000"/>
                          <w:spacing w:val="0"/>
                          <w:w w:val="100"/>
                          <w:position w:val="0"/>
                        </w:rPr>
                        <w:t>69</w:t>
                      </w:r>
                      <w:r>
                        <w:rPr>
                          <w:color w:val="000000"/>
                          <w:spacing w:val="0"/>
                          <w:w w:val="100"/>
                          <w:position w:val="0"/>
                        </w:rPr>
                        <w:t>。</w:t>
                      </w:r>
                    </w:p>
                    <w:p>
                      <w:pPr>
                        <w:pStyle w:val="Style5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r>
                        <w:rPr>
                          <w:color w:val="000000"/>
                          <w:spacing w:val="0"/>
                          <w:w w:val="100"/>
                          <w:position w:val="0"/>
                        </w:rPr>
                        <w:t>10.14%</w:t>
                      </w:r>
                    </w:p>
                  </w:txbxContent>
                </v:textbox>
                <w10:wrap type="topAndBottom" anchorx="page"/>
              </v:shape>
            </w:pict>
          </mc:Fallback>
        </mc:AlternateContent>
      </w:r>
      <w:r>
        <mc:AlternateContent>
          <mc:Choice Requires="wps">
            <w:drawing>
              <wp:anchor distT="215900" distB="1581785" distL="0" distR="0" simplePos="0" relativeHeight="125829384" behindDoc="0" locked="0" layoutInCell="1" allowOverlap="1">
                <wp:simplePos x="0" y="0"/>
                <wp:positionH relativeFrom="page">
                  <wp:posOffset>4842510</wp:posOffset>
                </wp:positionH>
                <wp:positionV relativeFrom="paragraph">
                  <wp:posOffset>215900</wp:posOffset>
                </wp:positionV>
                <wp:extent cx="1121410" cy="746760"/>
                <wp:wrapTopAndBottom/>
                <wp:docPr id="19" name="Shape 19"/>
                <a:graphic xmlns:a="http://schemas.openxmlformats.org/drawingml/2006/main">
                  <a:graphicData uri="http://schemas.microsoft.com/office/word/2010/wordprocessingShape">
                    <wps:wsp>
                      <wps:cNvSpPr txBox="1"/>
                      <wps:spPr>
                        <a:xfrm>
                          <a:ext cx="1121410" cy="74676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牛：产人员</w:t>
                            </w:r>
                            <w:r>
                              <w:rPr>
                                <w:rFonts w:ascii="Times New Roman" w:eastAsia="Times New Roman" w:hAnsi="Times New Roman" w:cs="Times New Roman"/>
                                <w:color w:val="000000"/>
                                <w:spacing w:val="0"/>
                                <w:w w:val="100"/>
                                <w:position w:val="0"/>
                              </w:rPr>
                              <w:t>943</w:t>
                            </w:r>
                          </w:p>
                          <w:p>
                            <w:pPr>
                              <w:pStyle w:val="Style5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人,</w:t>
                            </w:r>
                            <w:r>
                              <w:rPr>
                                <w:color w:val="000000"/>
                                <w:spacing w:val="0"/>
                                <w:w w:val="100"/>
                                <w:position w:val="0"/>
                              </w:rPr>
                              <w:t>13.86%</w:t>
                            </w:r>
                          </w:p>
                          <w:p>
                            <w:pPr>
                              <w:pStyle w:val="Style5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营运人员</w:t>
                            </w:r>
                          </w:p>
                          <w:p>
                            <w:pPr>
                              <w:pStyle w:val="Style5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 xml:space="preserve">4 </w:t>
                            </w:r>
                            <w:r>
                              <w:rPr>
                                <w:rFonts w:ascii="SimSun" w:eastAsia="SimSun" w:hAnsi="SimSun" w:cs="SimSun"/>
                                <w:color w:val="000000"/>
                                <w:spacing w:val="0"/>
                                <w:w w:val="100"/>
                                <w:position w:val="0"/>
                              </w:rPr>
                              <w:t>人，</w:t>
                            </w:r>
                            <w:r>
                              <w:rPr>
                                <w:color w:val="000000"/>
                                <w:spacing w:val="0"/>
                                <w:w w:val="100"/>
                                <w:position w:val="0"/>
                              </w:rPr>
                              <w:t>"94%</w:t>
                            </w:r>
                          </w:p>
                        </w:txbxContent>
                      </wps:txbx>
                      <wps:bodyPr lIns="0" tIns="0" rIns="0" bIns="0">
                        <a:noAutoFit/>
                      </wps:bodyPr>
                    </wps:wsp>
                  </a:graphicData>
                </a:graphic>
              </wp:anchor>
            </w:drawing>
          </mc:Choice>
          <mc:Fallback>
            <w:pict>
              <v:shape id="_x0000_s1045" type="#_x0000_t202" style="position:absolute;margin-left:381.30000000000001pt;margin-top:17.pt;width:88.299999999999997pt;height:58.800000000000004pt;z-index:-125829369;mso-wrap-distance-left:0;mso-wrap-distance-top:17.pt;mso-wrap-distance-right:0;mso-wrap-distance-bottom:124.5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牛：产人员</w:t>
                      </w:r>
                      <w:r>
                        <w:rPr>
                          <w:rFonts w:ascii="Times New Roman" w:eastAsia="Times New Roman" w:hAnsi="Times New Roman" w:cs="Times New Roman"/>
                          <w:color w:val="000000"/>
                          <w:spacing w:val="0"/>
                          <w:w w:val="100"/>
                          <w:position w:val="0"/>
                        </w:rPr>
                        <w:t>943</w:t>
                      </w:r>
                    </w:p>
                    <w:p>
                      <w:pPr>
                        <w:pStyle w:val="Style58"/>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人,</w:t>
                      </w:r>
                      <w:r>
                        <w:rPr>
                          <w:color w:val="000000"/>
                          <w:spacing w:val="0"/>
                          <w:w w:val="100"/>
                          <w:position w:val="0"/>
                        </w:rPr>
                        <w:t>13.86%</w:t>
                      </w:r>
                    </w:p>
                    <w:p>
                      <w:pPr>
                        <w:pStyle w:val="Style5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营运人员</w:t>
                      </w:r>
                    </w:p>
                    <w:p>
                      <w:pPr>
                        <w:pStyle w:val="Style58"/>
                        <w:keepNext w:val="0"/>
                        <w:keepLines w:val="0"/>
                        <w:widowControl w:val="0"/>
                        <w:shd w:val="clear" w:color="auto" w:fill="auto"/>
                        <w:bidi w:val="0"/>
                        <w:spacing w:before="0" w:after="60" w:line="240" w:lineRule="auto"/>
                        <w:ind w:left="0" w:right="0" w:firstLine="740"/>
                        <w:jc w:val="left"/>
                      </w:pPr>
                      <w:r>
                        <w:rPr>
                          <w:color w:val="000000"/>
                          <w:spacing w:val="0"/>
                          <w:w w:val="100"/>
                          <w:position w:val="0"/>
                        </w:rPr>
                        <w:t xml:space="preserve">4 </w:t>
                      </w:r>
                      <w:r>
                        <w:rPr>
                          <w:rFonts w:ascii="SimSun" w:eastAsia="SimSun" w:hAnsi="SimSun" w:cs="SimSun"/>
                          <w:color w:val="000000"/>
                          <w:spacing w:val="0"/>
                          <w:w w:val="100"/>
                          <w:position w:val="0"/>
                        </w:rPr>
                        <w:t>人，</w:t>
                      </w:r>
                      <w:r>
                        <w:rPr>
                          <w:color w:val="000000"/>
                          <w:spacing w:val="0"/>
                          <w:w w:val="100"/>
                          <w:position w:val="0"/>
                        </w:rPr>
                        <w:t>"94%</w:t>
                      </w:r>
                    </w:p>
                  </w:txbxContent>
                </v:textbox>
                <w10:wrap type="topAndBottom" anchorx="page"/>
              </v:shape>
            </w:pict>
          </mc:Fallback>
        </mc:AlternateContent>
      </w:r>
      <w:r>
        <w:drawing>
          <wp:anchor distT="353060" distB="0" distL="0" distR="0" simplePos="0" relativeHeight="125829386" behindDoc="0" locked="0" layoutInCell="1" allowOverlap="1">
            <wp:simplePos x="0" y="0"/>
            <wp:positionH relativeFrom="page">
              <wp:posOffset>2212340</wp:posOffset>
            </wp:positionH>
            <wp:positionV relativeFrom="paragraph">
              <wp:posOffset>353060</wp:posOffset>
            </wp:positionV>
            <wp:extent cx="3376930" cy="219456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3"/>
                    <a:stretch/>
                  </pic:blipFill>
                  <pic:spPr>
                    <a:xfrm>
                      <a:ext cx="3376930" cy="21945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3714750</wp:posOffset>
                </wp:positionH>
                <wp:positionV relativeFrom="paragraph">
                  <wp:posOffset>1443990</wp:posOffset>
                </wp:positionV>
                <wp:extent cx="554990" cy="164465"/>
                <wp:wrapNone/>
                <wp:docPr id="23" name="Shape 23"/>
                <a:graphic xmlns:a="http://schemas.openxmlformats.org/drawingml/2006/main">
                  <a:graphicData uri="http://schemas.microsoft.com/office/word/2010/wordprocessingShape">
                    <wps:wsp>
                      <wps:cNvSpPr txBox="1"/>
                      <wps:spPr>
                        <a:xfrm>
                          <a:ext cx="55499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val="0"/>
                                <w:bCs w:val="0"/>
                                <w:color w:val="4A2B13"/>
                                <w:spacing w:val="0"/>
                                <w:w w:val="100"/>
                                <w:position w:val="0"/>
                                <w:sz w:val="19"/>
                                <w:szCs w:val="19"/>
                              </w:rPr>
                              <w:t>服务人员</w:t>
                            </w:r>
                          </w:p>
                        </w:txbxContent>
                      </wps:txbx>
                      <wps:bodyPr lIns="0" tIns="0" rIns="0" bIns="0">
                        <a:noAutoFit/>
                      </wps:bodyPr>
                    </wps:wsp>
                  </a:graphicData>
                </a:graphic>
              </wp:anchor>
            </w:drawing>
          </mc:Choice>
          <mc:Fallback>
            <w:pict>
              <v:shape id="_x0000_s1049" type="#_x0000_t202" style="position:absolute;margin-left:292.5pt;margin-top:113.7pt;width:43.700000000000003pt;height:12.950000000000001pt;z-index:251657729;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b w:val="0"/>
                          <w:bCs w:val="0"/>
                          <w:color w:val="4A2B13"/>
                          <w:spacing w:val="0"/>
                          <w:w w:val="100"/>
                          <w:position w:val="0"/>
                          <w:sz w:val="19"/>
                          <w:szCs w:val="19"/>
                        </w:rPr>
                        <w:t>服务人员</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3754755</wp:posOffset>
                </wp:positionH>
                <wp:positionV relativeFrom="paragraph">
                  <wp:posOffset>1624330</wp:posOffset>
                </wp:positionV>
                <wp:extent cx="472440" cy="167640"/>
                <wp:wrapNone/>
                <wp:docPr id="25" name="Shape 25"/>
                <a:graphic xmlns:a="http://schemas.openxmlformats.org/drawingml/2006/main">
                  <a:graphicData uri="http://schemas.microsoft.com/office/word/2010/wordprocessingShape">
                    <wps:wsp>
                      <wps:cNvSpPr txBox="1"/>
                      <wps:spPr>
                        <a:xfrm>
                          <a:ext cx="47244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4083 </w:t>
                            </w:r>
                            <w:r>
                              <w:rPr>
                                <w:color w:val="4A2B13"/>
                                <w:spacing w:val="0"/>
                                <w:w w:val="100"/>
                                <w:position w:val="0"/>
                              </w:rPr>
                              <w:t>A</w:t>
                            </w:r>
                            <w:r>
                              <w:rPr>
                                <w:color w:val="4A2B13"/>
                                <w:spacing w:val="0"/>
                                <w:w w:val="100"/>
                                <w:position w:val="0"/>
                              </w:rPr>
                              <w:t>,</w:t>
                            </w:r>
                          </w:p>
                        </w:txbxContent>
                      </wps:txbx>
                      <wps:bodyPr lIns="0" tIns="0" rIns="0" bIns="0">
                        <a:noAutoFit/>
                      </wps:bodyPr>
                    </wps:wsp>
                  </a:graphicData>
                </a:graphic>
              </wp:anchor>
            </w:drawing>
          </mc:Choice>
          <mc:Fallback>
            <w:pict>
              <v:shape id="_x0000_s1051" type="#_x0000_t202" style="position:absolute;margin-left:295.65000000000003pt;margin-top:127.90000000000001pt;width:37.200000000000003pt;height:13.200000000000001pt;z-index:25165773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4083 </w:t>
                      </w:r>
                      <w:r>
                        <w:rPr>
                          <w:color w:val="4A2B13"/>
                          <w:spacing w:val="0"/>
                          <w:w w:val="100"/>
                          <w:position w:val="0"/>
                        </w:rPr>
                        <w:t>A</w:t>
                      </w:r>
                      <w:r>
                        <w:rPr>
                          <w:color w:val="4A2B13"/>
                          <w:spacing w:val="0"/>
                          <w:w w:val="100"/>
                          <w:position w:val="0"/>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3769995</wp:posOffset>
                </wp:positionH>
                <wp:positionV relativeFrom="paragraph">
                  <wp:posOffset>1807210</wp:posOffset>
                </wp:positionV>
                <wp:extent cx="448310" cy="143510"/>
                <wp:wrapNone/>
                <wp:docPr id="27" name="Shape 27"/>
                <a:graphic xmlns:a="http://schemas.openxmlformats.org/drawingml/2006/main">
                  <a:graphicData uri="http://schemas.microsoft.com/office/word/2010/wordprocessingShape">
                    <wps:wsp>
                      <wps:cNvSpPr txBox="1"/>
                      <wps:spPr>
                        <a:xfrm>
                          <a:ext cx="448310" cy="1435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xbxContent>
                      </wps:txbx>
                      <wps:bodyPr lIns="0" tIns="0" rIns="0" bIns="0">
                        <a:noAutoFit/>
                      </wps:bodyPr>
                    </wps:wsp>
                  </a:graphicData>
                </a:graphic>
              </wp:anchor>
            </w:drawing>
          </mc:Choice>
          <mc:Fallback>
            <w:pict>
              <v:shape id="_x0000_s1053" type="#_x0000_t202" style="position:absolute;margin-left:296.85000000000002pt;margin-top:142.30000000000001pt;width:35.300000000000004pt;height:11.300000000000001pt;z-index:251657733;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xbxContent>
                </v:textbox>
                <w10:wrap anchorx="page"/>
              </v:shape>
            </w:pict>
          </mc:Fallback>
        </mc:AlternateContent>
      </w:r>
      <w:r>
        <mc:AlternateContent>
          <mc:Choice Requires="wps">
            <w:drawing>
              <wp:anchor distT="664210" distB="1536065" distL="0" distR="0" simplePos="0" relativeHeight="125829387" behindDoc="0" locked="0" layoutInCell="1" allowOverlap="1">
                <wp:simplePos x="0" y="0"/>
                <wp:positionH relativeFrom="page">
                  <wp:posOffset>1846580</wp:posOffset>
                </wp:positionH>
                <wp:positionV relativeFrom="paragraph">
                  <wp:posOffset>664210</wp:posOffset>
                </wp:positionV>
                <wp:extent cx="780415" cy="344170"/>
                <wp:wrapTopAndBottom/>
                <wp:docPr id="29" name="Shape 29"/>
                <a:graphic xmlns:a="http://schemas.openxmlformats.org/drawingml/2006/main">
                  <a:graphicData uri="http://schemas.microsoft.com/office/word/2010/wordprocessingShape">
                    <wps:wsp>
                      <wps:cNvSpPr txBox="1"/>
                      <wps:spPr>
                        <a:xfrm>
                          <a:ext cx="780415" cy="344170"/>
                        </a:xfrm>
                        <a:prstGeom prst="rect"/>
                        <a:noFill/>
                      </wps:spPr>
                      <wps:txbx>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r>
                              <w:rPr>
                                <w:rFonts w:ascii="Times New Roman" w:eastAsia="Times New Roman" w:hAnsi="Times New Roman" w:cs="Times New Roman"/>
                                <w:color w:val="000000"/>
                                <w:spacing w:val="0"/>
                                <w:w w:val="100"/>
                                <w:position w:val="0"/>
                              </w:rPr>
                              <w:t>745</w:t>
                            </w:r>
                          </w:p>
                          <w:p>
                            <w:pPr>
                              <w:pStyle w:val="Style5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w:t>
                            </w:r>
                            <w:r>
                              <w:rPr>
                                <w:color w:val="000000"/>
                                <w:spacing w:val="0"/>
                                <w:w w:val="100"/>
                                <w:position w:val="0"/>
                              </w:rPr>
                              <w:t>10-9</w:t>
                            </w:r>
                          </w:p>
                        </w:txbxContent>
                      </wps:txbx>
                      <wps:bodyPr lIns="0" tIns="0" rIns="0" bIns="0">
                        <a:noAutoFit/>
                      </wps:bodyPr>
                    </wps:wsp>
                  </a:graphicData>
                </a:graphic>
              </wp:anchor>
            </w:drawing>
          </mc:Choice>
          <mc:Fallback>
            <w:pict>
              <v:shape id="_x0000_s1055" type="#_x0000_t202" style="position:absolute;margin-left:145.40000000000001pt;margin-top:52.300000000000004pt;width:61.450000000000003pt;height:27.100000000000001pt;z-index:-125829366;mso-wrap-distance-left:0;mso-wrap-distance-top:52.300000000000004pt;mso-wrap-distance-right:0;mso-wrap-distance-bottom:120.95pt;mso-position-horizontal-relative:page" filled="f" stroked="f">
                <v:textbox inset="0,0,0,0">
                  <w:txbxContent>
                    <w:p>
                      <w:pPr>
                        <w:pStyle w:val="Style5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r>
                        <w:rPr>
                          <w:rFonts w:ascii="Times New Roman" w:eastAsia="Times New Roman" w:hAnsi="Times New Roman" w:cs="Times New Roman"/>
                          <w:color w:val="000000"/>
                          <w:spacing w:val="0"/>
                          <w:w w:val="100"/>
                          <w:position w:val="0"/>
                        </w:rPr>
                        <w:t>745</w:t>
                      </w:r>
                    </w:p>
                    <w:p>
                      <w:pPr>
                        <w:pStyle w:val="Style5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人,</w:t>
                      </w:r>
                      <w:r>
                        <w:rPr>
                          <w:color w:val="000000"/>
                          <w:spacing w:val="0"/>
                          <w:w w:val="100"/>
                          <w:position w:val="0"/>
                        </w:rPr>
                        <w:t>10-9</w:t>
                      </w:r>
                    </w:p>
                  </w:txbxContent>
                </v:textbox>
                <w10:wrap type="topAndBottom" anchorx="page"/>
              </v:shape>
            </w:pict>
          </mc:Fallback>
        </mc:AlternateContent>
      </w:r>
    </w:p>
    <w:tbl>
      <w:tblPr>
        <w:tblOverlap w:val="never"/>
        <w:jc w:val="center"/>
        <w:tblLayout w:type="fixed"/>
      </w:tblPr>
      <w:tblGrid>
        <w:gridCol w:w="2674"/>
        <w:gridCol w:w="3115"/>
        <w:gridCol w:w="3437"/>
      </w:tblGrid>
      <w:tr>
        <w:trPr>
          <w:trHeight w:val="58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占公司总人数比例（</w:t>
            </w:r>
            <w:r>
              <w:rPr>
                <w:b/>
                <w:bCs/>
                <w:color w:val="000000"/>
                <w:spacing w:val="0"/>
                <w:w w:val="100"/>
                <w:position w:val="0"/>
              </w:rPr>
              <w:t>%</w:t>
            </w:r>
            <w:r>
              <w:rPr>
                <w:rFonts w:ascii="SimSun" w:eastAsia="SimSun" w:hAnsi="SimSun" w:cs="SimSun"/>
                <w:color w:val="000000"/>
                <w:spacing w:val="0"/>
                <w:w w:val="100"/>
                <w:position w:val="0"/>
              </w:rPr>
              <w:t>）</w:t>
            </w:r>
          </w:p>
        </w:tc>
      </w:tr>
      <w:tr>
        <w:trPr>
          <w:trHeight w:val="48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10.95%</w:t>
            </w:r>
          </w:p>
        </w:tc>
      </w:tr>
      <w:tr>
        <w:trPr>
          <w:trHeight w:val="46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4.11%</w:t>
            </w:r>
          </w:p>
        </w:tc>
      </w:tr>
      <w:tr>
        <w:trPr>
          <w:trHeight w:val="46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10.14%</w:t>
            </w:r>
          </w:p>
        </w:tc>
      </w:tr>
      <w:tr>
        <w:trPr>
          <w:trHeight w:val="47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生产人员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13.86%</w:t>
            </w:r>
          </w:p>
        </w:tc>
      </w:tr>
      <w:tr>
        <w:trPr>
          <w:trHeight w:val="46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营运人员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0.94%</w:t>
            </w:r>
          </w:p>
        </w:tc>
      </w:tr>
      <w:tr>
        <w:trPr>
          <w:trHeight w:val="45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服务人员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w:t>
            </w:r>
          </w:p>
        </w:tc>
      </w:tr>
      <w:tr>
        <w:trPr>
          <w:trHeight w:val="475"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pStyle w:val="Style35"/>
        <w:keepNext w:val="0"/>
        <w:keepLines w:val="0"/>
        <w:widowControl w:val="0"/>
        <w:shd w:val="clear" w:color="auto" w:fill="auto"/>
        <w:bidi w:val="0"/>
        <w:spacing w:before="0" w:after="420" w:line="240" w:lineRule="auto"/>
        <w:ind w:left="0" w:right="0" w:firstLine="640"/>
        <w:jc w:val="left"/>
      </w:pPr>
      <w:bookmarkStart w:id="486" w:name="bookmark486"/>
      <w:r>
        <w:rPr>
          <w:rFonts w:ascii="Times New Roman" w:eastAsia="Times New Roman" w:hAnsi="Times New Roman" w:cs="Times New Roman"/>
          <w:color w:val="000000"/>
          <w:spacing w:val="0"/>
          <w:w w:val="100"/>
          <w:position w:val="0"/>
        </w:rPr>
        <w:t>2</w:t>
      </w:r>
      <w:bookmarkEnd w:id="486"/>
      <w:r>
        <w:rPr>
          <w:color w:val="000000"/>
          <w:spacing w:val="0"/>
          <w:w w:val="100"/>
          <w:position w:val="0"/>
        </w:rPr>
        <w:t>、教育程度情况如下:</w:t>
      </w:r>
    </w:p>
    <w:tbl>
      <w:tblPr>
        <w:tblOverlap w:val="never"/>
        <w:jc w:val="center"/>
        <w:tblLayout w:type="fixed"/>
      </w:tblPr>
      <w:tblGrid>
        <w:gridCol w:w="2376"/>
        <w:gridCol w:w="3403"/>
        <w:gridCol w:w="3043"/>
      </w:tblGrid>
      <w:tr>
        <w:trPr>
          <w:trHeight w:val="64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人数（人）</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占公司总人数比例（</w:t>
            </w:r>
            <w:r>
              <w:rPr>
                <w:b/>
                <w:bCs/>
                <w:color w:val="000000"/>
                <w:spacing w:val="0"/>
                <w:w w:val="100"/>
                <w:position w:val="0"/>
              </w:rPr>
              <w:t>%</w:t>
            </w:r>
            <w:r>
              <w:rPr>
                <w:rFonts w:ascii="SimSun" w:eastAsia="SimSun" w:hAnsi="SimSun" w:cs="SimSun"/>
                <w:color w:val="000000"/>
                <w:spacing w:val="0"/>
                <w:w w:val="100"/>
                <w:position w:val="0"/>
              </w:rPr>
              <w:t>）</w:t>
            </w:r>
          </w:p>
        </w:tc>
      </w:tr>
    </w:tbl>
    <w:p>
      <w:pPr>
        <w:widowControl w:val="0"/>
        <w:spacing w:line="1" w:lineRule="exact"/>
      </w:pPr>
      <w:r>
        <w:br w:type="page"/>
      </w:r>
    </w:p>
    <w:tbl>
      <w:tblPr>
        <w:tblOverlap w:val="never"/>
        <w:jc w:val="center"/>
        <w:tblLayout w:type="fixed"/>
      </w:tblPr>
      <w:tblGrid>
        <w:gridCol w:w="2376"/>
        <w:gridCol w:w="3403"/>
        <w:gridCol w:w="3043"/>
      </w:tblGrid>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研究生及以上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本科及大专</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74.56%</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中专</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15.27%</w:t>
            </w:r>
          </w:p>
        </w:tc>
      </w:tr>
      <w:tr>
        <w:trPr>
          <w:trHeight w:val="39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中专以下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7.29%</w:t>
            </w:r>
          </w:p>
        </w:tc>
      </w:tr>
      <w:tr>
        <w:trPr>
          <w:trHeight w:val="39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r>
    </w:tbl>
    <w:p>
      <w:pPr>
        <w:widowControl w:val="0"/>
        <w:spacing w:after="459" w:line="1" w:lineRule="exact"/>
      </w:pPr>
    </w:p>
    <w:p>
      <w:pPr>
        <w:widowControl w:val="0"/>
        <w:spacing w:line="1" w:lineRule="exact"/>
      </w:pPr>
    </w:p>
    <w:p>
      <w:pPr>
        <w:widowControl w:val="0"/>
        <w:jc w:val="center"/>
        <w:rPr>
          <w:sz w:val="2"/>
          <w:szCs w:val="2"/>
        </w:rPr>
      </w:pPr>
      <w:r>
        <w:drawing>
          <wp:inline>
            <wp:extent cx="3724910" cy="231648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pic:blipFill>
                  <pic:spPr>
                    <a:xfrm>
                      <a:ext cx="3724910" cy="2316480"/>
                    </a:xfrm>
                    <a:prstGeom prst="rect"/>
                  </pic:spPr>
                </pic:pic>
              </a:graphicData>
            </a:graphic>
          </wp:inline>
        </w:drawing>
      </w:r>
    </w:p>
    <w:p>
      <w:pPr>
        <w:widowControl w:val="0"/>
        <w:spacing w:after="619" w:line="1" w:lineRule="exact"/>
      </w:pPr>
    </w:p>
    <w:p>
      <w:pPr>
        <w:pStyle w:val="Style35"/>
        <w:keepNext w:val="0"/>
        <w:keepLines w:val="0"/>
        <w:widowControl w:val="0"/>
        <w:shd w:val="clear" w:color="auto" w:fill="auto"/>
        <w:tabs>
          <w:tab w:pos="667" w:val="left"/>
        </w:tabs>
        <w:bidi w:val="0"/>
        <w:spacing w:before="0" w:after="0" w:line="314" w:lineRule="exact"/>
        <w:ind w:left="0" w:right="0" w:firstLine="360"/>
        <w:jc w:val="left"/>
      </w:pPr>
      <w:bookmarkStart w:id="487" w:name="bookmark487"/>
      <w:r>
        <w:rPr>
          <w:rFonts w:ascii="Times New Roman" w:eastAsia="Times New Roman" w:hAnsi="Times New Roman" w:cs="Times New Roman"/>
          <w:color w:val="000000"/>
          <w:spacing w:val="0"/>
          <w:w w:val="100"/>
          <w:position w:val="0"/>
        </w:rPr>
        <w:t>3</w:t>
      </w:r>
      <w:bookmarkEnd w:id="487"/>
      <w:r>
        <w:rPr>
          <w:color w:val="000000"/>
          <w:spacing w:val="0"/>
          <w:w w:val="100"/>
          <w:position w:val="0"/>
        </w:rPr>
        <w:t>、</w:t>
        <w:tab/>
        <w:t>公司没有需承担费用的离退休职工。</w:t>
      </w:r>
    </w:p>
    <w:p>
      <w:pPr>
        <w:pStyle w:val="Style35"/>
        <w:keepNext w:val="0"/>
        <w:keepLines w:val="0"/>
        <w:widowControl w:val="0"/>
        <w:shd w:val="clear" w:color="auto" w:fill="auto"/>
        <w:tabs>
          <w:tab w:pos="677" w:val="left"/>
        </w:tabs>
        <w:bidi w:val="0"/>
        <w:spacing w:before="0" w:after="0" w:line="314" w:lineRule="exact"/>
        <w:ind w:left="0" w:right="0" w:firstLine="360"/>
        <w:jc w:val="left"/>
      </w:pPr>
      <w:bookmarkStart w:id="488" w:name="bookmark488"/>
      <w:r>
        <w:rPr>
          <w:rFonts w:ascii="Times New Roman" w:eastAsia="Times New Roman" w:hAnsi="Times New Roman" w:cs="Times New Roman"/>
          <w:color w:val="000000"/>
          <w:spacing w:val="0"/>
          <w:w w:val="100"/>
          <w:position w:val="0"/>
        </w:rPr>
        <w:t>4</w:t>
      </w:r>
      <w:bookmarkEnd w:id="488"/>
      <w:r>
        <w:rPr>
          <w:color w:val="000000"/>
          <w:spacing w:val="0"/>
          <w:w w:val="100"/>
          <w:position w:val="0"/>
        </w:rPr>
        <w:t>、</w:t>
        <w:tab/>
        <w:t>公司员工薪酬政策</w:t>
      </w:r>
    </w:p>
    <w:p>
      <w:pPr>
        <w:pStyle w:val="Style35"/>
        <w:keepNext w:val="0"/>
        <w:keepLines w:val="0"/>
        <w:widowControl w:val="0"/>
        <w:shd w:val="clear" w:color="auto" w:fill="auto"/>
        <w:bidi w:val="0"/>
        <w:spacing w:before="0" w:after="0" w:line="315" w:lineRule="exact"/>
        <w:ind w:left="0" w:right="0"/>
        <w:jc w:val="both"/>
      </w:pPr>
      <w:r>
        <w:rPr>
          <w:color w:val="000000"/>
          <w:spacing w:val="0"/>
          <w:w w:val="100"/>
          <w:position w:val="0"/>
        </w:rPr>
        <w:t>为适应企业发展需要，充分发挥薪酬的激励作用，以公平、竞争、激励、经济、合法的原则制定薪酬政策。根据岗位价 值、个人能力、工作绩效结合市场薪酬水平和公司的支付能力提供较具竞争力的薪酬水平。同时，根据岗位性质提供各种薪 酬结构，以吸引优秀人才。根据各系统的业务特点和岗位性质构建相对科学的考核体系，建立考核与工资、奖金、调薪、普 升及培训挂钩的机制。为骨干员工和优秀人才提供中长期的激励政策，最大限度地发挥和调动员工的积极性和主动性。</w:t>
      </w:r>
    </w:p>
    <w:p>
      <w:pPr>
        <w:pStyle w:val="Style35"/>
        <w:keepNext w:val="0"/>
        <w:keepLines w:val="0"/>
        <w:widowControl w:val="0"/>
        <w:shd w:val="clear" w:color="auto" w:fill="auto"/>
        <w:tabs>
          <w:tab w:pos="697" w:val="left"/>
        </w:tabs>
        <w:bidi w:val="0"/>
        <w:spacing w:before="0" w:after="0" w:line="314" w:lineRule="exact"/>
        <w:ind w:left="0" w:right="0"/>
        <w:jc w:val="both"/>
      </w:pPr>
      <w:bookmarkStart w:id="489" w:name="bookmark489"/>
      <w:r>
        <w:rPr>
          <w:rFonts w:ascii="Times New Roman" w:eastAsia="Times New Roman" w:hAnsi="Times New Roman" w:cs="Times New Roman"/>
          <w:color w:val="000000"/>
          <w:spacing w:val="0"/>
          <w:w w:val="100"/>
          <w:position w:val="0"/>
        </w:rPr>
        <w:t>5</w:t>
      </w:r>
      <w:bookmarkEnd w:id="489"/>
      <w:r>
        <w:rPr>
          <w:color w:val="000000"/>
          <w:spacing w:val="0"/>
          <w:w w:val="100"/>
          <w:position w:val="0"/>
        </w:rPr>
        <w:t>、</w:t>
        <w:tab/>
        <w:t>公司培训政策</w:t>
      </w:r>
    </w:p>
    <w:p>
      <w:pPr>
        <w:pStyle w:val="Style35"/>
        <w:keepNext w:val="0"/>
        <w:keepLines w:val="0"/>
        <w:widowControl w:val="0"/>
        <w:shd w:val="clear" w:color="auto" w:fill="auto"/>
        <w:bidi w:val="0"/>
        <w:spacing w:before="0" w:after="0" w:line="314" w:lineRule="exact"/>
        <w:ind w:left="0" w:right="0"/>
        <w:jc w:val="both"/>
        <w:sectPr>
          <w:footnotePr>
            <w:pos w:val="pageBottom"/>
            <w:numFmt w:val="decimal"/>
            <w:numRestart w:val="continuous"/>
          </w:footnotePr>
          <w:pgSz w:w="11900" w:h="16840"/>
          <w:pgMar w:top="1388" w:right="338" w:bottom="1786" w:left="359" w:header="0" w:footer="3" w:gutter="0"/>
          <w:cols w:space="720"/>
          <w:noEndnote/>
          <w:rtlGutter w:val="0"/>
          <w:docGrid w:linePitch="360"/>
        </w:sectPr>
      </w:pPr>
      <w:r>
        <w:rPr>
          <w:color w:val="000000"/>
          <w:spacing w:val="0"/>
          <w:w w:val="100"/>
          <w:position w:val="0"/>
        </w:rPr>
        <w:t>公司建立了多维度的综合培训体系，从层级上覆盖了公司、各业务系统以及各子公司，既考虑了现阶段遇到的业务问题, 也从长远角度考虑了员工的职业能力发展，将动态和静态的培训相结合，为组织贡献最大的力量。</w:t>
      </w:r>
      <w:r>
        <w:rPr>
          <w:rFonts w:ascii="Times New Roman" w:eastAsia="Times New Roman" w:hAnsi="Times New Roman" w:cs="Times New Roman"/>
          <w:color w:val="000000"/>
          <w:spacing w:val="0"/>
          <w:w w:val="100"/>
          <w:position w:val="0"/>
        </w:rPr>
        <w:t>2013</w:t>
      </w:r>
      <w:r>
        <w:rPr>
          <w:color w:val="000000"/>
          <w:spacing w:val="0"/>
          <w:w w:val="100"/>
          <w:position w:val="0"/>
        </w:rPr>
        <w:t>年公司共培训</w:t>
      </w:r>
      <w:r>
        <w:rPr>
          <w:rFonts w:ascii="Times New Roman" w:eastAsia="Times New Roman" w:hAnsi="Times New Roman" w:cs="Times New Roman"/>
          <w:color w:val="000000"/>
          <w:spacing w:val="0"/>
          <w:w w:val="100"/>
          <w:position w:val="0"/>
        </w:rPr>
        <w:t xml:space="preserve">660 </w:t>
      </w:r>
      <w:r>
        <w:rPr>
          <w:color w:val="000000"/>
          <w:spacing w:val="0"/>
          <w:w w:val="100"/>
          <w:position w:val="0"/>
        </w:rPr>
        <w:t>场次，培训课时</w:t>
      </w:r>
      <w:r>
        <w:rPr>
          <w:rFonts w:ascii="Times New Roman" w:eastAsia="Times New Roman" w:hAnsi="Times New Roman" w:cs="Times New Roman"/>
          <w:color w:val="000000"/>
          <w:spacing w:val="0"/>
          <w:w w:val="100"/>
          <w:position w:val="0"/>
        </w:rPr>
        <w:t>32,000.5</w:t>
      </w:r>
      <w:r>
        <w:rPr>
          <w:color w:val="000000"/>
          <w:spacing w:val="0"/>
          <w:w w:val="100"/>
          <w:position w:val="0"/>
        </w:rPr>
        <w:t>小时，合计培训</w:t>
      </w:r>
      <w:r>
        <w:rPr>
          <w:rFonts w:ascii="Times New Roman" w:eastAsia="Times New Roman" w:hAnsi="Times New Roman" w:cs="Times New Roman"/>
          <w:color w:val="000000"/>
          <w:spacing w:val="0"/>
          <w:w w:val="100"/>
          <w:position w:val="0"/>
        </w:rPr>
        <w:t>16,968</w:t>
      </w:r>
      <w:r>
        <w:rPr>
          <w:color w:val="000000"/>
          <w:spacing w:val="0"/>
          <w:w w:val="100"/>
          <w:position w:val="0"/>
        </w:rPr>
        <w:t>人次，大大提高了公司员工的综合素质，为企业的发展进一步提升了竞争 力。</w:t>
      </w:r>
    </w:p>
    <w:p>
      <w:pPr>
        <w:pStyle w:val="Style20"/>
        <w:keepNext/>
        <w:keepLines/>
        <w:widowControl w:val="0"/>
        <w:shd w:val="clear" w:color="auto" w:fill="auto"/>
        <w:bidi w:val="0"/>
        <w:spacing w:before="520" w:after="540" w:line="240" w:lineRule="auto"/>
        <w:ind w:left="0" w:right="0" w:firstLine="0"/>
        <w:jc w:val="center"/>
      </w:pPr>
      <w:bookmarkStart w:id="490" w:name="bookmark490"/>
      <w:bookmarkStart w:id="491" w:name="bookmark491"/>
      <w:bookmarkStart w:id="492" w:name="bookmark492"/>
      <w:r>
        <w:rPr>
          <w:color w:val="000000"/>
          <w:spacing w:val="0"/>
          <w:w w:val="100"/>
          <w:position w:val="0"/>
        </w:rPr>
        <w:t>第八节公司治理</w:t>
      </w:r>
      <w:bookmarkEnd w:id="490"/>
      <w:bookmarkEnd w:id="491"/>
      <w:bookmarkEnd w:id="492"/>
    </w:p>
    <w:p>
      <w:pPr>
        <w:pStyle w:val="Style31"/>
        <w:keepNext/>
        <w:keepLines/>
        <w:widowControl w:val="0"/>
        <w:shd w:val="clear" w:color="auto" w:fill="auto"/>
        <w:bidi w:val="0"/>
        <w:spacing w:before="0" w:after="240" w:line="240" w:lineRule="auto"/>
        <w:ind w:left="0" w:right="0" w:firstLine="0"/>
        <w:jc w:val="left"/>
      </w:pPr>
      <w:bookmarkStart w:id="493" w:name="bookmark493"/>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、公司治理的基本状况</w:t>
      </w:r>
      <w:bookmarkEnd w:id="494"/>
      <w:bookmarkEnd w:id="495"/>
      <w:bookmarkEnd w:id="497"/>
      <w:bookmarkEnd w:id="493"/>
    </w:p>
    <w:p>
      <w:pPr>
        <w:pStyle w:val="Style35"/>
        <w:keepNext w:val="0"/>
        <w:keepLines w:val="0"/>
        <w:widowControl w:val="0"/>
        <w:shd w:val="clear" w:color="auto" w:fill="auto"/>
        <w:bidi w:val="0"/>
        <w:spacing w:before="0" w:line="317" w:lineRule="exact"/>
        <w:ind w:left="0" w:right="0"/>
        <w:jc w:val="left"/>
      </w:pPr>
      <w:r>
        <w:rPr>
          <w:color w:val="000000"/>
          <w:spacing w:val="0"/>
          <w:w w:val="100"/>
          <w:position w:val="0"/>
        </w:rPr>
        <w:t>公司严格按照《公司法》、《证券法》、《上市公司治理准则》及《深圳证券交易所股票上市规则》等法律法规的要求， 规范运作，不断完善公司法人治理结构，建立了较为完备的公司治理及内部控制的各项规章制度，并积极结合公司实际情况 及监管部门的最新要求，及时对规章制度进行修订和完善，以不断提高公司治理水平。</w:t>
      </w:r>
    </w:p>
    <w:p>
      <w:pPr>
        <w:pStyle w:val="Style33"/>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报告期内，公司经股东大会或董事会审议通过的制度如下:</w:t>
      </w:r>
    </w:p>
    <w:tbl>
      <w:tblPr>
        <w:tblOverlap w:val="never"/>
        <w:jc w:val="center"/>
        <w:tblLayout w:type="fixed"/>
      </w:tblPr>
      <w:tblGrid>
        <w:gridCol w:w="2506"/>
        <w:gridCol w:w="4478"/>
        <w:gridCol w:w="2338"/>
      </w:tblGrid>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制度名称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最新披露时间</w:t>
            </w:r>
          </w:p>
        </w:tc>
      </w:tr>
      <w:tr>
        <w:trPr>
          <w:trHeight w:val="38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月修订）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2013-03-30</w:t>
            </w:r>
          </w:p>
        </w:tc>
      </w:tr>
      <w:tr>
        <w:trPr>
          <w:trHeight w:val="3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《风险投资管理制度》（</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月修订）</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2013-03-30</w:t>
            </w:r>
          </w:p>
        </w:tc>
      </w:tr>
    </w:tbl>
    <w:p>
      <w:pPr>
        <w:pStyle w:val="Style33"/>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报告期内，各项具体工作如下:</w:t>
      </w:r>
    </w:p>
    <w:p>
      <w:pPr>
        <w:widowControl w:val="0"/>
        <w:spacing w:after="39" w:line="1" w:lineRule="exact"/>
      </w:pPr>
    </w:p>
    <w:p>
      <w:pPr>
        <w:pStyle w:val="Style35"/>
        <w:keepNext w:val="0"/>
        <w:keepLines w:val="0"/>
        <w:widowControl w:val="0"/>
        <w:shd w:val="clear" w:color="auto" w:fill="auto"/>
        <w:tabs>
          <w:tab w:pos="649" w:val="left"/>
        </w:tabs>
        <w:bidi w:val="0"/>
        <w:spacing w:before="0" w:after="40" w:line="312" w:lineRule="exact"/>
        <w:ind w:left="0" w:right="0"/>
        <w:jc w:val="left"/>
      </w:pPr>
      <w:bookmarkStart w:id="498" w:name="bookmark498"/>
      <w:r>
        <w:rPr>
          <w:rFonts w:ascii="Times New Roman" w:eastAsia="Times New Roman" w:hAnsi="Times New Roman" w:cs="Times New Roman"/>
          <w:color w:val="000000"/>
          <w:spacing w:val="0"/>
          <w:w w:val="100"/>
          <w:position w:val="0"/>
        </w:rPr>
        <w:t>1</w:t>
      </w:r>
      <w:bookmarkEnd w:id="498"/>
      <w:r>
        <w:rPr>
          <w:color w:val="000000"/>
          <w:spacing w:val="0"/>
          <w:w w:val="100"/>
          <w:position w:val="0"/>
        </w:rPr>
        <w:t>、</w:t>
        <w:tab/>
        <w:t>关于股东与股东大会：公司严格按照《公司法》、《上市公司股东大会规则》、《公司股东大会议事规则》、《公司章程》 以及《深交所中小企业板上市公司规范运作指引》等有关规定和要求，规范股东大会的召集、召开及表决程序，确保平等地 对待全体股东，保障股东依法享有的召集权、提名权、提案权及表决权，积极为股东行使权力提供便利，切实保障股东特别 是中小股东的合法权益。公司还通过投资者关系管理网络平台、热线电话等形式，保证了与中小股东信息交流的畅通和公平 性。报告期内，公司共召开一次股东大会，由董事会召集召开。自公司上市以来，公司股东大会均按照《股东大会议事规则》 和《公司章程》等有关规定由见证律师进行了现场见证并出具了《法律意见书》。</w:t>
      </w:r>
    </w:p>
    <w:p>
      <w:pPr>
        <w:pStyle w:val="Style35"/>
        <w:keepNext w:val="0"/>
        <w:keepLines w:val="0"/>
        <w:widowControl w:val="0"/>
        <w:shd w:val="clear" w:color="auto" w:fill="auto"/>
        <w:tabs>
          <w:tab w:pos="649" w:val="left"/>
        </w:tabs>
        <w:bidi w:val="0"/>
        <w:spacing w:before="0" w:after="40" w:line="315" w:lineRule="exact"/>
        <w:ind w:left="0" w:right="0"/>
        <w:jc w:val="left"/>
      </w:pPr>
      <w:bookmarkStart w:id="499" w:name="bookmark499"/>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关于公司与控股股东：公司拥有独立的业务和经营自主能力，在业务、人员、资产、机构、财务上独立于控股股东， 公司董事会、监事会和内部经营机构能够独立运作；公司控股股东严格规范自己的行为，依法行使股东权利和义务，没有超 越公司股东大会、董事会及监事会等决策机构直接或间接干预公司的决策和经营活动的行为；此外，公司不存在控股股东占 用或转移公司资金、资产及其他资源的现象，公司也不存在为控股股东及其子公司提供担保的情形。</w:t>
      </w:r>
    </w:p>
    <w:p>
      <w:pPr>
        <w:pStyle w:val="Style35"/>
        <w:keepNext w:val="0"/>
        <w:keepLines w:val="0"/>
        <w:widowControl w:val="0"/>
        <w:shd w:val="clear" w:color="auto" w:fill="auto"/>
        <w:tabs>
          <w:tab w:pos="658" w:val="left"/>
        </w:tabs>
        <w:bidi w:val="0"/>
        <w:spacing w:before="0" w:after="40" w:line="313" w:lineRule="exact"/>
        <w:ind w:left="0" w:right="0"/>
        <w:jc w:val="left"/>
      </w:pPr>
      <w:bookmarkStart w:id="500" w:name="bookmark500"/>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关于董事与董事会：公司能严格按照《公司法》、《公司章程》规定的选聘程序选举董事；公司董事会会议的召集、 召开和表决程序符合《深圳证券交易所股票上市规则》、《公司章程》及《董事会议事规则》的相关规定；公司全体董事能够 依据《董事会议事规则》、《中小企业板块上市公司董事行为指引》等要求勤勉尽职的开展工作，维护公司和股东的利益；全 体独立董事能够依据《独立董事工作细则》等要求对关联交易、担保及对公司形成重大影响的事项发表独立意见。公司董事 会下设的审计委员会、薪酬与考核委员会和提名委员会三个专门委员会各尽其责，充分发挥专业职能作用，大大提高了董事 会运作效率，在促进公司规范运作方面发挥了重要的作用。</w:t>
      </w:r>
    </w:p>
    <w:p>
      <w:pPr>
        <w:pStyle w:val="Style35"/>
        <w:keepNext w:val="0"/>
        <w:keepLines w:val="0"/>
        <w:widowControl w:val="0"/>
        <w:shd w:val="clear" w:color="auto" w:fill="auto"/>
        <w:tabs>
          <w:tab w:pos="644" w:val="left"/>
        </w:tabs>
        <w:bidi w:val="0"/>
        <w:spacing w:before="0" w:after="40" w:line="313" w:lineRule="exact"/>
        <w:ind w:left="0" w:right="0"/>
        <w:jc w:val="left"/>
      </w:pPr>
      <w:bookmarkStart w:id="501" w:name="bookmark501"/>
      <w:r>
        <w:rPr>
          <w:rFonts w:ascii="Times New Roman" w:eastAsia="Times New Roman" w:hAnsi="Times New Roman" w:cs="Times New Roman"/>
          <w:color w:val="000000"/>
          <w:spacing w:val="0"/>
          <w:w w:val="100"/>
          <w:position w:val="0"/>
        </w:rPr>
        <w:t>4</w:t>
      </w:r>
      <w:bookmarkEnd w:id="501"/>
      <w:r>
        <w:rPr>
          <w:color w:val="000000"/>
          <w:spacing w:val="0"/>
          <w:w w:val="100"/>
          <w:position w:val="0"/>
        </w:rPr>
        <w:t>、</w:t>
        <w:tab/>
        <w:t>关于监事与监事会：公司严格按照《公司法》、《公司章程》等有关规定选举监事，公司监事会由三名监事组成，其 中一名为职工代表监事，监事会的人数及构成符合有关法律法规的要求。公司监事会会议的召集、召开和表决程序符合《深 圳证券交易所股票上市规则》、《公司章程》、《监事会议事规则》的有关规定。公司监事会向股东大会负责，从保护股东利益 出发，依法在《公司法》、《公司章程》和股东大会赋予的职权范围内积极行使监督权，对公司财务状况、关联交易、内部控 制执行情况等重大事项以及董事、高级管理人员履职情况进行有效监督，并发表意见，全力维护公司及股东的合法权益。</w:t>
      </w:r>
    </w:p>
    <w:p>
      <w:pPr>
        <w:pStyle w:val="Style35"/>
        <w:keepNext w:val="0"/>
        <w:keepLines w:val="0"/>
        <w:widowControl w:val="0"/>
        <w:shd w:val="clear" w:color="auto" w:fill="auto"/>
        <w:tabs>
          <w:tab w:pos="658" w:val="left"/>
        </w:tabs>
        <w:bidi w:val="0"/>
        <w:spacing w:before="0" w:after="40" w:line="314" w:lineRule="exact"/>
        <w:ind w:left="0" w:right="0"/>
        <w:jc w:val="left"/>
      </w:pPr>
      <w:bookmarkStart w:id="502" w:name="bookmark502"/>
      <w:r>
        <w:rPr>
          <w:rFonts w:ascii="Times New Roman" w:eastAsia="Times New Roman" w:hAnsi="Times New Roman" w:cs="Times New Roman"/>
          <w:color w:val="000000"/>
          <w:spacing w:val="0"/>
          <w:w w:val="100"/>
          <w:position w:val="0"/>
        </w:rPr>
        <w:t>5</w:t>
      </w:r>
      <w:bookmarkEnd w:id="502"/>
      <w:r>
        <w:rPr>
          <w:color w:val="000000"/>
          <w:spacing w:val="0"/>
          <w:w w:val="100"/>
          <w:position w:val="0"/>
        </w:rPr>
        <w:t>、</w:t>
        <w:tab/>
        <w:t>关于绩效评价和激励约束机制：为激发员工的工作积极性，提高工作效率，公司建立了企业绩效评价激励体系和激 励约束机制，并根据自身经营发展状况不断完善，实现经营管理层和员工的收入与企业经营业绩相挂钩；高级管理人员的聘 任公开、透明，合法合规。</w:t>
      </w:r>
    </w:p>
    <w:p>
      <w:pPr>
        <w:pStyle w:val="Style35"/>
        <w:keepNext w:val="0"/>
        <w:keepLines w:val="0"/>
        <w:widowControl w:val="0"/>
        <w:shd w:val="clear" w:color="auto" w:fill="auto"/>
        <w:tabs>
          <w:tab w:pos="654" w:val="left"/>
        </w:tabs>
        <w:bidi w:val="0"/>
        <w:spacing w:before="0" w:after="40" w:line="317" w:lineRule="exact"/>
        <w:ind w:left="0" w:right="0"/>
        <w:jc w:val="left"/>
      </w:pPr>
      <w:bookmarkStart w:id="503" w:name="bookmark503"/>
      <w:r>
        <w:rPr>
          <w:rFonts w:ascii="Times New Roman" w:eastAsia="Times New Roman" w:hAnsi="Times New Roman" w:cs="Times New Roman"/>
          <w:color w:val="000000"/>
          <w:spacing w:val="0"/>
          <w:w w:val="100"/>
          <w:position w:val="0"/>
        </w:rPr>
        <w:t>6</w:t>
      </w:r>
      <w:bookmarkEnd w:id="503"/>
      <w:r>
        <w:rPr>
          <w:color w:val="000000"/>
          <w:spacing w:val="0"/>
          <w:w w:val="100"/>
          <w:position w:val="0"/>
        </w:rPr>
        <w:t>、</w:t>
        <w:tab/>
        <w:t>关于相关利益者：公司在注重企业经营的同时，积极参与社会公益事业，主动承担社会责任，充分尊重和维护利益 相关者的合法权利，加强与各方的沟通和合作，促进公司、股东、员工、客户、供应商、最终用户、社会等各方利益均衡实 现。</w:t>
      </w:r>
    </w:p>
    <w:p>
      <w:pPr>
        <w:pStyle w:val="Style35"/>
        <w:keepNext w:val="0"/>
        <w:keepLines w:val="0"/>
        <w:widowControl w:val="0"/>
        <w:shd w:val="clear" w:color="auto" w:fill="auto"/>
        <w:bidi w:val="0"/>
        <w:spacing w:before="0" w:after="240" w:line="314" w:lineRule="exact"/>
        <w:ind w:left="0" w:right="0" w:firstLine="460"/>
        <w:jc w:val="both"/>
      </w:pPr>
      <w:bookmarkStart w:id="504" w:name="bookmark504"/>
      <w:r>
        <w:rPr>
          <w:rFonts w:ascii="Times New Roman" w:eastAsia="Times New Roman" w:hAnsi="Times New Roman" w:cs="Times New Roman"/>
          <w:color w:val="000000"/>
          <w:spacing w:val="0"/>
          <w:w w:val="100"/>
          <w:position w:val="0"/>
        </w:rPr>
        <w:t>7</w:t>
      </w:r>
      <w:bookmarkEnd w:id="504"/>
      <w:r>
        <w:rPr>
          <w:color w:val="000000"/>
          <w:spacing w:val="0"/>
          <w:w w:val="100"/>
          <w:position w:val="0"/>
        </w:rPr>
        <w:t>、关于信息披露与透明度：公司严格按照深交所有关文件及其他有关法律法规要求，不断建立健全有关公司信息披露 的管理制度，加强信息披露事务管理，履行信息披露义务。公司指定《证券时报》和巨潮资讯网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www.cnmfo.com.cn</w:t>
      </w:r>
      <w:r>
        <w:rPr>
          <w:color w:val="000000"/>
          <w:spacing w:val="0"/>
          <w:w w:val="100"/>
          <w:position w:val="0"/>
        </w:rPr>
        <w:t>）</w:t>
      </w:r>
      <w:r>
        <w:rPr>
          <w:color w:val="000000"/>
          <w:spacing w:val="0"/>
          <w:w w:val="100"/>
          <w:position w:val="0"/>
        </w:rPr>
        <w:t>为 公司信息披露的报纸和网站，真实、准确、及时、完整地披露信息，确保所有投资者公平获取公司信息；同时，公司建立了 畅通的沟通渠道，通过设立投资者专线、创建投资者关系互动平台等多种方式与投资者进行交流和沟通。</w:t>
      </w:r>
    </w:p>
    <w:p>
      <w:pPr>
        <w:pStyle w:val="Style35"/>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公司治理与《公司法》和中国证监会相关规定的要求是否存在差异</w:t>
      </w:r>
    </w:p>
    <w:p>
      <w:pPr>
        <w:pStyle w:val="Style35"/>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公司治理与《公司法》和中国证监会相关规定的要求不存在差异。</w:t>
      </w:r>
    </w:p>
    <w:p>
      <w:pPr>
        <w:pStyle w:val="Style35"/>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公司治理专项活动开展情况以及内幕信息知情人登记管理制度的制定、实施情况</w:t>
      </w:r>
    </w:p>
    <w:p>
      <w:pPr>
        <w:pStyle w:val="Style35"/>
        <w:keepNext w:val="0"/>
        <w:keepLines w:val="0"/>
        <w:widowControl w:val="0"/>
        <w:shd w:val="clear" w:color="auto" w:fill="auto"/>
        <w:tabs>
          <w:tab w:pos="739" w:val="left"/>
        </w:tabs>
        <w:bidi w:val="0"/>
        <w:spacing w:before="0" w:after="40" w:line="314" w:lineRule="exact"/>
        <w:ind w:left="0" w:right="0" w:firstLine="460"/>
        <w:jc w:val="both"/>
      </w:pPr>
      <w:bookmarkStart w:id="505" w:name="bookmark505"/>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公司治理专项活动开展情况</w:t>
      </w:r>
    </w:p>
    <w:p>
      <w:pPr>
        <w:pStyle w:val="Style35"/>
        <w:keepNext w:val="0"/>
        <w:keepLines w:val="0"/>
        <w:widowControl w:val="0"/>
        <w:shd w:val="clear" w:color="auto" w:fill="auto"/>
        <w:bidi w:val="0"/>
        <w:spacing w:before="0" w:after="40" w:line="310"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月，根据广东证监局《关于进一步提高辖区上市公司治理水平的指导意见》（广东证监【</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206</w:t>
      </w:r>
      <w:r>
        <w:rPr>
          <w:color w:val="000000"/>
          <w:spacing w:val="0"/>
          <w:w w:val="100"/>
          <w:position w:val="0"/>
        </w:rPr>
        <w:t>号）相关要 求，公司对照《公司治理自查对照分析情况表》对公司治理情况进行严格自查，并根据自查结果修订完善了《公司章程》， 经</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年度股东大会审议批准后正式实施。上述制度已于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日刊登于巨潮资讯网（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u w:val="single"/>
        </w:rPr>
        <w:t>www.cninfo.com.cn</w:t>
      </w:r>
      <w:r>
        <w:fldChar w:fldCharType="end"/>
      </w:r>
      <w:r>
        <w:rPr>
          <w:color w:val="000000"/>
          <w:spacing w:val="0"/>
          <w:w w:val="100"/>
          <w:position w:val="0"/>
        </w:rPr>
        <w:t>）</w:t>
      </w:r>
      <w:r>
        <w:rPr>
          <w:color w:val="000000"/>
          <w:spacing w:val="0"/>
          <w:w w:val="100"/>
          <w:position w:val="0"/>
        </w:rPr>
        <w:t>。</w:t>
      </w:r>
    </w:p>
    <w:p>
      <w:pPr>
        <w:pStyle w:val="Style35"/>
        <w:keepNext w:val="0"/>
        <w:keepLines w:val="0"/>
        <w:widowControl w:val="0"/>
        <w:shd w:val="clear" w:color="auto" w:fill="auto"/>
        <w:bidi w:val="0"/>
        <w:spacing w:before="0" w:after="40" w:line="315"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月，根据广东证监局《关于开展规范上市公司关联交易专项活动的通知》（广东证监【</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号）的要求， 公司对2011年以来公司关联交易内控制度建设及执行情况进行了为期半个月的认真自查，自查期间，公司严格对照广东证监 【</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63</w:t>
      </w:r>
      <w:r>
        <w:rPr>
          <w:color w:val="000000"/>
          <w:spacing w:val="0"/>
          <w:w w:val="100"/>
          <w:position w:val="0"/>
        </w:rPr>
        <w:t>号文件中的《关联交易专项活动自查表》逐条梳理，形成自查报告，提交公司董事会审议批准及独立董事发表独 立意见后，报送广东证监局。经自查，自2011年以来，公司发生的关联交易均遵照相关规定执行，审批程序合法合规，交易 价格公平、公允、合理，独立董事、监事会分别对相关关联交易进行了严格的监督核查，信息披露真实、准确、完整，暂无 需要整改的事项。</w:t>
      </w:r>
    </w:p>
    <w:p>
      <w:pPr>
        <w:pStyle w:val="Style35"/>
        <w:keepNext w:val="0"/>
        <w:keepLines w:val="0"/>
        <w:widowControl w:val="0"/>
        <w:shd w:val="clear" w:color="auto" w:fill="auto"/>
        <w:tabs>
          <w:tab w:pos="758" w:val="left"/>
        </w:tabs>
        <w:bidi w:val="0"/>
        <w:spacing w:before="0" w:after="40" w:line="314" w:lineRule="exact"/>
        <w:ind w:left="0" w:right="0" w:firstLine="460"/>
        <w:jc w:val="both"/>
      </w:pPr>
      <w:bookmarkStart w:id="506" w:name="bookmark506"/>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公司内幕信息知情人登记管理制度的制定、实施情况</w:t>
      </w:r>
    </w:p>
    <w:p>
      <w:pPr>
        <w:pStyle w:val="Style35"/>
        <w:keepNext w:val="0"/>
        <w:keepLines w:val="0"/>
        <w:widowControl w:val="0"/>
        <w:shd w:val="clear" w:color="auto" w:fill="auto"/>
        <w:bidi w:val="0"/>
        <w:spacing w:before="0" w:after="40" w:line="314"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日，公司第二届董事会第七次会议审议通过了《内幕信息知情人备案制度》，规定了内幕信息知情人的 登记管理、保密管理以及责任追究制度。</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日，公司第二届董事会第十八次（临时）会议按照相关法律法规 的规定和要求，对《公司内幕信息知情人备案制度》进行了全面修订，修订后的《公司内幕信息知情人备案制度》更名为《公 司内幕信息知情人登记管理制度》，进一步细化和完善了内幕信息在公司内部的保密管理和登记管理，以及外部信息使用人 对内幕信息的使用管理。</w:t>
      </w:r>
    </w:p>
    <w:p>
      <w:pPr>
        <w:pStyle w:val="Style35"/>
        <w:keepNext w:val="0"/>
        <w:keepLines w:val="0"/>
        <w:widowControl w:val="0"/>
        <w:shd w:val="clear" w:color="auto" w:fill="auto"/>
        <w:bidi w:val="0"/>
        <w:spacing w:before="0" w:after="360" w:line="312" w:lineRule="exact"/>
        <w:ind w:left="0" w:right="0" w:firstLine="460"/>
        <w:jc w:val="both"/>
      </w:pPr>
      <w:r>
        <w:rPr>
          <w:color w:val="000000"/>
          <w:spacing w:val="0"/>
          <w:w w:val="100"/>
          <w:position w:val="0"/>
        </w:rPr>
        <w:t>报告期内，公司严格按照《信息披露管理制度》、《内幕信息知情人登记管理制度》等有关制度的规定和要求，积极做好 内幕信息保密和管理工作。在报告期内公司未发生内幕信息知情人在影响公司股价的重大敏感信息披露前利用内幕信息买卖 公司股票的情况，也未受到监管部门的查处。在接待特定对象（机构投资者、媒体）的过程中，公司严格按照《深圳证券交 易所中小企业板上市公司规范运作指引》的要求，认真做好特定对象来访接待工作。对于来访的特定对象均要求事前预约， 如果接待时间在重大信息披露窗口期，则建议来访对象尽量避开；在接待特定对象时，公司要求来访人员签署《承诺书》， 安排两人以上陪同接待来访人员，同时按照《投资者关系活动记录表》的格式记录谈话主要内容并及时报备深交所，披露于 深交所互动易平台。</w:t>
      </w:r>
    </w:p>
    <w:p>
      <w:pPr>
        <w:pStyle w:val="Style31"/>
        <w:keepNext/>
        <w:keepLines/>
        <w:widowControl w:val="0"/>
        <w:shd w:val="clear" w:color="auto" w:fill="auto"/>
        <w:bidi w:val="0"/>
        <w:spacing w:before="0" w:after="30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二</w:t>
      </w:r>
      <w:bookmarkEnd w:id="509"/>
      <w:r>
        <w:rPr>
          <w:color w:val="000000"/>
          <w:spacing w:val="0"/>
          <w:w w:val="100"/>
          <w:position w:val="0"/>
          <w:sz w:val="24"/>
          <w:szCs w:val="24"/>
        </w:rPr>
        <w:t>、报告期内召开的年度股东大会和临时股东大会的有关情况</w:t>
      </w:r>
      <w:bookmarkEnd w:id="507"/>
      <w:bookmarkEnd w:id="508"/>
      <w:bookmarkEnd w:id="510"/>
    </w:p>
    <w:p>
      <w:pPr>
        <w:pStyle w:val="Style44"/>
        <w:keepNext/>
        <w:keepLines/>
        <w:widowControl w:val="0"/>
        <w:shd w:val="clear" w:color="auto" w:fill="auto"/>
        <w:bidi w:val="0"/>
        <w:spacing w:before="0" w:after="30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、本报告期年度股东大会情况</w:t>
      </w:r>
      <w:bookmarkEnd w:id="511"/>
      <w:bookmarkEnd w:id="512"/>
      <w:bookmarkEnd w:id="514"/>
    </w:p>
    <w:tbl>
      <w:tblPr>
        <w:tblOverlap w:val="never"/>
        <w:jc w:val="center"/>
        <w:tblLayout w:type="fixed"/>
      </w:tblPr>
      <w:tblGrid>
        <w:gridCol w:w="1085"/>
        <w:gridCol w:w="1080"/>
        <w:gridCol w:w="4066"/>
        <w:gridCol w:w="898"/>
        <w:gridCol w:w="922"/>
        <w:gridCol w:w="181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会议议案名称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决议情况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年度股</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tabs>
                <w:tab w:pos="264" w:val="left"/>
              </w:tabs>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tab/>
              <w:t>《</w:t>
            </w:r>
            <w:r>
              <w:rPr>
                <w:color w:val="000000"/>
                <w:spacing w:val="0"/>
                <w:w w:val="100"/>
                <w:position w:val="0"/>
              </w:rPr>
              <w:t>2012</w:t>
            </w:r>
            <w:r>
              <w:rPr>
                <w:rFonts w:ascii="SimSun" w:eastAsia="SimSun" w:hAnsi="SimSun" w:cs="SimSun"/>
                <w:color w:val="000000"/>
                <w:spacing w:val="0"/>
                <w:w w:val="100"/>
                <w:position w:val="0"/>
              </w:rPr>
              <w:t>年度董事会工作报告》</w:t>
            </w:r>
          </w:p>
          <w:p>
            <w:pPr>
              <w:pStyle w:val="Style28"/>
              <w:keepNext w:val="0"/>
              <w:keepLines w:val="0"/>
              <w:widowControl w:val="0"/>
              <w:shd w:val="clear" w:color="auto" w:fill="auto"/>
              <w:tabs>
                <w:tab w:pos="283" w:val="left"/>
              </w:tabs>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tab/>
              <w:t>《</w:t>
            </w:r>
            <w:r>
              <w:rPr>
                <w:color w:val="000000"/>
                <w:spacing w:val="0"/>
                <w:w w:val="100"/>
                <w:position w:val="0"/>
              </w:rPr>
              <w:t>2012</w:t>
            </w:r>
            <w:r>
              <w:rPr>
                <w:rFonts w:ascii="SimSun" w:eastAsia="SimSun" w:hAnsi="SimSun" w:cs="SimSun"/>
                <w:color w:val="000000"/>
                <w:spacing w:val="0"/>
                <w:w w:val="100"/>
                <w:position w:val="0"/>
              </w:rPr>
              <w:t>年度监事会工作报告》</w:t>
            </w:r>
          </w:p>
          <w:p>
            <w:pPr>
              <w:pStyle w:val="Style28"/>
              <w:keepNext w:val="0"/>
              <w:keepLines w:val="0"/>
              <w:widowControl w:val="0"/>
              <w:shd w:val="clear" w:color="auto" w:fill="auto"/>
              <w:tabs>
                <w:tab w:pos="274" w:val="left"/>
              </w:tabs>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tab/>
              <w:t>《</w:t>
            </w:r>
            <w:r>
              <w:rPr>
                <w:color w:val="000000"/>
                <w:spacing w:val="0"/>
                <w:w w:val="100"/>
                <w:position w:val="0"/>
              </w:rPr>
              <w:t>2012</w:t>
            </w:r>
            <w:r>
              <w:rPr>
                <w:rFonts w:ascii="SimSun" w:eastAsia="SimSun" w:hAnsi="SimSun" w:cs="SimSun"/>
                <w:color w:val="000000"/>
                <w:spacing w:val="0"/>
                <w:w w:val="100"/>
                <w:position w:val="0"/>
              </w:rPr>
              <w:t>年度财务决算报告》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全部审议 通过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公告编号：临</w:t>
            </w:r>
            <w:r>
              <w:rPr>
                <w:color w:val="000000"/>
                <w:spacing w:val="0"/>
                <w:w w:val="100"/>
                <w:position w:val="0"/>
              </w:rPr>
              <w:t xml:space="preserve">2013-022 </w:t>
            </w:r>
            <w:r>
              <w:rPr>
                <w:rFonts w:ascii="SimSun" w:eastAsia="SimSun" w:hAnsi="SimSun" w:cs="SimSun"/>
                <w:color w:val="000000"/>
                <w:spacing w:val="0"/>
                <w:w w:val="100"/>
                <w:position w:val="0"/>
              </w:rPr>
              <w:t>公告名称：《</w:t>
            </w:r>
            <w:r>
              <w:rPr>
                <w:color w:val="000000"/>
                <w:spacing w:val="0"/>
                <w:w w:val="100"/>
                <w:position w:val="0"/>
              </w:rPr>
              <w:t>2012</w:t>
            </w:r>
            <w:r>
              <w:rPr>
                <w:rFonts w:ascii="SimSun" w:eastAsia="SimSun" w:hAnsi="SimSun" w:cs="SimSun"/>
                <w:color w:val="000000"/>
                <w:spacing w:val="0"/>
                <w:w w:val="100"/>
                <w:position w:val="0"/>
              </w:rPr>
              <w:t>年度 股东大会决议公告》</w:t>
            </w:r>
          </w:p>
        </w:tc>
      </w:tr>
    </w:tbl>
    <w:p>
      <w:pPr>
        <w:spacing w:lineRule="exact" w:line="1"/>
        <w:rPr>
          <w:sz w:val="2"/>
          <w:szCs w:val="2"/>
        </w:rPr>
      </w:pPr>
      <w:r>
        <w:br w:type="page"/>
      </w:r>
    </w:p>
    <w:tbl>
      <w:tblPr>
        <w:tblOverlap w:val="never"/>
        <w:jc w:val="center"/>
        <w:tblLayout w:type="fixed"/>
      </w:tblPr>
      <w:tblGrid>
        <w:gridCol w:w="1085"/>
        <w:gridCol w:w="1080"/>
        <w:gridCol w:w="4066"/>
        <w:gridCol w:w="898"/>
        <w:gridCol w:w="922"/>
        <w:gridCol w:w="1810"/>
      </w:tblGrid>
      <w:tr>
        <w:trPr>
          <w:trHeight w:val="307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283" w:val="left"/>
              </w:tabs>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tab/>
              <w:t>《关于</w:t>
            </w:r>
            <w:r>
              <w:rPr>
                <w:color w:val="000000"/>
                <w:spacing w:val="0"/>
                <w:w w:val="100"/>
                <w:position w:val="0"/>
              </w:rPr>
              <w:t>2012</w:t>
            </w:r>
            <w:r>
              <w:rPr>
                <w:rFonts w:ascii="SimSun" w:eastAsia="SimSun" w:hAnsi="SimSun" w:cs="SimSun"/>
                <w:color w:val="000000"/>
                <w:spacing w:val="0"/>
                <w:w w:val="100"/>
                <w:position w:val="0"/>
              </w:rPr>
              <w:t>年度利润分配的议案》</w:t>
            </w:r>
          </w:p>
          <w:p>
            <w:pPr>
              <w:pStyle w:val="Style28"/>
              <w:keepNext w:val="0"/>
              <w:keepLines w:val="0"/>
              <w:widowControl w:val="0"/>
              <w:shd w:val="clear" w:color="auto" w:fill="auto"/>
              <w:tabs>
                <w:tab w:pos="274" w:val="left"/>
              </w:tabs>
              <w:bidi w:val="0"/>
              <w:spacing w:before="0" w:after="0" w:line="307"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tab/>
              <w:t>《</w:t>
            </w:r>
            <w:r>
              <w:rPr>
                <w:color w:val="000000"/>
                <w:spacing w:val="0"/>
                <w:w w:val="100"/>
                <w:position w:val="0"/>
              </w:rPr>
              <w:t>2012</w:t>
            </w:r>
            <w:r>
              <w:rPr>
                <w:rFonts w:ascii="SimSun" w:eastAsia="SimSun" w:hAnsi="SimSun" w:cs="SimSun"/>
                <w:color w:val="000000"/>
                <w:spacing w:val="0"/>
                <w:w w:val="100"/>
                <w:position w:val="0"/>
              </w:rPr>
              <w:t>年年度报告及摘要》</w:t>
            </w:r>
          </w:p>
          <w:p>
            <w:pPr>
              <w:pStyle w:val="Style28"/>
              <w:keepNext w:val="0"/>
              <w:keepLines w:val="0"/>
              <w:widowControl w:val="0"/>
              <w:shd w:val="clear" w:color="auto" w:fill="auto"/>
              <w:tabs>
                <w:tab w:pos="278" w:val="left"/>
              </w:tabs>
              <w:bidi w:val="0"/>
              <w:spacing w:before="0" w:after="0" w:line="307" w:lineRule="exact"/>
              <w:ind w:left="0" w:right="0" w:firstLine="0"/>
              <w:jc w:val="left"/>
            </w:pPr>
            <w:r>
              <w:rPr>
                <w:color w:val="000000"/>
                <w:spacing w:val="0"/>
                <w:w w:val="100"/>
                <w:position w:val="0"/>
              </w:rPr>
              <w:t>6</w:t>
            </w:r>
            <w:r>
              <w:rPr>
                <w:rFonts w:ascii="SimSun" w:eastAsia="SimSun" w:hAnsi="SimSun" w:cs="SimSun"/>
                <w:color w:val="000000"/>
                <w:spacing w:val="0"/>
                <w:w w:val="100"/>
                <w:position w:val="0"/>
              </w:rPr>
              <w:t>、</w:t>
              <w:tab/>
              <w:t>《关于聘请立信会计师事务所（特殊普通合伙） 为公司</w:t>
            </w:r>
            <w:r>
              <w:rPr>
                <w:color w:val="000000"/>
                <w:spacing w:val="0"/>
                <w:w w:val="100"/>
                <w:position w:val="0"/>
              </w:rPr>
              <w:t>2013</w:t>
            </w:r>
            <w:r>
              <w:rPr>
                <w:rFonts w:ascii="SimSun" w:eastAsia="SimSun" w:hAnsi="SimSun" w:cs="SimSun"/>
                <w:color w:val="000000"/>
                <w:spacing w:val="0"/>
                <w:w w:val="100"/>
                <w:position w:val="0"/>
              </w:rPr>
              <w:t>年度审计机构的议案》</w:t>
            </w:r>
          </w:p>
          <w:p>
            <w:pPr>
              <w:pStyle w:val="Style28"/>
              <w:keepNext w:val="0"/>
              <w:keepLines w:val="0"/>
              <w:widowControl w:val="0"/>
              <w:shd w:val="clear" w:color="auto" w:fill="auto"/>
              <w:tabs>
                <w:tab w:pos="278" w:val="left"/>
              </w:tabs>
              <w:bidi w:val="0"/>
              <w:spacing w:before="0" w:after="0" w:line="326" w:lineRule="exact"/>
              <w:ind w:left="0" w:right="0" w:firstLine="0"/>
              <w:jc w:val="left"/>
            </w:pPr>
            <w:r>
              <w:rPr>
                <w:color w:val="000000"/>
                <w:spacing w:val="0"/>
                <w:w w:val="100"/>
                <w:position w:val="0"/>
              </w:rPr>
              <w:t>7</w:t>
            </w:r>
            <w:r>
              <w:rPr>
                <w:rFonts w:ascii="SimSun" w:eastAsia="SimSun" w:hAnsi="SimSun" w:cs="SimSun"/>
                <w:color w:val="000000"/>
                <w:spacing w:val="0"/>
                <w:w w:val="100"/>
                <w:position w:val="0"/>
              </w:rPr>
              <w:t>、</w:t>
              <w:tab/>
              <w:t>《关于修改</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公司章程</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的议案》</w:t>
            </w:r>
          </w:p>
          <w:p>
            <w:pPr>
              <w:pStyle w:val="Style28"/>
              <w:keepNext w:val="0"/>
              <w:keepLines w:val="0"/>
              <w:widowControl w:val="0"/>
              <w:shd w:val="clear" w:color="auto" w:fill="auto"/>
              <w:tabs>
                <w:tab w:pos="274" w:val="left"/>
              </w:tabs>
              <w:bidi w:val="0"/>
              <w:spacing w:before="0" w:after="0" w:line="326" w:lineRule="exact"/>
              <w:ind w:left="0" w:right="0" w:firstLine="0"/>
              <w:jc w:val="left"/>
            </w:pPr>
            <w:r>
              <w:rPr>
                <w:color w:val="000000"/>
                <w:spacing w:val="0"/>
                <w:w w:val="100"/>
                <w:position w:val="0"/>
              </w:rPr>
              <w:t>8</w:t>
            </w:r>
            <w:r>
              <w:rPr>
                <w:rFonts w:ascii="SimSun" w:eastAsia="SimSun" w:hAnsi="SimSun" w:cs="SimSun"/>
                <w:color w:val="000000"/>
                <w:spacing w:val="0"/>
                <w:w w:val="100"/>
                <w:position w:val="0"/>
              </w:rPr>
              <w:t>、</w:t>
              <w:tab/>
              <w:t>《关于增补张宗贵先生为公司独立董事的议案》</w:t>
            </w:r>
          </w:p>
          <w:p>
            <w:pPr>
              <w:pStyle w:val="Style28"/>
              <w:keepNext w:val="0"/>
              <w:keepLines w:val="0"/>
              <w:widowControl w:val="0"/>
              <w:shd w:val="clear" w:color="auto" w:fill="auto"/>
              <w:tabs>
                <w:tab w:pos="235" w:val="left"/>
              </w:tabs>
              <w:bidi w:val="0"/>
              <w:spacing w:before="0" w:after="0" w:line="326" w:lineRule="exact"/>
              <w:ind w:left="0" w:right="0" w:firstLine="0"/>
              <w:jc w:val="left"/>
            </w:pPr>
            <w:r>
              <w:rPr>
                <w:color w:val="000000"/>
                <w:spacing w:val="0"/>
                <w:w w:val="100"/>
                <w:position w:val="0"/>
              </w:rPr>
              <w:t>9</w:t>
            </w:r>
            <w:r>
              <w:rPr>
                <w:rFonts w:ascii="SimSun" w:eastAsia="SimSun" w:hAnsi="SimSun" w:cs="SimSun"/>
                <w:color w:val="000000"/>
                <w:spacing w:val="0"/>
                <w:w w:val="100"/>
                <w:position w:val="0"/>
              </w:rPr>
              <w:t>、</w:t>
              <w:tab/>
              <w:t>《关于运用闲置资金进行低风险固定收益类理财、 债券、信托产品投资的议案》</w:t>
            </w:r>
          </w:p>
          <w:p>
            <w:pPr>
              <w:pStyle w:val="Style28"/>
              <w:keepNext w:val="0"/>
              <w:keepLines w:val="0"/>
              <w:widowControl w:val="0"/>
              <w:shd w:val="clear" w:color="auto" w:fill="auto"/>
              <w:tabs>
                <w:tab w:pos="355" w:val="left"/>
              </w:tabs>
              <w:bidi w:val="0"/>
              <w:spacing w:before="0" w:after="0" w:line="326" w:lineRule="exact"/>
              <w:ind w:left="0" w:right="0" w:firstLine="0"/>
              <w:jc w:val="left"/>
            </w:pPr>
            <w:r>
              <w:rPr>
                <w:color w:val="000000"/>
                <w:spacing w:val="0"/>
                <w:w w:val="100"/>
                <w:position w:val="0"/>
              </w:rPr>
              <w:t>10</w:t>
            </w:r>
            <w:r>
              <w:rPr>
                <w:rFonts w:ascii="SimSun" w:eastAsia="SimSun" w:hAnsi="SimSun" w:cs="SimSun"/>
                <w:color w:val="000000"/>
                <w:spacing w:val="0"/>
                <w:w w:val="100"/>
                <w:position w:val="0"/>
              </w:rPr>
              <w:t>、</w:t>
              <w:tab/>
              <w:t>《关于公司拟参与竞拍国有土地使用权的议案》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披露网站：巨潮资讯网</w:t>
            </w:r>
          </w:p>
          <w:p>
            <w:pPr>
              <w:pStyle w:val="Style28"/>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cn</w:t>
            </w:r>
          </w:p>
        </w:tc>
      </w:tr>
    </w:tbl>
    <w:p>
      <w:pPr>
        <w:widowControl w:val="0"/>
        <w:spacing w:after="299" w:line="1" w:lineRule="exact"/>
      </w:pPr>
    </w:p>
    <w:p>
      <w:pPr>
        <w:pStyle w:val="Style44"/>
        <w:keepNext/>
        <w:keepLines/>
        <w:widowControl w:val="0"/>
        <w:shd w:val="clear" w:color="auto" w:fill="auto"/>
        <w:bidi w:val="0"/>
        <w:spacing w:before="0" w:after="96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2</w:t>
      </w:r>
      <w:bookmarkEnd w:id="517"/>
      <w:r>
        <w:rPr>
          <w:color w:val="000000"/>
          <w:spacing w:val="0"/>
          <w:w w:val="100"/>
          <w:position w:val="0"/>
        </w:rPr>
        <w:t>、本报告期临时股东大会情况</w:t>
      </w:r>
      <w:bookmarkEnd w:id="515"/>
      <w:bookmarkEnd w:id="516"/>
      <w:bookmarkEnd w:id="518"/>
    </w:p>
    <w:p>
      <w:pPr>
        <w:pStyle w:val="Style31"/>
        <w:keepNext/>
        <w:keepLines/>
        <w:widowControl w:val="0"/>
        <w:shd w:val="clear" w:color="auto" w:fill="auto"/>
        <w:bidi w:val="0"/>
        <w:spacing w:before="0" w:after="30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三</w:t>
      </w:r>
      <w:bookmarkEnd w:id="521"/>
      <w:r>
        <w:rPr>
          <w:color w:val="000000"/>
          <w:spacing w:val="0"/>
          <w:w w:val="100"/>
          <w:position w:val="0"/>
          <w:sz w:val="24"/>
          <w:szCs w:val="24"/>
        </w:rPr>
        <w:t>、报告期内独立董事履行职责的情况</w:t>
      </w:r>
      <w:bookmarkEnd w:id="519"/>
      <w:bookmarkEnd w:id="520"/>
      <w:bookmarkEnd w:id="522"/>
    </w:p>
    <w:p>
      <w:pPr>
        <w:pStyle w:val="Style44"/>
        <w:keepNext/>
        <w:keepLines/>
        <w:widowControl w:val="0"/>
        <w:shd w:val="clear" w:color="auto" w:fill="auto"/>
        <w:bidi w:val="0"/>
        <w:spacing w:before="0" w:after="300" w:line="240" w:lineRule="auto"/>
        <w:ind w:left="0" w:right="0" w:firstLine="0"/>
        <w:jc w:val="left"/>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、独立董事出席董事会及股东大会的情况</w:t>
      </w:r>
      <w:bookmarkEnd w:id="523"/>
      <w:bookmarkEnd w:id="524"/>
      <w:bookmarkEnd w:id="526"/>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现场出席次数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以通讯方式参加 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刘佩莲</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高符生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张宗贵</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4"/>
        <w:keepNext/>
        <w:keepLines/>
        <w:widowControl w:val="0"/>
        <w:shd w:val="clear" w:color="auto" w:fill="auto"/>
        <w:tabs>
          <w:tab w:pos="382" w:val="left"/>
        </w:tabs>
        <w:bidi w:val="0"/>
        <w:spacing w:before="0" w:after="36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独立董事对公司有关事项提出异议的情况</w:t>
      </w:r>
      <w:bookmarkEnd w:id="527"/>
      <w:bookmarkEnd w:id="528"/>
      <w:bookmarkEnd w:id="530"/>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报告期内独立董事对公司有关事项未提出异议。</w:t>
      </w:r>
    </w:p>
    <w:p>
      <w:pPr>
        <w:pStyle w:val="Style44"/>
        <w:keepNext/>
        <w:keepLines/>
        <w:widowControl w:val="0"/>
        <w:shd w:val="clear" w:color="auto" w:fill="auto"/>
        <w:tabs>
          <w:tab w:pos="382" w:val="left"/>
        </w:tabs>
        <w:bidi w:val="0"/>
        <w:spacing w:before="0" w:after="360" w:line="240" w:lineRule="auto"/>
        <w:ind w:left="0" w:right="0" w:firstLine="0"/>
        <w:jc w:val="left"/>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独立董事履行职责的其他说明</w:t>
      </w:r>
      <w:bookmarkEnd w:id="531"/>
      <w:bookmarkEnd w:id="532"/>
      <w:bookmarkEnd w:id="534"/>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V是口否</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独立董事对公司有关建议被采纳或未被采纳的说明</w:t>
      </w:r>
    </w:p>
    <w:p>
      <w:pPr>
        <w:pStyle w:val="Style35"/>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 xml:space="preserve">公司独立董事根据《公司法》、《证券法》、《公司章程》和《独立董事工作制度》等法律法规的规定，关注公司运作的规 </w:t>
      </w:r>
      <w:r>
        <w:rPr>
          <w:color w:val="000000"/>
          <w:spacing w:val="0"/>
          <w:w w:val="100"/>
          <w:position w:val="0"/>
        </w:rPr>
        <w:t>范性，独立履行职责，对公司的制度完善和日常经营决策等方面提出了许多宝贵的专业性意见，对报告期内公司发生的聘请 年度报告审计机构、关联交易、对外担保、聘任高级管理人员等需要独立董事发表意见的事项出具了独立、公正的独立董事 意见，为完善公司监督机制，维护公司和全体股东的合法权益发挥了应有的作用。</w:t>
      </w:r>
    </w:p>
    <w:p>
      <w:pPr>
        <w:pStyle w:val="Style31"/>
        <w:keepNext/>
        <w:keepLines/>
        <w:widowControl w:val="0"/>
        <w:shd w:val="clear" w:color="auto" w:fill="auto"/>
        <w:tabs>
          <w:tab w:pos="609" w:val="left"/>
        </w:tabs>
        <w:bidi w:val="0"/>
        <w:spacing w:before="0" w:after="360" w:line="240" w:lineRule="auto"/>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w:t>
        <w:tab/>
        <w:t>董事会下设专门委员会在报告期内履行职责情况</w:t>
      </w:r>
      <w:bookmarkEnd w:id="535"/>
      <w:bookmarkEnd w:id="536"/>
      <w:bookmarkEnd w:id="538"/>
    </w:p>
    <w:p>
      <w:pPr>
        <w:pStyle w:val="Style35"/>
        <w:keepNext w:val="0"/>
        <w:keepLines w:val="0"/>
        <w:widowControl w:val="0"/>
        <w:shd w:val="clear" w:color="auto" w:fill="auto"/>
        <w:tabs>
          <w:tab w:pos="697" w:val="left"/>
        </w:tabs>
        <w:bidi w:val="0"/>
        <w:spacing w:before="0" w:after="0"/>
        <w:ind w:left="0" w:right="0"/>
        <w:jc w:val="both"/>
      </w:pPr>
      <w:bookmarkStart w:id="539" w:name="bookmark539"/>
      <w:r>
        <w:rPr>
          <w:rFonts w:ascii="Times New Roman" w:eastAsia="Times New Roman" w:hAnsi="Times New Roman" w:cs="Times New Roman"/>
          <w:color w:val="000000"/>
          <w:spacing w:val="0"/>
          <w:w w:val="100"/>
          <w:position w:val="0"/>
        </w:rPr>
        <w:t>1</w:t>
      </w:r>
      <w:bookmarkEnd w:id="539"/>
      <w:r>
        <w:rPr>
          <w:color w:val="000000"/>
          <w:spacing w:val="0"/>
          <w:w w:val="100"/>
          <w:position w:val="0"/>
        </w:rPr>
        <w:t>、</w:t>
        <w:tab/>
        <w:t>审计委员会</w:t>
      </w:r>
    </w:p>
    <w:p>
      <w:pPr>
        <w:pStyle w:val="Style35"/>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年董事会审计委员会共召开了 </w:t>
      </w:r>
      <w:r>
        <w:rPr>
          <w:rFonts w:ascii="Times New Roman" w:eastAsia="Times New Roman" w:hAnsi="Times New Roman" w:cs="Times New Roman"/>
          <w:color w:val="000000"/>
          <w:spacing w:val="0"/>
          <w:w w:val="100"/>
          <w:position w:val="0"/>
        </w:rPr>
        <w:t>7</w:t>
      </w:r>
      <w:r>
        <w:rPr>
          <w:color w:val="000000"/>
          <w:spacing w:val="0"/>
          <w:w w:val="100"/>
          <w:position w:val="0"/>
        </w:rPr>
        <w:t>次会议，严格按照《审计委员会工作细则》开展各项工作，对公司审计部提交的季 度经营审计报告、年度内部控制自我评价报告、内部审计工作计划、外部审计机构的工作总结报告、续聘会计师事务所等事 项进行审议，对相关事项讨论后，形成决议提交公司董事会进行审议；对内部控制的实施情况进行监督；严格按照《董事会 审计委员会年报工作规程》对年审会计师完成审计工作情况及其执业质量进行全面客观的评价，提高年报的披露质量。</w:t>
      </w:r>
    </w:p>
    <w:p>
      <w:pPr>
        <w:pStyle w:val="Style35"/>
        <w:keepNext w:val="0"/>
        <w:keepLines w:val="0"/>
        <w:widowControl w:val="0"/>
        <w:shd w:val="clear" w:color="auto" w:fill="auto"/>
        <w:tabs>
          <w:tab w:pos="717" w:val="left"/>
        </w:tabs>
        <w:bidi w:val="0"/>
        <w:spacing w:before="0" w:after="0"/>
        <w:ind w:left="0" w:right="0"/>
        <w:jc w:val="both"/>
      </w:pPr>
      <w:bookmarkStart w:id="540" w:name="bookmark540"/>
      <w:r>
        <w:rPr>
          <w:rFonts w:ascii="Times New Roman" w:eastAsia="Times New Roman" w:hAnsi="Times New Roman" w:cs="Times New Roman"/>
          <w:color w:val="000000"/>
          <w:spacing w:val="0"/>
          <w:w w:val="100"/>
          <w:position w:val="0"/>
        </w:rPr>
        <w:t>2</w:t>
      </w:r>
      <w:bookmarkEnd w:id="540"/>
      <w:r>
        <w:rPr>
          <w:color w:val="000000"/>
          <w:spacing w:val="0"/>
          <w:w w:val="100"/>
          <w:position w:val="0"/>
        </w:rPr>
        <w:t>、</w:t>
        <w:tab/>
        <w:t>薪酬与考核委员会</w:t>
      </w:r>
    </w:p>
    <w:p>
      <w:pPr>
        <w:pStyle w:val="Style35"/>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年董事会薪酬与考核委员会召开了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次会议，修订了《高管层年度业绩考核与薪酬管理办法》并对公司高级管理人 员进行考核，确定其</w:t>
      </w:r>
      <w:r>
        <w:rPr>
          <w:rFonts w:ascii="Times New Roman" w:eastAsia="Times New Roman" w:hAnsi="Times New Roman" w:cs="Times New Roman"/>
          <w:color w:val="000000"/>
          <w:spacing w:val="0"/>
          <w:w w:val="100"/>
          <w:position w:val="0"/>
        </w:rPr>
        <w:t>2012</w:t>
      </w:r>
      <w:r>
        <w:rPr>
          <w:color w:val="000000"/>
          <w:spacing w:val="0"/>
          <w:w w:val="100"/>
          <w:position w:val="0"/>
        </w:rPr>
        <w:t>年薪酬及</w:t>
      </w:r>
      <w:r>
        <w:rPr>
          <w:rFonts w:ascii="Times New Roman" w:eastAsia="Times New Roman" w:hAnsi="Times New Roman" w:cs="Times New Roman"/>
          <w:color w:val="000000"/>
          <w:spacing w:val="0"/>
          <w:w w:val="100"/>
          <w:position w:val="0"/>
        </w:rPr>
        <w:t>2013</w:t>
      </w:r>
      <w:r>
        <w:rPr>
          <w:color w:val="000000"/>
          <w:spacing w:val="0"/>
          <w:w w:val="100"/>
          <w:position w:val="0"/>
        </w:rPr>
        <w:t>年度考核目标，并形成议案提交董事会审议。</w:t>
      </w:r>
    </w:p>
    <w:p>
      <w:pPr>
        <w:pStyle w:val="Style35"/>
        <w:keepNext w:val="0"/>
        <w:keepLines w:val="0"/>
        <w:widowControl w:val="0"/>
        <w:shd w:val="clear" w:color="auto" w:fill="auto"/>
        <w:tabs>
          <w:tab w:pos="717" w:val="left"/>
        </w:tabs>
        <w:bidi w:val="0"/>
        <w:spacing w:before="0" w:after="0"/>
        <w:ind w:left="0" w:right="0"/>
        <w:jc w:val="both"/>
      </w:pPr>
      <w:bookmarkStart w:id="541" w:name="bookmark541"/>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提名委员会</w:t>
      </w:r>
    </w:p>
    <w:p>
      <w:pPr>
        <w:pStyle w:val="Style35"/>
        <w:keepNext w:val="0"/>
        <w:keepLines w:val="0"/>
        <w:widowControl w:val="0"/>
        <w:shd w:val="clear" w:color="auto" w:fill="auto"/>
        <w:bidi w:val="0"/>
        <w:spacing w:before="0" w:after="360" w:line="319"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年董事会提名委员会召开了 </w:t>
      </w:r>
      <w:r>
        <w:rPr>
          <w:rFonts w:ascii="Times New Roman" w:eastAsia="Times New Roman" w:hAnsi="Times New Roman" w:cs="Times New Roman"/>
          <w:color w:val="000000"/>
          <w:spacing w:val="0"/>
          <w:w w:val="100"/>
          <w:position w:val="0"/>
        </w:rPr>
        <w:t>1</w:t>
      </w:r>
      <w:r>
        <w:rPr>
          <w:color w:val="000000"/>
          <w:spacing w:val="0"/>
          <w:w w:val="100"/>
          <w:position w:val="0"/>
        </w:rPr>
        <w:t>次会议，拟提名张宗贵先生为公司独立董事候选人，拟聘任蒋春晨先生为公司副总经 理。提名委员会委员对上述人选的教育背景、任职经历、专业能力和职业素养等方面进行了审查，审议通过了《关于增补张 宗贵先生为公司独立董事的议案》、《关于聘任蒋春晨先生为公司副总经理的议案》，并形成议案提交董事会进行审议。</w:t>
      </w:r>
    </w:p>
    <w:p>
      <w:pPr>
        <w:pStyle w:val="Style31"/>
        <w:keepNext/>
        <w:keepLines/>
        <w:widowControl w:val="0"/>
        <w:shd w:val="clear" w:color="auto" w:fill="auto"/>
        <w:tabs>
          <w:tab w:pos="609" w:val="left"/>
        </w:tabs>
        <w:bidi w:val="0"/>
        <w:spacing w:before="0" w:after="26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五</w:t>
      </w:r>
      <w:bookmarkEnd w:id="544"/>
      <w:r>
        <w:rPr>
          <w:color w:val="000000"/>
          <w:spacing w:val="0"/>
          <w:w w:val="100"/>
          <w:position w:val="0"/>
          <w:sz w:val="24"/>
          <w:szCs w:val="24"/>
        </w:rPr>
        <w:t>、</w:t>
        <w:tab/>
        <w:t>监事会工作情况</w:t>
      </w:r>
      <w:bookmarkEnd w:id="542"/>
      <w:bookmarkEnd w:id="543"/>
      <w:bookmarkEnd w:id="545"/>
    </w:p>
    <w:p>
      <w:pPr>
        <w:pStyle w:val="Style35"/>
        <w:keepNext w:val="0"/>
        <w:keepLines w:val="0"/>
        <w:widowControl w:val="0"/>
        <w:shd w:val="clear" w:color="auto" w:fill="auto"/>
        <w:bidi w:val="0"/>
        <w:spacing w:before="0" w:after="0" w:line="316" w:lineRule="exact"/>
        <w:ind w:left="0" w:right="0" w:firstLine="0"/>
        <w:jc w:val="left"/>
      </w:pPr>
      <w:r>
        <w:rPr>
          <w:color w:val="000000"/>
          <w:spacing w:val="0"/>
          <w:w w:val="100"/>
          <w:position w:val="0"/>
        </w:rPr>
        <w:t>监事会在报告期内的监督活动中发现公司是否存在风险</w:t>
      </w:r>
    </w:p>
    <w:p>
      <w:pPr>
        <w:pStyle w:val="Style35"/>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after="360" w:line="316" w:lineRule="exact"/>
        <w:ind w:left="0" w:right="0" w:firstLine="0"/>
        <w:jc w:val="left"/>
      </w:pPr>
      <w:r>
        <w:rPr>
          <w:color w:val="000000"/>
          <w:spacing w:val="0"/>
          <w:w w:val="100"/>
          <w:position w:val="0"/>
        </w:rPr>
        <w:t>监事会对报告期内的监督事项无异议。</w:t>
      </w:r>
    </w:p>
    <w:p>
      <w:pPr>
        <w:pStyle w:val="Style31"/>
        <w:keepNext/>
        <w:keepLines/>
        <w:widowControl w:val="0"/>
        <w:shd w:val="clear" w:color="auto" w:fill="auto"/>
        <w:tabs>
          <w:tab w:pos="609"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六</w:t>
      </w:r>
      <w:bookmarkEnd w:id="548"/>
      <w:r>
        <w:rPr>
          <w:color w:val="000000"/>
          <w:spacing w:val="0"/>
          <w:w w:val="100"/>
          <w:position w:val="0"/>
          <w:sz w:val="24"/>
          <w:szCs w:val="24"/>
        </w:rPr>
        <w:t>、</w:t>
        <w:tab/>
        <w:t>公司相对于控股股东在业务、人员、资产、机构、财务等方面的独立完整情况</w:t>
      </w:r>
      <w:bookmarkEnd w:id="546"/>
      <w:bookmarkEnd w:id="547"/>
      <w:bookmarkEnd w:id="549"/>
    </w:p>
    <w:p>
      <w:pPr>
        <w:pStyle w:val="Style35"/>
        <w:keepNext w:val="0"/>
        <w:keepLines w:val="0"/>
        <w:widowControl w:val="0"/>
        <w:shd w:val="clear" w:color="auto" w:fill="auto"/>
        <w:bidi w:val="0"/>
        <w:spacing w:before="0" w:after="0" w:line="316" w:lineRule="exact"/>
        <w:ind w:left="0" w:right="0"/>
        <w:jc w:val="both"/>
      </w:pPr>
      <w:r>
        <w:rPr>
          <w:color w:val="000000"/>
          <w:spacing w:val="0"/>
          <w:w w:val="100"/>
          <w:position w:val="0"/>
        </w:rPr>
        <w:t>报告期内，公司与控股股东在业务、人员、资产、机构、财务等方面完全分开，具有独立完整的业务及自主经营能力。</w:t>
      </w:r>
    </w:p>
    <w:p>
      <w:pPr>
        <w:pStyle w:val="Style35"/>
        <w:keepNext w:val="0"/>
        <w:keepLines w:val="0"/>
        <w:widowControl w:val="0"/>
        <w:shd w:val="clear" w:color="auto" w:fill="auto"/>
        <w:tabs>
          <w:tab w:pos="687" w:val="left"/>
        </w:tabs>
        <w:bidi w:val="0"/>
        <w:spacing w:before="0" w:after="0" w:line="336" w:lineRule="exact"/>
        <w:ind w:left="0" w:right="0"/>
        <w:jc w:val="left"/>
      </w:pPr>
      <w:bookmarkStart w:id="550" w:name="bookmark550"/>
      <w:r>
        <w:rPr>
          <w:rFonts w:ascii="Times New Roman" w:eastAsia="Times New Roman" w:hAnsi="Times New Roman" w:cs="Times New Roman"/>
          <w:color w:val="000000"/>
          <w:spacing w:val="0"/>
          <w:w w:val="100"/>
          <w:position w:val="0"/>
        </w:rPr>
        <w:t>1</w:t>
      </w:r>
      <w:bookmarkEnd w:id="550"/>
      <w:r>
        <w:rPr>
          <w:color w:val="000000"/>
          <w:spacing w:val="0"/>
          <w:w w:val="100"/>
          <w:position w:val="0"/>
        </w:rPr>
        <w:t>、</w:t>
        <w:tab/>
        <w:t>业务独立情况：公司业务独立于控股股东、实际控制人及其控制的其他企业，拥有独立完整的供应、生产和销售 系统，独立开展业务，不依赖于股东或其它任何关联方，与控股股东、实际控制人及其控制的其他企业不存在同业竞争或者 显失公平的关联交易。</w:t>
      </w:r>
    </w:p>
    <w:p>
      <w:pPr>
        <w:pStyle w:val="Style35"/>
        <w:keepNext w:val="0"/>
        <w:keepLines w:val="0"/>
        <w:widowControl w:val="0"/>
        <w:shd w:val="clear" w:color="auto" w:fill="auto"/>
        <w:tabs>
          <w:tab w:pos="692" w:val="left"/>
        </w:tabs>
        <w:bidi w:val="0"/>
        <w:spacing w:before="0" w:after="0" w:line="315" w:lineRule="exact"/>
        <w:ind w:left="0" w:right="0"/>
        <w:jc w:val="left"/>
      </w:pPr>
      <w:bookmarkStart w:id="551" w:name="bookmark551"/>
      <w:r>
        <w:rPr>
          <w:rFonts w:ascii="Times New Roman" w:eastAsia="Times New Roman" w:hAnsi="Times New Roman" w:cs="Times New Roman"/>
          <w:color w:val="000000"/>
          <w:spacing w:val="0"/>
          <w:w w:val="100"/>
          <w:position w:val="0"/>
        </w:rPr>
        <w:t>2</w:t>
      </w:r>
      <w:bookmarkEnd w:id="551"/>
      <w:r>
        <w:rPr>
          <w:color w:val="000000"/>
          <w:spacing w:val="0"/>
          <w:w w:val="100"/>
          <w:position w:val="0"/>
        </w:rPr>
        <w:t>、</w:t>
        <w:tab/>
        <w:t>人员独立情况：公司人员、劳动、人事及工资关系完全独立。公司拥有独立的员工队伍，并已建立完善的劳动用工 和人事管理制度，拥有独立的劳动用工权利，不存在受控股股东干涉的现象。公司总经理、副总经理和其他高级管理人员以 及核心技术人员等均专职在本公司及控股子公司工作并领取薪酬，未在控股股东、实际控制人及其控制的其他企业中担任其 他职务或领取薪酬。</w:t>
      </w:r>
    </w:p>
    <w:p>
      <w:pPr>
        <w:pStyle w:val="Style35"/>
        <w:keepNext w:val="0"/>
        <w:keepLines w:val="0"/>
        <w:widowControl w:val="0"/>
        <w:shd w:val="clear" w:color="auto" w:fill="auto"/>
        <w:tabs>
          <w:tab w:pos="701" w:val="left"/>
        </w:tabs>
        <w:bidi w:val="0"/>
        <w:spacing w:before="0" w:line="313" w:lineRule="exact"/>
        <w:ind w:left="0" w:right="0"/>
        <w:jc w:val="left"/>
      </w:pPr>
      <w:bookmarkStart w:id="552" w:name="bookmark552"/>
      <w:r>
        <w:rPr>
          <w:rFonts w:ascii="Times New Roman" w:eastAsia="Times New Roman" w:hAnsi="Times New Roman" w:cs="Times New Roman"/>
          <w:color w:val="000000"/>
          <w:spacing w:val="0"/>
          <w:w w:val="100"/>
          <w:position w:val="0"/>
        </w:rPr>
        <w:t>3</w:t>
      </w:r>
      <w:bookmarkEnd w:id="552"/>
      <w:r>
        <w:rPr>
          <w:color w:val="000000"/>
          <w:spacing w:val="0"/>
          <w:w w:val="100"/>
          <w:position w:val="0"/>
        </w:rPr>
        <w:t>、</w:t>
        <w:tab/>
        <w:t>资产独立情况：随着募集资金项目全部竣工投入使用，公司拥有独立于控股股东的生产经营场所，拥有独立完整的 资产结构，拥有独立的生产系统、辅助生产系统和配套设施、土地使用权、房屋所有权等资产，拥有独立的采购和销售系统, 对所有资产拥有完全的控制支配权。另外，公司全资子公司深圳银通根据经营需要目前仍向公司控股股东广电集团租赁部分 办公场地，深圳银通就房屋租赁事宜与广电集团签署了相关协议并经公司董事会批准，价格公允合理，权利义务明确。公司 不存在资产、资金被控股股东、实际控制人及其控制的其他企业违规占用而损害公司利益的情况；不存在以承包、委托经营、 租赁或其他类似方式，依赖股东单位及其他关联方进行生产经营的情况。</w:t>
      </w:r>
    </w:p>
    <w:p>
      <w:pPr>
        <w:pStyle w:val="Style35"/>
        <w:keepNext w:val="0"/>
        <w:keepLines w:val="0"/>
        <w:widowControl w:val="0"/>
        <w:shd w:val="clear" w:color="auto" w:fill="auto"/>
        <w:tabs>
          <w:tab w:pos="337" w:val="left"/>
        </w:tabs>
        <w:bidi w:val="0"/>
        <w:spacing w:before="0" w:after="0"/>
        <w:ind w:left="0" w:right="0"/>
        <w:jc w:val="left"/>
      </w:pPr>
      <w:bookmarkStart w:id="553" w:name="bookmark553"/>
      <w:r>
        <w:rPr>
          <w:rFonts w:ascii="Times New Roman" w:eastAsia="Times New Roman" w:hAnsi="Times New Roman" w:cs="Times New Roman"/>
          <w:color w:val="000000"/>
          <w:spacing w:val="0"/>
          <w:w w:val="100"/>
          <w:position w:val="0"/>
        </w:rPr>
        <w:t>4</w:t>
      </w:r>
      <w:bookmarkEnd w:id="553"/>
      <w:r>
        <w:rPr>
          <w:color w:val="000000"/>
          <w:spacing w:val="0"/>
          <w:w w:val="100"/>
          <w:position w:val="0"/>
        </w:rPr>
        <w:t>、</w:t>
        <w:tab/>
        <w:t xml:space="preserve">财务独立情况：公司设有独立的财务会计部门，配备独立的财务会计人员，建立了独立的会计核算体系和财务管理 </w:t>
      </w:r>
      <w:r>
        <w:rPr>
          <w:color w:val="000000"/>
          <w:spacing w:val="0"/>
          <w:w w:val="100"/>
          <w:position w:val="0"/>
        </w:rPr>
        <w:t>制度，独立进行财务决策，并严格实施内部审计制度；公司开设了独立银行账户，依法独立纳税。</w:t>
      </w:r>
    </w:p>
    <w:p>
      <w:pPr>
        <w:pStyle w:val="Style35"/>
        <w:keepNext w:val="0"/>
        <w:keepLines w:val="0"/>
        <w:widowControl w:val="0"/>
        <w:shd w:val="clear" w:color="auto" w:fill="auto"/>
        <w:bidi w:val="0"/>
        <w:spacing w:before="0" w:after="0" w:line="322" w:lineRule="exact"/>
        <w:ind w:left="0" w:right="0"/>
        <w:jc w:val="both"/>
      </w:pPr>
      <w:bookmarkStart w:id="554" w:name="bookmark554"/>
      <w:r>
        <w:rPr>
          <w:rFonts w:ascii="Times New Roman" w:eastAsia="Times New Roman" w:hAnsi="Times New Roman" w:cs="Times New Roman"/>
          <w:color w:val="000000"/>
          <w:spacing w:val="0"/>
          <w:w w:val="100"/>
          <w:position w:val="0"/>
        </w:rPr>
        <w:t>5</w:t>
      </w:r>
      <w:bookmarkEnd w:id="554"/>
      <w:r>
        <w:rPr>
          <w:color w:val="000000"/>
          <w:spacing w:val="0"/>
          <w:w w:val="100"/>
          <w:position w:val="0"/>
        </w:rPr>
        <w:t>、机构独立情况：公司建立了健全的法人治理机构，公司根据《公司法》和《公司章程》及其他有关法律法规的规定， 设立了股东大会、董事会、监事会以及经营管理层，并制定了相关议事规则和工作细则。</w:t>
      </w:r>
    </w:p>
    <w:p>
      <w:pPr>
        <w:pStyle w:val="Style35"/>
        <w:keepNext w:val="0"/>
        <w:keepLines w:val="0"/>
        <w:widowControl w:val="0"/>
        <w:shd w:val="clear" w:color="auto" w:fill="auto"/>
        <w:bidi w:val="0"/>
        <w:spacing w:before="0" w:after="360" w:line="312" w:lineRule="exact"/>
        <w:ind w:left="0" w:right="0"/>
        <w:jc w:val="both"/>
      </w:pPr>
      <w:r>
        <w:rPr>
          <w:color w:val="000000"/>
          <w:spacing w:val="0"/>
          <w:w w:val="100"/>
          <w:position w:val="0"/>
        </w:rPr>
        <w:t>公司已经按照法律、法规的规定和公司的实际情况设置了公司的组织机构，独立于控股股东和其他关联方，具有健全的 内部经营管理机构，独立行使经营管理职权，公司及其职能部门与控股股东及其职能部门之间不存在上下级关系，不存在与 控股股东及其下属企业机构混同或从属的情形。</w:t>
      </w:r>
    </w:p>
    <w:p>
      <w:pPr>
        <w:pStyle w:val="Style31"/>
        <w:keepNext/>
        <w:keepLines/>
        <w:widowControl w:val="0"/>
        <w:shd w:val="clear" w:color="auto" w:fill="auto"/>
        <w:tabs>
          <w:tab w:pos="525" w:val="left"/>
        </w:tabs>
        <w:bidi w:val="0"/>
        <w:spacing w:before="0" w:after="26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七</w:t>
      </w:r>
      <w:bookmarkEnd w:id="557"/>
      <w:r>
        <w:rPr>
          <w:color w:val="000000"/>
          <w:spacing w:val="0"/>
          <w:w w:val="100"/>
          <w:position w:val="0"/>
          <w:sz w:val="24"/>
          <w:szCs w:val="24"/>
        </w:rPr>
        <w:t>、</w:t>
        <w:tab/>
        <w:t>同业竞争情况</w:t>
      </w:r>
      <w:bookmarkEnd w:id="555"/>
      <w:bookmarkEnd w:id="556"/>
      <w:bookmarkEnd w:id="558"/>
    </w:p>
    <w:p>
      <w:pPr>
        <w:pStyle w:val="Style35"/>
        <w:keepNext w:val="0"/>
        <w:keepLines w:val="0"/>
        <w:widowControl w:val="0"/>
        <w:shd w:val="clear" w:color="auto" w:fill="auto"/>
        <w:bidi w:val="0"/>
        <w:spacing w:before="0" w:after="360" w:line="312" w:lineRule="exact"/>
        <w:ind w:left="0" w:right="0"/>
        <w:jc w:val="left"/>
      </w:pPr>
      <w:r>
        <w:rPr>
          <w:color w:val="000000"/>
          <w:spacing w:val="0"/>
          <w:w w:val="100"/>
          <w:position w:val="0"/>
        </w:rPr>
        <w:t>公司控股股东广电集团及其下属核心企业与公司不存在从事相同、相似业务的情况，与公司不构成同业竞争。</w:t>
      </w:r>
    </w:p>
    <w:p>
      <w:pPr>
        <w:pStyle w:val="Style31"/>
        <w:keepNext/>
        <w:keepLines/>
        <w:widowControl w:val="0"/>
        <w:shd w:val="clear" w:color="auto" w:fill="auto"/>
        <w:tabs>
          <w:tab w:pos="525" w:val="left"/>
        </w:tabs>
        <w:bidi w:val="0"/>
        <w:spacing w:before="0" w:after="26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sz w:val="24"/>
          <w:szCs w:val="24"/>
        </w:rPr>
        <w:t>八</w:t>
      </w:r>
      <w:bookmarkEnd w:id="561"/>
      <w:r>
        <w:rPr>
          <w:color w:val="000000"/>
          <w:spacing w:val="0"/>
          <w:w w:val="100"/>
          <w:position w:val="0"/>
          <w:sz w:val="24"/>
          <w:szCs w:val="24"/>
        </w:rPr>
        <w:t>、</w:t>
        <w:tab/>
        <w:t>高级管理人员的考评及激励情况</w:t>
      </w:r>
      <w:bookmarkEnd w:id="559"/>
      <w:bookmarkEnd w:id="560"/>
      <w:bookmarkEnd w:id="562"/>
    </w:p>
    <w:p>
      <w:pPr>
        <w:pStyle w:val="Style35"/>
        <w:keepNext w:val="0"/>
        <w:keepLines w:val="0"/>
        <w:widowControl w:val="0"/>
        <w:shd w:val="clear" w:color="auto" w:fill="auto"/>
        <w:bidi w:val="0"/>
        <w:spacing w:before="0" w:after="260" w:line="312" w:lineRule="exact"/>
        <w:ind w:left="0" w:right="0"/>
        <w:jc w:val="both"/>
        <w:sectPr>
          <w:footnotePr>
            <w:pos w:val="pageBottom"/>
            <w:numFmt w:val="decimal"/>
            <w:numRestart w:val="continuous"/>
          </w:footnotePr>
          <w:pgSz w:w="11900" w:h="16840"/>
          <w:pgMar w:top="1388" w:right="994" w:bottom="1854" w:left="1046" w:header="0" w:footer="3" w:gutter="0"/>
          <w:cols w:space="720"/>
          <w:noEndnote/>
          <w:rtlGutter w:val="0"/>
          <w:docGrid w:linePitch="360"/>
        </w:sectPr>
      </w:pPr>
      <w:r>
        <w:rPr>
          <w:color w:val="000000"/>
          <w:spacing w:val="0"/>
          <w:w w:val="100"/>
          <w:position w:val="0"/>
        </w:rPr>
        <w:t>公司建立健全了高级管理人员绩效考评体系、薪酬制度以及《高管层年度业绩考核与薪酬管理办法》。公司高级管理人 员的工作绩效与其收入直接挂钩，每年年初，公司与高管层分别签订年度经营责任书，落实有关考核指标及相关事项。在年 度结束后，由董事会薪酬与考核委员会负责按量化考核指标，对高管责任目标完成情况进行考评，制定薪酬方案报公司董事 会审批。公司目前还没有实施股权激励。</w:t>
      </w:r>
    </w:p>
    <w:p>
      <w:pPr>
        <w:pStyle w:val="Style20"/>
        <w:keepNext/>
        <w:keepLines/>
        <w:widowControl w:val="0"/>
        <w:shd w:val="clear" w:color="auto" w:fill="auto"/>
        <w:bidi w:val="0"/>
        <w:spacing w:before="480" w:after="540" w:line="240" w:lineRule="auto"/>
        <w:ind w:left="0" w:right="0" w:firstLine="0"/>
        <w:jc w:val="center"/>
      </w:pPr>
      <w:bookmarkStart w:id="563" w:name="bookmark563"/>
      <w:bookmarkStart w:id="564" w:name="bookmark564"/>
      <w:bookmarkStart w:id="565" w:name="bookmark565"/>
      <w:r>
        <w:rPr>
          <w:color w:val="000000"/>
          <w:spacing w:val="0"/>
          <w:w w:val="100"/>
          <w:position w:val="0"/>
        </w:rPr>
        <w:t>第九节内部控制</w:t>
      </w:r>
      <w:bookmarkEnd w:id="563"/>
      <w:bookmarkEnd w:id="564"/>
      <w:bookmarkEnd w:id="565"/>
    </w:p>
    <w:p>
      <w:pPr>
        <w:pStyle w:val="Style31"/>
        <w:keepNext/>
        <w:keepLines/>
        <w:widowControl w:val="0"/>
        <w:shd w:val="clear" w:color="auto" w:fill="auto"/>
        <w:tabs>
          <w:tab w:pos="493" w:val="left"/>
        </w:tabs>
        <w:bidi w:val="0"/>
        <w:spacing w:before="0" w:after="240" w:line="240" w:lineRule="auto"/>
        <w:ind w:left="0" w:right="0" w:firstLine="0"/>
        <w:jc w:val="left"/>
      </w:pPr>
      <w:bookmarkStart w:id="566" w:name="bookmark566"/>
      <w:bookmarkStart w:id="567" w:name="bookmark567"/>
      <w:bookmarkStart w:id="568" w:name="bookmark568"/>
      <w:bookmarkStart w:id="569" w:name="bookmark569"/>
      <w:bookmarkStart w:id="570" w:name="bookmark570"/>
      <w:r>
        <w:rPr>
          <w:color w:val="000000"/>
          <w:spacing w:val="0"/>
          <w:w w:val="100"/>
          <w:position w:val="0"/>
          <w:sz w:val="24"/>
          <w:szCs w:val="24"/>
        </w:rPr>
        <w:t>一</w:t>
      </w:r>
      <w:bookmarkEnd w:id="569"/>
      <w:r>
        <w:rPr>
          <w:color w:val="000000"/>
          <w:spacing w:val="0"/>
          <w:w w:val="100"/>
          <w:position w:val="0"/>
          <w:sz w:val="24"/>
          <w:szCs w:val="24"/>
        </w:rPr>
        <w:t>、</w:t>
        <w:tab/>
        <w:t>内部控制建设情况</w:t>
      </w:r>
      <w:bookmarkEnd w:id="567"/>
      <w:bookmarkEnd w:id="568"/>
      <w:bookmarkEnd w:id="570"/>
      <w:bookmarkEnd w:id="566"/>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为规范经营管理，控制风险，保证经营业务活动的正常开展，公司根据《公司法》、《证券法》、《企业内部控制基本规范》 等有关法律、法规和规章制度，结合公司的实际情况、自身特点和管理需要，制定了贯穿于公司经营管理各层面、各环节的 内部控制体系，特别是与财务报告相关的内部控制制度，对关联交易、对外担保、风险投资等方面制定专门制度进行防范控 制，并及时根据最新的法律、法规不断完善、不断健全内部控制体系，强化对内控制度的检查，有效防控了经营决策及管理 风险，确保了公司的稳健经营。公司内部控制体系具备了较好的完整性、合理性和有效性。</w:t>
      </w:r>
    </w:p>
    <w:p>
      <w:pPr>
        <w:pStyle w:val="Style31"/>
        <w:keepNext/>
        <w:keepLines/>
        <w:widowControl w:val="0"/>
        <w:shd w:val="clear" w:color="auto" w:fill="auto"/>
        <w:tabs>
          <w:tab w:pos="493" w:val="left"/>
        </w:tabs>
        <w:bidi w:val="0"/>
        <w:spacing w:before="0" w:after="24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二</w:t>
      </w:r>
      <w:bookmarkEnd w:id="573"/>
      <w:r>
        <w:rPr>
          <w:color w:val="000000"/>
          <w:spacing w:val="0"/>
          <w:w w:val="100"/>
          <w:position w:val="0"/>
          <w:sz w:val="24"/>
          <w:szCs w:val="24"/>
        </w:rPr>
        <w:t>、</w:t>
        <w:tab/>
        <w:t>董事会关于内部控制责任的声明</w:t>
      </w:r>
      <w:bookmarkEnd w:id="571"/>
      <w:bookmarkEnd w:id="572"/>
      <w:bookmarkEnd w:id="574"/>
    </w:p>
    <w:p>
      <w:pPr>
        <w:pStyle w:val="Style35"/>
        <w:keepNext w:val="0"/>
        <w:keepLines w:val="0"/>
        <w:widowControl w:val="0"/>
        <w:shd w:val="clear" w:color="auto" w:fill="auto"/>
        <w:bidi w:val="0"/>
        <w:spacing w:before="0" w:after="0" w:line="314" w:lineRule="exact"/>
        <w:ind w:left="0" w:right="0"/>
        <w:jc w:val="both"/>
      </w:pPr>
      <w:r>
        <w:rPr>
          <w:color w:val="000000"/>
          <w:spacing w:val="0"/>
          <w:w w:val="100"/>
          <w:position w:val="0"/>
        </w:rPr>
        <w:t>按照《企业内部控制基本规范》的规定，建立健全和有效实施内部控制，评价其有效性，并如实披露内部控制评价报告 是公司董事会的责任。监事会对董事会建立和实施内部控制进行监督。管理层负责组织领导公司内部控制的日常运行。公司 董事会、监事会及董事、监事、高级管理人员保证内部控制自我评价报告内容不存在任何虚假记载、误导性陈述或重大遗漏， 并对报告的真实性、准确性和完整性承担个别及连带法律责任。</w:t>
      </w:r>
    </w:p>
    <w:p>
      <w:pPr>
        <w:pStyle w:val="Style35"/>
        <w:keepNext w:val="0"/>
        <w:keepLines w:val="0"/>
        <w:widowControl w:val="0"/>
        <w:shd w:val="clear" w:color="auto" w:fill="auto"/>
        <w:bidi w:val="0"/>
        <w:spacing w:before="0" w:after="360" w:line="314" w:lineRule="exact"/>
        <w:ind w:left="0" w:right="0"/>
        <w:jc w:val="both"/>
      </w:pPr>
      <w:r>
        <w:rPr>
          <w:color w:val="000000"/>
          <w:spacing w:val="0"/>
          <w:w w:val="100"/>
          <w:position w:val="0"/>
        </w:rPr>
        <w:t>公司内部控制的目标是通过建立和不断完善内部控制体系，合理保证企业经营管理合法合规、资产安全、财务报告及相 关信息真实完整，提高经营效率和效果，最终促进企业发展战略的实现。由于内部控制固有的局限性，故仅能为实现上述目 标提供合理保证。此外，由于情况的变化可能导致内部控制变得不恰当，或对控制政策和程序遵循的程度降低，根据内部控 制评价结果推测未来内部控制的有效性具有一定的风险。</w:t>
      </w:r>
    </w:p>
    <w:p>
      <w:pPr>
        <w:pStyle w:val="Style31"/>
        <w:keepNext/>
        <w:keepLines/>
        <w:widowControl w:val="0"/>
        <w:shd w:val="clear" w:color="auto" w:fill="auto"/>
        <w:tabs>
          <w:tab w:pos="497" w:val="left"/>
        </w:tabs>
        <w:bidi w:val="0"/>
        <w:spacing w:before="0" w:after="24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三</w:t>
      </w:r>
      <w:bookmarkEnd w:id="577"/>
      <w:r>
        <w:rPr>
          <w:color w:val="000000"/>
          <w:spacing w:val="0"/>
          <w:w w:val="100"/>
          <w:position w:val="0"/>
          <w:sz w:val="24"/>
          <w:szCs w:val="24"/>
        </w:rPr>
        <w:t>、</w:t>
        <w:tab/>
        <w:t>建立财务报告内部控制的依据</w:t>
      </w:r>
      <w:bookmarkEnd w:id="575"/>
      <w:bookmarkEnd w:id="576"/>
      <w:bookmarkEnd w:id="578"/>
    </w:p>
    <w:p>
      <w:pPr>
        <w:pStyle w:val="Style35"/>
        <w:keepNext w:val="0"/>
        <w:keepLines w:val="0"/>
        <w:widowControl w:val="0"/>
        <w:shd w:val="clear" w:color="auto" w:fill="auto"/>
        <w:bidi w:val="0"/>
        <w:spacing w:before="0" w:after="360" w:line="310" w:lineRule="exact"/>
        <w:ind w:left="0" w:right="0"/>
        <w:jc w:val="both"/>
      </w:pPr>
      <w:r>
        <w:rPr>
          <w:color w:val="000000"/>
          <w:spacing w:val="0"/>
          <w:w w:val="100"/>
          <w:position w:val="0"/>
        </w:rPr>
        <w:t>公司根据《会计法》及财政部颁布的各项会计准则建立了完备的会计核算体系，并建立健全了关于财务会计核算方面的 内部控制制度。公司财务部负责公司财务工作和指导监督各子公司的财务工作，在货币资金、采购、生产、销售收入的确认、 成本的结转、货款的回收、费用的发生与归集、投资与筹资、财务报告编制等环节均制定了较为明确详尽的分权审批、授权、 签章等制度，公司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年度财务报告在内部控制等方面不存在重大缺陷。</w:t>
      </w:r>
    </w:p>
    <w:p>
      <w:pPr>
        <w:pStyle w:val="Style31"/>
        <w:keepNext/>
        <w:keepLines/>
        <w:widowControl w:val="0"/>
        <w:shd w:val="clear" w:color="auto" w:fill="auto"/>
        <w:bidi w:val="0"/>
        <w:spacing w:before="0" w:after="30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四</w:t>
      </w:r>
      <w:bookmarkEnd w:id="581"/>
      <w:r>
        <w:rPr>
          <w:color w:val="000000"/>
          <w:spacing w:val="0"/>
          <w:w w:val="100"/>
          <w:position w:val="0"/>
          <w:sz w:val="24"/>
          <w:szCs w:val="24"/>
        </w:rPr>
        <w:t>、内部控制自我评价报告</w:t>
      </w:r>
      <w:bookmarkEnd w:id="579"/>
      <w:bookmarkEnd w:id="580"/>
      <w:bookmarkEnd w:id="582"/>
    </w:p>
    <w:tbl>
      <w:tblPr>
        <w:tblOverlap w:val="never"/>
        <w:jc w:val="center"/>
        <w:tblLayout w:type="fixed"/>
      </w:tblPr>
      <w:tblGrid>
        <w:gridCol w:w="3422"/>
        <w:gridCol w:w="6158"/>
      </w:tblGrid>
      <w:tr>
        <w:trPr>
          <w:trHeight w:val="408"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报告期内未发现重大内部控制缺陷。</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内部控制自我评价报告全文披露日期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内部控制自我评价报告全文披露索引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日巨潮资讯网</w:t>
            </w:r>
            <w:r>
              <w:rPr>
                <w:color w:val="000000"/>
                <w:spacing w:val="0"/>
                <w:w w:val="100"/>
                <w:position w:val="0"/>
              </w:rPr>
              <w:t>http://www.cninfo.com.cn</w:t>
            </w:r>
            <w:r>
              <w:rPr>
                <w:rFonts w:ascii="SimSun" w:eastAsia="SimSun" w:hAnsi="SimSun" w:cs="SimSun"/>
                <w:color w:val="000000"/>
                <w:spacing w:val="0"/>
                <w:w w:val="100"/>
                <w:position w:val="0"/>
              </w:rPr>
              <w:t>上的《</w:t>
            </w:r>
            <w:r>
              <w:rPr>
                <w:color w:val="000000"/>
                <w:spacing w:val="0"/>
                <w:w w:val="100"/>
                <w:position w:val="0"/>
              </w:rPr>
              <w:t>2013</w:t>
            </w:r>
            <w:r>
              <w:rPr>
                <w:rFonts w:ascii="SimSun" w:eastAsia="SimSun" w:hAnsi="SimSun" w:cs="SimSun"/>
                <w:color w:val="000000"/>
                <w:spacing w:val="0"/>
                <w:w w:val="100"/>
                <w:position w:val="0"/>
              </w:rPr>
              <w:t>年度内部控</w:t>
            </w:r>
            <w:r>
              <w:rPr>
                <w:rFonts w:ascii="SimSun" w:eastAsia="SimSun" w:hAnsi="SimSun" w:cs="SimSun"/>
                <w:color w:val="000000"/>
                <w:spacing w:val="0"/>
                <w:w w:val="100"/>
                <w:position w:val="0"/>
              </w:rPr>
              <w:t xml:space="preserve"> 制自我评价报告》。</w:t>
            </w:r>
          </w:p>
        </w:tc>
      </w:tr>
      <w:tr>
        <w:trPr>
          <w:trHeight w:val="787" w:hRule="exact"/>
        </w:trPr>
        <w:tc>
          <w:tcPr>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五、内部控制审计报告</w:t>
            </w:r>
          </w:p>
        </w:tc>
        <w:tc>
          <w:tcPr>
            <w:tcBorders>
              <w:top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rFonts w:ascii="SimSun" w:eastAsia="SimSun" w:hAnsi="SimSun" w:cs="SimSun"/>
                <w:color w:val="000000"/>
                <w:spacing w:val="0"/>
                <w:w w:val="100"/>
                <w:position w:val="0"/>
              </w:rPr>
              <w:t>适用口不适用</w:t>
            </w:r>
          </w:p>
        </w:tc>
        <w:tc>
          <w:tcPr>
            <w:tcBorders/>
            <w:shd w:val="clear" w:color="auto" w:fill="FFFFFF"/>
            <w:vAlign w:val="top"/>
          </w:tcPr>
          <w:p>
            <w:pPr>
              <w:widowControl w:val="0"/>
              <w:rPr>
                <w:sz w:val="10"/>
                <w:szCs w:val="10"/>
              </w:rPr>
            </w:pPr>
          </w:p>
        </w:tc>
      </w:tr>
    </w:tbl>
    <w:tbl>
      <w:tblPr>
        <w:tblOverlap w:val="never"/>
        <w:jc w:val="center"/>
        <w:tblLayout w:type="fixed"/>
      </w:tblPr>
      <w:tblGrid>
        <w:gridCol w:w="2664"/>
        <w:gridCol w:w="7070"/>
      </w:tblGrid>
      <w:tr>
        <w:trPr>
          <w:trHeight w:val="403" w:hRule="exact"/>
        </w:trPr>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我们认为，贵公司按照财政部等五部委颁发的《企业内部控制基本规范》及相关规定于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日在所有重大 方面保持了与财务报表相关的有效的内部控制。</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日巨潮资讯网</w:t>
            </w:r>
            <w:r>
              <w:rPr>
                <w:color w:val="000000"/>
                <w:spacing w:val="0"/>
                <w:w w:val="100"/>
                <w:position w:val="0"/>
              </w:rPr>
              <w:t>http://www.cninfo.com.cn</w:t>
            </w:r>
            <w:r>
              <w:rPr>
                <w:rFonts w:ascii="SimSun" w:eastAsia="SimSun" w:hAnsi="SimSun" w:cs="SimSun"/>
                <w:color w:val="000000"/>
                <w:spacing w:val="0"/>
                <w:w w:val="100"/>
                <w:position w:val="0"/>
              </w:rPr>
              <w:t>上的《</w:t>
            </w:r>
            <w:r>
              <w:rPr>
                <w:color w:val="000000"/>
                <w:spacing w:val="0"/>
                <w:w w:val="100"/>
                <w:position w:val="0"/>
              </w:rPr>
              <w:t>2013</w:t>
            </w:r>
            <w:r>
              <w:rPr>
                <w:rFonts w:ascii="SimSun" w:eastAsia="SimSun" w:hAnsi="SimSun" w:cs="SimSun"/>
                <w:color w:val="000000"/>
                <w:spacing w:val="0"/>
                <w:w w:val="100"/>
                <w:position w:val="0"/>
              </w:rPr>
              <w:t>年度内部控制鉴证报告》。</w:t>
            </w:r>
          </w:p>
        </w:tc>
      </w:tr>
    </w:tbl>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会计师事务所是否出具非标准意见的内部控制审计报告</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会计师事务所出具的内部控制审计报告与董事会的自我评价报告意见是否一致</w:t>
      </w:r>
    </w:p>
    <w:p>
      <w:pPr>
        <w:pStyle w:val="Style35"/>
        <w:keepNext w:val="0"/>
        <w:keepLines w:val="0"/>
        <w:widowControl w:val="0"/>
        <w:shd w:val="clear" w:color="auto" w:fill="auto"/>
        <w:bidi w:val="0"/>
        <w:spacing w:before="0" w:after="380" w:line="317" w:lineRule="exact"/>
        <w:ind w:left="0" w:right="0" w:firstLine="0"/>
        <w:jc w:val="left"/>
      </w:pPr>
      <w:r>
        <w:rPr>
          <w:color w:val="000000"/>
          <w:spacing w:val="0"/>
          <w:w w:val="100"/>
          <w:position w:val="0"/>
        </w:rPr>
        <w:t>V是口否</w:t>
      </w:r>
    </w:p>
    <w:p>
      <w:pPr>
        <w:pStyle w:val="Style31"/>
        <w:keepNext/>
        <w:keepLines/>
        <w:widowControl w:val="0"/>
        <w:shd w:val="clear" w:color="auto" w:fill="auto"/>
        <w:bidi w:val="0"/>
        <w:spacing w:before="0" w:after="240" w:line="240" w:lineRule="auto"/>
        <w:ind w:left="0" w:right="0" w:firstLine="0"/>
        <w:jc w:val="left"/>
      </w:pPr>
      <w:bookmarkStart w:id="583" w:name="bookmark583"/>
      <w:bookmarkStart w:id="584" w:name="bookmark584"/>
      <w:bookmarkStart w:id="585" w:name="bookmark585"/>
      <w:bookmarkStart w:id="586" w:name="bookmark586"/>
      <w:r>
        <w:rPr>
          <w:color w:val="000000"/>
          <w:spacing w:val="0"/>
          <w:w w:val="100"/>
          <w:position w:val="0"/>
          <w:sz w:val="24"/>
          <w:szCs w:val="24"/>
        </w:rPr>
        <w:t>六</w:t>
      </w:r>
      <w:bookmarkEnd w:id="585"/>
      <w:r>
        <w:rPr>
          <w:color w:val="000000"/>
          <w:spacing w:val="0"/>
          <w:w w:val="100"/>
          <w:position w:val="0"/>
          <w:sz w:val="24"/>
          <w:szCs w:val="24"/>
        </w:rPr>
        <w:t>、年度报告重大差错责任追究制度的建立与执行情况</w:t>
      </w:r>
      <w:bookmarkEnd w:id="583"/>
      <w:bookmarkEnd w:id="584"/>
      <w:bookmarkEnd w:id="586"/>
    </w:p>
    <w:p>
      <w:pPr>
        <w:pStyle w:val="Style35"/>
        <w:keepNext w:val="0"/>
        <w:keepLines w:val="0"/>
        <w:widowControl w:val="0"/>
        <w:shd w:val="clear" w:color="auto" w:fill="auto"/>
        <w:bidi w:val="0"/>
        <w:spacing w:before="0" w:line="317" w:lineRule="exact"/>
        <w:ind w:left="0" w:right="0"/>
        <w:jc w:val="left"/>
        <w:sectPr>
          <w:footnotePr>
            <w:pos w:val="pageBottom"/>
            <w:numFmt w:val="decimal"/>
            <w:numRestart w:val="continuous"/>
          </w:footnotePr>
          <w:pgSz w:w="11900" w:h="16840"/>
          <w:pgMar w:top="1441" w:right="1025" w:bottom="2214" w:left="1102" w:header="0" w:footer="3" w:gutter="0"/>
          <w:cols w:space="720"/>
          <w:noEndnote/>
          <w:rtlGutter w:val="0"/>
          <w:docGrid w:linePitch="360"/>
        </w:sectPr>
      </w:pPr>
      <w:r>
        <w:rPr>
          <w:color w:val="000000"/>
          <w:spacing w:val="0"/>
          <w:w w:val="100"/>
          <w:position w:val="0"/>
        </w:rPr>
        <w:t>公司制定了《年报信息披露重大差错责任追究制度》，于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日第二届董事会第七次会议审议通过。报告期 内公司严格执行此项制度，无相关人员在披露年度报告时出现重大差错责任。</w:t>
      </w:r>
    </w:p>
    <w:p>
      <w:pPr>
        <w:pStyle w:val="Style20"/>
        <w:keepNext/>
        <w:keepLines/>
        <w:widowControl w:val="0"/>
        <w:shd w:val="clear" w:color="auto" w:fill="auto"/>
        <w:bidi w:val="0"/>
        <w:spacing w:before="500" w:after="520" w:line="240" w:lineRule="auto"/>
        <w:ind w:left="0" w:right="0" w:firstLine="0"/>
        <w:jc w:val="center"/>
      </w:pPr>
      <w:bookmarkStart w:id="587" w:name="bookmark587"/>
      <w:bookmarkStart w:id="588" w:name="bookmark588"/>
      <w:bookmarkStart w:id="589" w:name="bookmark589"/>
      <w:r>
        <w:rPr>
          <w:color w:val="000000"/>
          <w:spacing w:val="0"/>
          <w:w w:val="100"/>
          <w:position w:val="0"/>
        </w:rPr>
        <w:t>第十节财务报告</w:t>
      </w:r>
      <w:bookmarkEnd w:id="587"/>
      <w:bookmarkEnd w:id="588"/>
      <w:bookmarkEnd w:id="589"/>
    </w:p>
    <w:p>
      <w:pPr>
        <w:pStyle w:val="Style31"/>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sz w:val="24"/>
          <w:szCs w:val="24"/>
        </w:rPr>
        <w:t>一</w:t>
      </w:r>
      <w:bookmarkEnd w:id="592"/>
      <w:r>
        <w:rPr>
          <w:color w:val="000000"/>
          <w:spacing w:val="0"/>
          <w:w w:val="100"/>
          <w:position w:val="0"/>
          <w:sz w:val="24"/>
          <w:szCs w:val="24"/>
        </w:rPr>
        <w:t>、审计报告</w:t>
      </w:r>
      <w:bookmarkEnd w:id="590"/>
      <w:bookmarkEnd w:id="591"/>
      <w:bookmarkEnd w:id="59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410129</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王建民、蔡洁瑜</w:t>
            </w:r>
          </w:p>
        </w:tc>
      </w:tr>
    </w:tbl>
    <w:p>
      <w:pPr>
        <w:pStyle w:val="Style28"/>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审计报告正文</w:t>
      </w:r>
    </w:p>
    <w:p>
      <w:pPr>
        <w:pStyle w:val="Style54"/>
        <w:keepNext w:val="0"/>
        <w:keepLines w:val="0"/>
        <w:widowControl w:val="0"/>
        <w:shd w:val="clear" w:color="auto" w:fill="auto"/>
        <w:bidi w:val="0"/>
        <w:spacing w:before="0" w:after="0" w:line="373" w:lineRule="exact"/>
        <w:ind w:left="0" w:right="0" w:firstLine="0"/>
        <w:jc w:val="left"/>
      </w:pPr>
      <w:r>
        <w:rPr>
          <w:color w:val="000000"/>
          <w:spacing w:val="0"/>
          <w:w w:val="100"/>
          <w:position w:val="0"/>
        </w:rPr>
        <w:t>广州广电运通金融电子股份有限公司全体股东：</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我们审计了后附的广州广电运通金融电子股份有限公司（以下简称贵公司）财务报表，包括2013年12 月31日的资产负债表和合并资产负债表、2013年度的利润表和合并利润表、2013年度的现金流量表和合并 现金流量表、2013年度的所有者权益变动表和合并所有者权益变动表以及财务报表附注。</w:t>
      </w:r>
    </w:p>
    <w:p>
      <w:pPr>
        <w:pStyle w:val="Style54"/>
        <w:keepNext w:val="0"/>
        <w:keepLines w:val="0"/>
        <w:widowControl w:val="0"/>
        <w:shd w:val="clear" w:color="auto" w:fill="auto"/>
        <w:tabs>
          <w:tab w:pos="923" w:val="left"/>
        </w:tabs>
        <w:bidi w:val="0"/>
        <w:spacing w:before="0" w:after="0" w:line="373" w:lineRule="exact"/>
        <w:ind w:left="0" w:right="0" w:firstLine="440"/>
        <w:jc w:val="both"/>
      </w:pPr>
      <w:bookmarkStart w:id="594" w:name="bookmark594"/>
      <w:r>
        <w:rPr>
          <w:color w:val="000000"/>
          <w:spacing w:val="0"/>
          <w:w w:val="100"/>
          <w:position w:val="0"/>
        </w:rPr>
        <w:t>一</w:t>
      </w:r>
      <w:bookmarkEnd w:id="594"/>
      <w:r>
        <w:rPr>
          <w:color w:val="000000"/>
          <w:spacing w:val="0"/>
          <w:w w:val="100"/>
          <w:position w:val="0"/>
        </w:rPr>
        <w:t>、</w:t>
        <w:tab/>
        <w:t>管理层对财务报表的责任</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编制和公允列报财务报表是贵公司管理层的责任。这种责任包括：（1）按照企业会计准则的规定编 制财务报表，并使其实现公允反映；（2）设计、执行和维护必要的内部控制，以使财务报表不存在由于 舞弊或错误导致的重大错报。</w:t>
      </w:r>
    </w:p>
    <w:p>
      <w:pPr>
        <w:pStyle w:val="Style54"/>
        <w:keepNext w:val="0"/>
        <w:keepLines w:val="0"/>
        <w:widowControl w:val="0"/>
        <w:shd w:val="clear" w:color="auto" w:fill="auto"/>
        <w:tabs>
          <w:tab w:pos="923" w:val="left"/>
        </w:tabs>
        <w:bidi w:val="0"/>
        <w:spacing w:before="0" w:after="0" w:line="373" w:lineRule="exact"/>
        <w:ind w:left="0" w:right="0" w:firstLine="440"/>
        <w:jc w:val="both"/>
      </w:pPr>
      <w:bookmarkStart w:id="595" w:name="bookmark595"/>
      <w:r>
        <w:rPr>
          <w:color w:val="000000"/>
          <w:spacing w:val="0"/>
          <w:w w:val="100"/>
          <w:position w:val="0"/>
        </w:rPr>
        <w:t>二</w:t>
      </w:r>
      <w:bookmarkEnd w:id="595"/>
      <w:r>
        <w:rPr>
          <w:color w:val="000000"/>
          <w:spacing w:val="0"/>
          <w:w w:val="100"/>
          <w:position w:val="0"/>
        </w:rPr>
        <w:t>、</w:t>
        <w:tab/>
        <w:t>注册会计师的责任</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我们相信，我们获取的审计证据是充分、适当的，为发表审计意见提供了基础。</w:t>
      </w:r>
    </w:p>
    <w:p>
      <w:pPr>
        <w:pStyle w:val="Style54"/>
        <w:keepNext w:val="0"/>
        <w:keepLines w:val="0"/>
        <w:widowControl w:val="0"/>
        <w:shd w:val="clear" w:color="auto" w:fill="auto"/>
        <w:tabs>
          <w:tab w:pos="928" w:val="left"/>
        </w:tabs>
        <w:bidi w:val="0"/>
        <w:spacing w:before="0" w:after="0" w:line="373" w:lineRule="exact"/>
        <w:ind w:left="0" w:right="0" w:firstLine="440"/>
        <w:jc w:val="both"/>
      </w:pPr>
      <w:bookmarkStart w:id="596" w:name="bookmark596"/>
      <w:r>
        <w:rPr>
          <w:color w:val="000000"/>
          <w:spacing w:val="0"/>
          <w:w w:val="100"/>
          <w:position w:val="0"/>
        </w:rPr>
        <w:t>三</w:t>
      </w:r>
      <w:bookmarkEnd w:id="596"/>
      <w:r>
        <w:rPr>
          <w:color w:val="000000"/>
          <w:spacing w:val="0"/>
          <w:w w:val="100"/>
          <w:position w:val="0"/>
        </w:rPr>
        <w:t>、</w:t>
        <w:tab/>
        <w:t>审计意见</w:t>
      </w:r>
    </w:p>
    <w:p>
      <w:pPr>
        <w:pStyle w:val="Style54"/>
        <w:keepNext w:val="0"/>
        <w:keepLines w:val="0"/>
        <w:widowControl w:val="0"/>
        <w:shd w:val="clear" w:color="auto" w:fill="auto"/>
        <w:bidi w:val="0"/>
        <w:spacing w:before="0" w:after="0" w:line="373" w:lineRule="exact"/>
        <w:ind w:left="0" w:right="0" w:firstLine="440"/>
        <w:jc w:val="both"/>
      </w:pPr>
      <w:r>
        <w:rPr>
          <w:b w:val="0"/>
          <w:bCs w:val="0"/>
          <w:color w:val="000000"/>
          <w:spacing w:val="0"/>
          <w:w w:val="100"/>
          <w:position w:val="0"/>
        </w:rPr>
        <w:t>我们认为，贵公司财务报表在所有重大方面按照企业会计准则的规定编制，公允反映了贵公司2013年 12月31日的财务状况以及2013年度的经营成果和现金流量。</w:t>
      </w:r>
    </w:p>
    <w:p>
      <w:pPr>
        <w:pStyle w:val="Style54"/>
        <w:keepNext w:val="0"/>
        <w:keepLines w:val="0"/>
        <w:widowControl w:val="0"/>
        <w:shd w:val="clear" w:color="auto" w:fill="auto"/>
        <w:tabs>
          <w:tab w:pos="5710" w:val="left"/>
        </w:tabs>
        <w:bidi w:val="0"/>
        <w:spacing w:before="0" w:after="0" w:line="373" w:lineRule="exact"/>
        <w:ind w:left="0" w:right="0" w:firstLine="640"/>
        <w:jc w:val="both"/>
      </w:pPr>
      <w:r>
        <w:rPr>
          <w:color w:val="000000"/>
          <w:spacing w:val="0"/>
          <w:w w:val="100"/>
          <w:position w:val="0"/>
        </w:rPr>
        <w:t>立信会计师事务所（特殊普通合伙）</w:t>
        <w:tab/>
        <w:t>中国注册会计师：王建民</w:t>
      </w:r>
    </w:p>
    <w:p>
      <w:pPr>
        <w:pStyle w:val="Style54"/>
        <w:keepNext w:val="0"/>
        <w:keepLines w:val="0"/>
        <w:widowControl w:val="0"/>
        <w:shd w:val="clear" w:color="auto" w:fill="auto"/>
        <w:tabs>
          <w:tab w:pos="5710" w:val="left"/>
        </w:tabs>
        <w:bidi w:val="0"/>
        <w:spacing w:before="0" w:after="160" w:line="373" w:lineRule="exact"/>
        <w:ind w:left="1180" w:right="0" w:firstLine="4640"/>
        <w:jc w:val="left"/>
      </w:pPr>
      <w:r>
        <w:rPr>
          <w:color w:val="000000"/>
          <w:spacing w:val="0"/>
          <w:w w:val="100"/>
          <w:position w:val="0"/>
        </w:rPr>
        <w:t>中国注册会计师：蔡洁瑜 中国•上海</w:t>
        <w:tab/>
        <w:t>二0一四年三月二十七日</w:t>
      </w:r>
      <w:r>
        <w:br w:type="page"/>
      </w:r>
    </w:p>
    <w:p>
      <w:pPr>
        <w:pStyle w:val="Style31"/>
        <w:keepNext/>
        <w:keepLines/>
        <w:widowControl w:val="0"/>
        <w:shd w:val="clear" w:color="auto" w:fill="auto"/>
        <w:bidi w:val="0"/>
        <w:spacing w:before="0" w:after="3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二</w:t>
      </w:r>
      <w:bookmarkEnd w:id="599"/>
      <w:r>
        <w:rPr>
          <w:color w:val="000000"/>
          <w:spacing w:val="0"/>
          <w:w w:val="100"/>
          <w:position w:val="0"/>
          <w:sz w:val="24"/>
          <w:szCs w:val="24"/>
        </w:rPr>
        <w:t>、财务报表</w:t>
      </w:r>
      <w:bookmarkEnd w:id="597"/>
      <w:bookmarkEnd w:id="598"/>
      <w:bookmarkEnd w:id="600"/>
    </w:p>
    <w:p>
      <w:pPr>
        <w:pStyle w:val="Style3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44"/>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、合并资产负债表</w:t>
      </w:r>
      <w:bookmarkEnd w:id="601"/>
      <w:bookmarkEnd w:id="602"/>
      <w:bookmarkEnd w:id="604"/>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03"/>
        <w:gridCol w:w="3120"/>
        <w:gridCol w:w="30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1,644,875,412.34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2,003,540,034.34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1,987,100.00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713,886,766.16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644,263,001.21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129,978,323.60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49,453,209.32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50,255,996.53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31,953,073.30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1,170,842,477.23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769,594,720.41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746,600,000.00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4,456,438,975.86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3,500,791,138.58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5,428,305.54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6,564,083.46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64,713,476.44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164,079,876.42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33,403,152.17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389,213,922.31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290,435,982.97</w:t>
            </w:r>
          </w:p>
        </w:tc>
      </w:tr>
    </w:tbl>
    <w:p>
      <w:pPr>
        <w:widowControl w:val="0"/>
        <w:spacing w:line="1" w:lineRule="exact"/>
      </w:pPr>
      <w:r>
        <w:br w:type="page"/>
      </w:r>
    </w:p>
    <w:tbl>
      <w:tblPr>
        <w:tblOverlap w:val="never"/>
        <w:jc w:val="center"/>
        <w:tblLayout w:type="fixed"/>
      </w:tblPr>
      <w:tblGrid>
        <w:gridCol w:w="3403"/>
        <w:gridCol w:w="3120"/>
        <w:gridCol w:w="3058"/>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49,321,137.17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2,616,656.28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17,218,441.53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17,401,870.56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946,852.52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946,852.52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2,682,178.45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2,902,059.81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35,800,989.34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34,688,770.64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598,728,455.47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519,636,152.66</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5,055,167,431.33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4,020,427,291.24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78,447,051.97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81,861,323.25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398,581,292.49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271,949,850.22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481,153,801.03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269,248,409.78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165,160,702.63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122,073,093.91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168,650,357.61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163,450,508.24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95,966,420.15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76,800,149.37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3"/>
        <w:gridCol w:w="3120"/>
        <w:gridCol w:w="305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1,387,959,625.88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985,383,334.77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1,711,282.43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46,521,793.99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39,553,301.46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46,521,793.99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41,264,583.89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1,434,481,419.87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1,026,647,918.66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622,697,755.00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176,739,731.25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178,647,184.24</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320,804,729.88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256,677,653.25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2,241,056,886.31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1,911,456,422.49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-429,967.17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-1,237,162.55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3,485,408,686.27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2,968,241,852.43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135,277,325.19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25,537,520.15</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3,620,686,011.46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2,993,779,372.58</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负债和所有者权益（或股东权益）总计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5,055,167,431.33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4,020,427,291.24</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9" behindDoc="0" locked="0" layoutInCell="1" allowOverlap="1">
                <wp:simplePos x="0" y="0"/>
                <wp:positionH relativeFrom="page">
                  <wp:posOffset>695960</wp:posOffset>
                </wp:positionH>
                <wp:positionV relativeFrom="margin">
                  <wp:posOffset>6605270</wp:posOffset>
                </wp:positionV>
                <wp:extent cx="1054735" cy="149225"/>
                <wp:wrapTopAndBottom/>
                <wp:docPr id="32" name="Shape 3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58" type="#_x0000_t202" style="position:absolute;margin-left:54.800000000000004pt;margin-top:520.10000000000002pt;width:83.049999999999997pt;height:11.75pt;z-index:-125829364;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anchory="margin"/>
              </v:shape>
            </w:pict>
          </mc:Fallback>
        </mc:AlternateContent>
      </w:r>
      <w:r>
        <mc:AlternateContent>
          <mc:Choice Requires="wps">
            <w:drawing>
              <wp:anchor distT="152400" distB="0" distL="2290445" distR="2513330" simplePos="0" relativeHeight="125829391" behindDoc="0" locked="0" layoutInCell="1" allowOverlap="1">
                <wp:simplePos x="0" y="0"/>
                <wp:positionH relativeFrom="page">
                  <wp:posOffset>2872105</wp:posOffset>
                </wp:positionH>
                <wp:positionV relativeFrom="margin">
                  <wp:posOffset>6605270</wp:posOffset>
                </wp:positionV>
                <wp:extent cx="1508760" cy="149225"/>
                <wp:wrapTopAndBottom/>
                <wp:docPr id="34" name="Shape 34"/>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60" type="#_x0000_t202" style="position:absolute;margin-left:226.15000000000001pt;margin-top:520.10000000000002pt;width:118.8pt;height:11.75pt;z-index:-125829362;mso-wrap-distance-left:180.34999999999999pt;mso-wrap-distance-top:12.pt;mso-wrap-distance-right:19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4911725" distR="114300" simplePos="0" relativeHeight="125829393" behindDoc="0" locked="0" layoutInCell="1" allowOverlap="1">
                <wp:simplePos x="0" y="0"/>
                <wp:positionH relativeFrom="page">
                  <wp:posOffset>5493385</wp:posOffset>
                </wp:positionH>
                <wp:positionV relativeFrom="margin">
                  <wp:posOffset>6605270</wp:posOffset>
                </wp:positionV>
                <wp:extent cx="1286510" cy="149225"/>
                <wp:wrapTopAndBottom/>
                <wp:docPr id="36" name="Shape 3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62" type="#_x0000_t202" style="position:absolute;margin-left:432.55000000000001pt;margin-top:520.10000000000002pt;width:101.3pt;height:11.75pt;z-index:-125829360;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、母公司资产负债表</w:t>
      </w:r>
      <w:bookmarkEnd w:id="605"/>
      <w:bookmarkEnd w:id="606"/>
      <w:bookmarkEnd w:id="608"/>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03"/>
        <w:gridCol w:w="3120"/>
        <w:gridCol w:w="3058"/>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1,186,850,981.18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1,703,848,033.38</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3"/>
        <w:gridCol w:w="3120"/>
        <w:gridCol w:w="3058"/>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1,987,100.00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689,229,552.76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641,152,172.37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30,779,746.01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16,334,088.91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22,190,475.41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13,756,892.83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1,086,409,007.44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750,461,256.31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671,600,000.00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3,687,059,762.80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3,127,539,543.80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613,454,628.91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390,417,629.21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253,155,514.99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251,925,326.35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49,165,948.38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2,616,656.28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16,842,267.00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17,070,880.50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946,852.52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946,852.52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24,410,975.40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25,917,409.35</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957,976,187.20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688,894,754.21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4,645,035,950.00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3,816,434,298.01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78,447,051.97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81,861,323.25</w:t>
            </w: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95" behindDoc="0" locked="0" layoutInCell="1" allowOverlap="1">
                <wp:simplePos x="0" y="0"/>
                <wp:positionH relativeFrom="page">
                  <wp:posOffset>717550</wp:posOffset>
                </wp:positionH>
                <wp:positionV relativeFrom="margin">
                  <wp:posOffset>8138160</wp:posOffset>
                </wp:positionV>
                <wp:extent cx="1054735" cy="149225"/>
                <wp:wrapTopAndBottom/>
                <wp:docPr id="38" name="Shape 3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64" type="#_x0000_t202" style="position:absolute;margin-left:56.5pt;margin-top:640.80000000000007pt;width:83.049999999999997pt;height:11.75pt;z-index:-125829358;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anchory="margin"/>
              </v:shape>
            </w:pict>
          </mc:Fallback>
        </mc:AlternateContent>
      </w:r>
      <w:r>
        <mc:AlternateContent>
          <mc:Choice Requires="wps">
            <w:drawing>
              <wp:anchor distT="152400" distB="0" distL="2290445" distR="2513330" simplePos="0" relativeHeight="125829397" behindDoc="0" locked="0" layoutInCell="1" allowOverlap="1">
                <wp:simplePos x="0" y="0"/>
                <wp:positionH relativeFrom="page">
                  <wp:posOffset>2893695</wp:posOffset>
                </wp:positionH>
                <wp:positionV relativeFrom="margin">
                  <wp:posOffset>8138160</wp:posOffset>
                </wp:positionV>
                <wp:extent cx="1508760" cy="149225"/>
                <wp:wrapTopAndBottom/>
                <wp:docPr id="40" name="Shape 4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66" type="#_x0000_t202" style="position:absolute;margin-left:227.84999999999999pt;margin-top:640.80000000000007pt;width:118.8pt;height:11.75pt;z-index:-125829356;mso-wrap-distance-left:180.34999999999999pt;mso-wrap-distance-top:12.pt;mso-wrap-distance-right:19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4911725" distR="114300" simplePos="0" relativeHeight="125829399" behindDoc="0" locked="0" layoutInCell="1" allowOverlap="1">
                <wp:simplePos x="0" y="0"/>
                <wp:positionH relativeFrom="page">
                  <wp:posOffset>5514975</wp:posOffset>
                </wp:positionH>
                <wp:positionV relativeFrom="margin">
                  <wp:posOffset>8138160</wp:posOffset>
                </wp:positionV>
                <wp:extent cx="1286510" cy="149225"/>
                <wp:wrapTopAndBottom/>
                <wp:docPr id="42" name="Shape 4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68" type="#_x0000_t202" style="position:absolute;margin-left:434.25pt;margin-top:640.80000000000007pt;width:101.3pt;height:11.75pt;z-index:-125829354;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p>
    <w:tbl>
      <w:tblPr>
        <w:tblOverlap w:val="never"/>
        <w:jc w:val="center"/>
        <w:tblLayout w:type="fixed"/>
      </w:tblPr>
      <w:tblGrid>
        <w:gridCol w:w="3403"/>
        <w:gridCol w:w="3120"/>
        <w:gridCol w:w="3058"/>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463,434,309.17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290,844,256.26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379,325,386.44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211,708,816.45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123,499,646.43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98,918,105.51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152,873,030.02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151,631,127.10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71,285,694.81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61,387,798.23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1,268,865,118.84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896,351,426.80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39,961,490.73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39,089,395.41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39,961,490.73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39,089,395.41</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1,308,826,609.57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935,440,822.21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622,697,755.00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181,452,624.40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180,698,199.56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both"/>
            </w:pPr>
            <w:r>
              <w:rPr>
                <w:color w:val="000000"/>
                <w:spacing w:val="0"/>
                <w:w w:val="100"/>
                <w:position w:val="0"/>
              </w:rPr>
              <w:t>320,804,729.88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256,677,653.25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2,086,714,680.15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1,820,919,867.99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3,336,209,340.43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2,880,993,475.80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负债和所有者权益（或股东权益）总计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4,645,035,950.00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3,816,434,298.01</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3</w:t>
      </w:r>
      <w:bookmarkEnd w:id="611"/>
      <w:r>
        <w:rPr>
          <w:color w:val="000000"/>
          <w:spacing w:val="0"/>
          <w:w w:val="100"/>
          <w:position w:val="0"/>
        </w:rPr>
        <w:t>、合并利润表</w:t>
      </w:r>
      <w:bookmarkEnd w:id="609"/>
      <w:bookmarkEnd w:id="610"/>
      <w:bookmarkEnd w:id="612"/>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2410"/>
        <w:gridCol w:w="23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2,515,897,353.80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2,168,409,553.00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2,515,897,353.80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2,168,409,553.00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1,911,914,311.32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1,652,881,072.67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1,141,832,667.12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1,034,826,018.55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34,812,165.25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40,122,243.94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439,081,953.44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332,901,259.58</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306,951,382.08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257,860,466.04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-10,467,167.02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-11,576,546.45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-296,689.55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-1,252,368.99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9,490,784.51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-8,282,242.98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-8,395,206.34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-8,282,242.98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613,473,826.99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507,246,237.35</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164,021,859.88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141,735,190.75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1,558,288.87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1,399,307.40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48,986.88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597,147.59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775,937,398.00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647,582,120.70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64,872,199.54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66,233,824.12</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711,065,198.46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581,348,296.58</w:t>
            </w:r>
          </w:p>
        </w:tc>
      </w:tr>
    </w:tbl>
    <w:p>
      <w:pPr>
        <w:widowControl w:val="0"/>
        <w:spacing w:line="1" w:lineRule="exact"/>
      </w:pPr>
      <w:r>
        <w:br w:type="page"/>
      </w:r>
    </w:p>
    <w:tbl>
      <w:tblPr>
        <w:tblOverlap w:val="never"/>
        <w:jc w:val="center"/>
        <w:tblLayout w:type="fixed"/>
      </w:tblPr>
      <w:tblGrid>
        <w:gridCol w:w="4824"/>
        <w:gridCol w:w="2410"/>
        <w:gridCol w:w="23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705,076,417.95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578,631,983.99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5,988,780.51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2,716,312.59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0.77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-328,582.54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-2,793,615.09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710,736,615.92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578,554,681.49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704,747,835.41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575,838,368.90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5,988,780.51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2,716,312.59</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1" behindDoc="0" locked="0" layoutInCell="1" allowOverlap="1">
                <wp:simplePos x="0" y="0"/>
                <wp:positionH relativeFrom="page">
                  <wp:posOffset>695960</wp:posOffset>
                </wp:positionH>
                <wp:positionV relativeFrom="margin">
                  <wp:posOffset>2776855</wp:posOffset>
                </wp:positionV>
                <wp:extent cx="1054735" cy="149225"/>
                <wp:wrapTopAndBottom/>
                <wp:docPr id="44" name="Shape 4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70" type="#_x0000_t202" style="position:absolute;margin-left:54.800000000000004pt;margin-top:218.65000000000001pt;width:83.049999999999997pt;height:11.75pt;z-index:-125829352;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anchory="margin"/>
              </v:shape>
            </w:pict>
          </mc:Fallback>
        </mc:AlternateContent>
      </w:r>
      <w:r>
        <mc:AlternateContent>
          <mc:Choice Requires="wps">
            <w:drawing>
              <wp:anchor distT="152400" distB="0" distL="2290445" distR="2513330" simplePos="0" relativeHeight="125829403" behindDoc="0" locked="0" layoutInCell="1" allowOverlap="1">
                <wp:simplePos x="0" y="0"/>
                <wp:positionH relativeFrom="page">
                  <wp:posOffset>2872105</wp:posOffset>
                </wp:positionH>
                <wp:positionV relativeFrom="margin">
                  <wp:posOffset>2776855</wp:posOffset>
                </wp:positionV>
                <wp:extent cx="1508760" cy="149225"/>
                <wp:wrapTopAndBottom/>
                <wp:docPr id="46" name="Shape 46"/>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72" type="#_x0000_t202" style="position:absolute;margin-left:226.15000000000001pt;margin-top:218.65000000000001pt;width:118.8pt;height:11.75pt;z-index:-125829350;mso-wrap-distance-left:180.34999999999999pt;mso-wrap-distance-top:12.pt;mso-wrap-distance-right:19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4911725" distR="114300" simplePos="0" relativeHeight="125829405" behindDoc="0" locked="0" layoutInCell="1" allowOverlap="1">
                <wp:simplePos x="0" y="0"/>
                <wp:positionH relativeFrom="page">
                  <wp:posOffset>5493385</wp:posOffset>
                </wp:positionH>
                <wp:positionV relativeFrom="margin">
                  <wp:posOffset>2776855</wp:posOffset>
                </wp:positionV>
                <wp:extent cx="1286510" cy="149225"/>
                <wp:wrapTopAndBottom/>
                <wp:docPr id="48" name="Shape 4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74" type="#_x0000_t202" style="position:absolute;margin-left:432.55000000000001pt;margin-top:218.65000000000001pt;width:101.3pt;height:11.75pt;z-index:-125829348;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4</w:t>
      </w:r>
      <w:bookmarkEnd w:id="615"/>
      <w:r>
        <w:rPr>
          <w:color w:val="000000"/>
          <w:spacing w:val="0"/>
          <w:w w:val="100"/>
          <w:position w:val="0"/>
        </w:rPr>
        <w:t>、母公司利润表</w:t>
      </w:r>
      <w:bookmarkEnd w:id="613"/>
      <w:bookmarkEnd w:id="614"/>
      <w:bookmarkEnd w:id="616"/>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24"/>
        <w:gridCol w:w="2414"/>
        <w:gridCol w:w="234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2,151,685,549.73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1,936,158,461.19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1,003,500,574.58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946,879,145.69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26,396,419.58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23,891,942.68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383,221,046.78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309,749,096.74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234,220,765.88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207,803,603.12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-9,830,790.79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-9,548,244.42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-3,659,146.88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-1,593,610.87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加：公允价值变动收益（损失以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10,512,015.87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-6,773,029.28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-7,917,425.14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-8,145,472.93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528,348,696.45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452,203,498.97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160,960,325.38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140,846,480.63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1,121,860.08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493,217.02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48,103.34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139,719.17</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688,187,161.75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592,556,762.58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46,916,395.46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56,767,511.39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641,270,766.29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535,789,251.19</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4824"/>
        <w:gridCol w:w="2410"/>
        <w:gridCol w:w="23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641,270,766.29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535,789,251.19</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407" behindDoc="0" locked="0" layoutInCell="1" allowOverlap="1">
                <wp:simplePos x="0" y="0"/>
                <wp:positionH relativeFrom="page">
                  <wp:posOffset>695960</wp:posOffset>
                </wp:positionH>
                <wp:positionV relativeFrom="margin">
                  <wp:posOffset>1246505</wp:posOffset>
                </wp:positionV>
                <wp:extent cx="1054735" cy="149225"/>
                <wp:wrapTopAndBottom/>
                <wp:docPr id="50" name="Shape 5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76" type="#_x0000_t202" style="position:absolute;margin-left:54.800000000000004pt;margin-top:98.150000000000006pt;width:83.049999999999997pt;height:11.75pt;z-index:-125829346;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anchory="margin"/>
              </v:shape>
            </w:pict>
          </mc:Fallback>
        </mc:AlternateContent>
      </w:r>
      <w:r>
        <mc:AlternateContent>
          <mc:Choice Requires="wps">
            <w:drawing>
              <wp:anchor distT="152400" distB="0" distL="2290445" distR="2513330" simplePos="0" relativeHeight="125829409" behindDoc="0" locked="0" layoutInCell="1" allowOverlap="1">
                <wp:simplePos x="0" y="0"/>
                <wp:positionH relativeFrom="page">
                  <wp:posOffset>2872105</wp:posOffset>
                </wp:positionH>
                <wp:positionV relativeFrom="margin">
                  <wp:posOffset>1246505</wp:posOffset>
                </wp:positionV>
                <wp:extent cx="1508760" cy="149225"/>
                <wp:wrapTopAndBottom/>
                <wp:docPr id="52" name="Shape 52"/>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78" type="#_x0000_t202" style="position:absolute;margin-left:226.15000000000001pt;margin-top:98.150000000000006pt;width:118.8pt;height:11.75pt;z-index:-125829344;mso-wrap-distance-left:180.34999999999999pt;mso-wrap-distance-top:12.pt;mso-wrap-distance-right:197.9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4911725" distR="114300" simplePos="0" relativeHeight="125829411" behindDoc="0" locked="0" layoutInCell="1" allowOverlap="1">
                <wp:simplePos x="0" y="0"/>
                <wp:positionH relativeFrom="page">
                  <wp:posOffset>5493385</wp:posOffset>
                </wp:positionH>
                <wp:positionV relativeFrom="margin">
                  <wp:posOffset>1246505</wp:posOffset>
                </wp:positionV>
                <wp:extent cx="1286510" cy="149225"/>
                <wp:wrapTopAndBottom/>
                <wp:docPr id="54" name="Shape 5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80" type="#_x0000_t202" style="position:absolute;margin-left:432.55000000000001pt;margin-top:98.150000000000006pt;width:101.3pt;height:11.75pt;z-index:-125829342;mso-wrap-distance-left:386.75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5</w:t>
      </w:r>
      <w:bookmarkEnd w:id="619"/>
      <w:r>
        <w:rPr>
          <w:color w:val="000000"/>
          <w:spacing w:val="0"/>
          <w:w w:val="100"/>
          <w:position w:val="0"/>
        </w:rPr>
        <w:t>、合并现金流量表</w:t>
      </w:r>
      <w:bookmarkEnd w:id="617"/>
      <w:bookmarkEnd w:id="618"/>
      <w:bookmarkEnd w:id="620"/>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24"/>
        <w:gridCol w:w="2410"/>
        <w:gridCol w:w="23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3,097,359,817.51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2,879,796,112.61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177,204,151.27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139,152,833.29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330,707,021.51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89,525,801.19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3,605,270,990.29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3,108,474,747.09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1,417,575,352.07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1,241,224,824.28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471,719,121.05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355,645,850.45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350,874,109.52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352,665,887.87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649,808,905.65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302,038,936.75</w:t>
            </w:r>
          </w:p>
        </w:tc>
      </w:tr>
    </w:tbl>
    <w:p>
      <w:pPr>
        <w:widowControl w:val="0"/>
        <w:spacing w:line="1" w:lineRule="exact"/>
      </w:pPr>
      <w:r>
        <w:br w:type="page"/>
      </w:r>
    </w:p>
    <w:tbl>
      <w:tblPr>
        <w:tblOverlap w:val="never"/>
        <w:jc w:val="center"/>
        <w:tblLayout w:type="fixed"/>
      </w:tblPr>
      <w:tblGrid>
        <w:gridCol w:w="4824"/>
        <w:gridCol w:w="2410"/>
        <w:gridCol w:w="2347"/>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2,889,977,488.29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2,251,575,499.35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715,293,502.00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856,899,247.74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3,793,500,000.00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17,885,990.85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处置固定资产、无形资产和其他长期资产收回的现金净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191,149.00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330,806.00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56,140,229.11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3,867,717,368.96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330,806.00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154,044,378.11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17,160,702.97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4,600,100,000.00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4,900,000.00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4,754,144,378.11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22,060,702.97</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-886,427,009.15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-21,729,896.97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1,711,282.43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11,270,000.00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1,711,282.43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1,711,282.43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4,283,244.90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189,679,009.02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45,926,528.50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2,833,358.36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197,070,291.45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50,209,773.40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-185,800,291.45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-48,498,490.97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40" w:right="0" w:firstLine="0"/>
              <w:jc w:val="both"/>
            </w:pPr>
            <w:r>
              <w:rPr>
                <w:color w:val="000000"/>
                <w:spacing w:val="0"/>
                <w:w w:val="100"/>
                <w:position w:val="0"/>
              </w:rPr>
              <w:t>-1,730,823.40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645,735.77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-358,664,622.00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787,316,595.57</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2,003,540,034.34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1,216,223,438.77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1,644,875,412.34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2,003,540,034.34</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13" behindDoc="0" locked="0" layoutInCell="1" allowOverlap="1">
                <wp:simplePos x="0" y="0"/>
                <wp:positionH relativeFrom="page">
                  <wp:posOffset>690245</wp:posOffset>
                </wp:positionH>
                <wp:positionV relativeFrom="paragraph">
                  <wp:posOffset>0</wp:posOffset>
                </wp:positionV>
                <wp:extent cx="1054735" cy="149225"/>
                <wp:wrapTopAndBottom/>
                <wp:docPr id="56" name="Shape 5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82" type="#_x0000_t202" style="position:absolute;margin-left:54.350000000000001pt;margin-top:0;width:83.049999999999997pt;height:11.75pt;z-index:-125829340;mso-wrap-distance-left:0;mso-wrap-distance-right:0;mso-wrap-distance-bottom:1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v:shape>
            </w:pict>
          </mc:Fallback>
        </mc:AlternateContent>
      </w:r>
      <w:r>
        <mc:AlternateContent>
          <mc:Choice Requires="wps">
            <w:drawing>
              <wp:anchor distT="0" distB="152400" distL="0" distR="0" simplePos="0" relativeHeight="125829415" behindDoc="0" locked="0" layoutInCell="1" allowOverlap="1">
                <wp:simplePos x="0" y="0"/>
                <wp:positionH relativeFrom="page">
                  <wp:posOffset>2866390</wp:posOffset>
                </wp:positionH>
                <wp:positionV relativeFrom="paragraph">
                  <wp:posOffset>0</wp:posOffset>
                </wp:positionV>
                <wp:extent cx="1508760" cy="149225"/>
                <wp:wrapTopAndBottom/>
                <wp:docPr id="58" name="Shape 5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84" type="#_x0000_t202" style="position:absolute;margin-left:225.70000000000002pt;margin-top:0;width:118.8pt;height:11.75pt;z-index:-125829338;mso-wrap-distance-left:0;mso-wrap-distance-right:0;mso-wrap-distance-bottom:1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v:shape>
            </w:pict>
          </mc:Fallback>
        </mc:AlternateContent>
      </w:r>
      <w:r>
        <mc:AlternateContent>
          <mc:Choice Requires="wps">
            <w:drawing>
              <wp:anchor distT="0" distB="152400" distL="0" distR="0" simplePos="0" relativeHeight="125829417" behindDoc="0" locked="0" layoutInCell="1" allowOverlap="1">
                <wp:simplePos x="0" y="0"/>
                <wp:positionH relativeFrom="page">
                  <wp:posOffset>5487670</wp:posOffset>
                </wp:positionH>
                <wp:positionV relativeFrom="paragraph">
                  <wp:posOffset>0</wp:posOffset>
                </wp:positionV>
                <wp:extent cx="1286510" cy="149225"/>
                <wp:wrapTopAndBottom/>
                <wp:docPr id="60" name="Shape 6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86" type="#_x0000_t202" style="position:absolute;margin-left:432.10000000000002pt;margin-top:0;width:101.3pt;height:11.75pt;z-index:-125829336;mso-wrap-distance-left:0;mso-wrap-distance-right:0;mso-wrap-distance-bottom:1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v:shape>
            </w:pict>
          </mc:Fallback>
        </mc:AlternateContent>
      </w:r>
    </w:p>
    <w:p>
      <w:pPr>
        <w:pStyle w:val="Style44"/>
        <w:keepNext/>
        <w:keepLines/>
        <w:widowControl w:val="0"/>
        <w:shd w:val="clear" w:color="auto" w:fill="auto"/>
        <w:bidi w:val="0"/>
        <w:spacing w:before="0" w:after="38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6</w:t>
      </w:r>
      <w:bookmarkEnd w:id="623"/>
      <w:r>
        <w:rPr>
          <w:color w:val="000000"/>
          <w:spacing w:val="0"/>
          <w:w w:val="100"/>
          <w:position w:val="0"/>
        </w:rPr>
        <w:t>、母公司现金流量表</w:t>
      </w:r>
      <w:bookmarkEnd w:id="621"/>
      <w:bookmarkEnd w:id="622"/>
      <w:bookmarkEnd w:id="624"/>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045"/>
        <w:gridCol w:w="2189"/>
        <w:gridCol w:w="234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2,601,496,281.38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2,566,990,039.57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177,204,151.27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139,152,833.29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509,040,253.31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135,624,409.82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3,287,740,685.96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2,841,767,282.68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1,386,463,119.49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1,205,871,074.93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257,600,675.06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210,778,669.32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301,224,881.75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320,932,373.99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711,187,356.43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302,664,796.68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2,656,476,032.73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2,040,246,914.92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631,264,653.23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801,520,367.76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3,214,000,000.00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18,429,441.01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1,372,443.65</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22,865.00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101,110.00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3,232,452,306.01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1,473,553.65</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77,564,893.10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16,454,748.65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4,115,800,000.00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both"/>
            </w:pPr>
            <w:r>
              <w:rPr>
                <w:color w:val="000000"/>
                <w:spacing w:val="0"/>
                <w:w w:val="100"/>
                <w:position w:val="0"/>
              </w:rPr>
              <w:t>4,193,364,893.10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66,454,748.65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-960,912,587.09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-64,981,195.00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45"/>
        <w:gridCol w:w="2189"/>
        <w:gridCol w:w="234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186,809,326.50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44,478,411.10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186,809,326.50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44,478,411.10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-186,809,326.50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-44,478,411.10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-539,791.84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273,476.92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-516,997,052.20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692,334,238.58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1,703,848,033.38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1,011,513,794.80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1,186,850,981.18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1,703,848,033.38</w:t>
            </w:r>
          </w:p>
        </w:tc>
      </w:tr>
    </w:tbl>
    <w:p>
      <w:pPr>
        <w:sectPr>
          <w:headerReference w:type="default" r:id="rId17"/>
          <w:footerReference w:type="default" r:id="rId18"/>
          <w:footnotePr>
            <w:pos w:val="pageBottom"/>
            <w:numFmt w:val="decimal"/>
            <w:numRestart w:val="continuous"/>
          </w:footnotePr>
          <w:pgSz w:w="11900" w:h="16840"/>
          <w:pgMar w:top="1441" w:right="1122" w:bottom="1489" w:left="1091"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35"/>
        <w:keepNext w:val="0"/>
        <w:keepLines w:val="0"/>
        <w:framePr w:w="1661" w:h="235" w:wrap="none" w:vAnchor="text" w:hAnchor="page" w:x="1131" w:y="21"/>
        <w:widowControl w:val="0"/>
        <w:shd w:val="clear" w:color="auto" w:fill="auto"/>
        <w:bidi w:val="0"/>
        <w:spacing w:before="0" w:after="0" w:line="240" w:lineRule="auto"/>
        <w:ind w:left="0" w:right="0" w:firstLine="0"/>
        <w:jc w:val="left"/>
      </w:pPr>
      <w:r>
        <w:rPr>
          <w:color w:val="000000"/>
          <w:spacing w:val="0"/>
          <w:w w:val="100"/>
          <w:position w:val="0"/>
        </w:rPr>
        <w:t>法定代表人：赵友永</w:t>
      </w:r>
    </w:p>
    <w:p>
      <w:pPr>
        <w:pStyle w:val="Style35"/>
        <w:keepNext w:val="0"/>
        <w:keepLines w:val="0"/>
        <w:framePr w:w="2376" w:h="235" w:wrap="none" w:vAnchor="text" w:hAnchor="page" w:x="4558" w:y="21"/>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p>
      <w:pPr>
        <w:pStyle w:val="Style35"/>
        <w:keepNext w:val="0"/>
        <w:keepLines w:val="0"/>
        <w:framePr w:w="2026" w:h="235" w:wrap="none" w:vAnchor="text" w:hAnchor="page" w:x="8686" w:y="21"/>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41" w:bottom="1162" w:left="1112" w:header="0" w:footer="3" w:gutter="0"/>
          <w:cols w:space="720"/>
          <w:noEndnote/>
          <w:rtlGutter w:val="0"/>
          <w:docGrid w:linePitch="360"/>
        </w:sectPr>
      </w:pPr>
    </w:p>
    <w:p>
      <w:pPr>
        <w:pStyle w:val="Style44"/>
        <w:keepNext/>
        <w:keepLines/>
        <w:widowControl w:val="0"/>
        <w:shd w:val="clear" w:color="auto" w:fill="auto"/>
        <w:bidi w:val="0"/>
        <w:spacing w:before="0" w:after="22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7</w:t>
      </w:r>
      <w:bookmarkEnd w:id="627"/>
      <w:r>
        <w:rPr>
          <w:color w:val="000000"/>
          <w:spacing w:val="0"/>
          <w:w w:val="100"/>
          <w:position w:val="0"/>
        </w:rPr>
        <w:t>、合并所有者权益变动表</w:t>
      </w:r>
      <w:bookmarkEnd w:id="625"/>
      <w:bookmarkEnd w:id="626"/>
      <w:bookmarkEnd w:id="628"/>
    </w:p>
    <w:p>
      <w:pPr>
        <w:pStyle w:val="Style35"/>
        <w:keepNext w:val="0"/>
        <w:keepLines w:val="0"/>
        <w:widowControl w:val="0"/>
        <w:shd w:val="clear" w:color="auto" w:fill="auto"/>
        <w:bidi w:val="0"/>
        <w:spacing w:before="0" w:line="350" w:lineRule="exact"/>
        <w:ind w:left="0" w:right="0" w:firstLine="0"/>
        <w:jc w:val="left"/>
      </w:pPr>
      <w:r>
        <w:rPr>
          <w:color w:val="000000"/>
          <w:spacing w:val="0"/>
          <w:w w:val="100"/>
          <w:position w:val="0"/>
        </w:rPr>
        <w:t>编制单位：广州广电运通金融电子股份有限公司 本期金额</w:t>
      </w:r>
    </w:p>
    <w:p>
      <w:pPr>
        <w:pStyle w:val="Style33"/>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2986"/>
        <w:gridCol w:w="1416"/>
        <w:gridCol w:w="1277"/>
        <w:gridCol w:w="566"/>
        <w:gridCol w:w="566"/>
        <w:gridCol w:w="1277"/>
        <w:gridCol w:w="706"/>
        <w:gridCol w:w="1421"/>
        <w:gridCol w:w="1133"/>
        <w:gridCol w:w="1277"/>
        <w:gridCol w:w="142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实收资本</w:t>
            </w:r>
          </w:p>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622,697,755.00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178,647,184.24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256,677,653.25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1,911,456,422.49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-1,237,162.55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25,537,520.15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2,993,779,372.58</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622,697,755.00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178,647,184.24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256,677,653.25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1,911,456,422.49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-1,237,162.55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25,537,520.15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2,993,779,372.58</w:t>
            </w:r>
          </w:p>
        </w:tc>
      </w:tr>
      <w:tr>
        <w:trPr>
          <w:trHeight w:val="710"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124,539,551.00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-1,907,452.99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329,600,463.82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807,195.38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109,739,805.04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626,906,638.88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705,076,417.95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5,988,780.51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711,065,198.46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-1,135,777.92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807,195.38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-328,582.54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-1,135,777.92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705,076,417.95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807,195.38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5,988,780.51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710,736,615.92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-771,675.07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106,584,382.89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105,812,707.82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11,270,000.00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11,270,000.00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-771,675.07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95,314,382.89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94,542,707.82</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64,127,076.63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-250,936,403.13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-2,833,358.36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-189,642,684.86</w:t>
            </w:r>
          </w:p>
        </w:tc>
      </w:tr>
    </w:tbl>
    <w:p>
      <w:pPr>
        <w:widowControl w:val="0"/>
        <w:spacing w:line="1" w:lineRule="exact"/>
      </w:pPr>
      <w:r>
        <w:br w:type="page"/>
      </w:r>
    </w:p>
    <w:tbl>
      <w:tblPr>
        <w:tblOverlap w:val="never"/>
        <w:jc w:val="center"/>
        <w:tblLayout w:type="fixed"/>
      </w:tblPr>
      <w:tblGrid>
        <w:gridCol w:w="2986"/>
        <w:gridCol w:w="1416"/>
        <w:gridCol w:w="1277"/>
        <w:gridCol w:w="566"/>
        <w:gridCol w:w="566"/>
        <w:gridCol w:w="1277"/>
        <w:gridCol w:w="706"/>
        <w:gridCol w:w="1421"/>
        <w:gridCol w:w="1133"/>
        <w:gridCol w:w="1277"/>
        <w:gridCol w:w="1426"/>
      </w:tblGrid>
      <w:tr>
        <w:trPr>
          <w:trHeight w:val="437"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-186,809,326.50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-2,833,358.36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-189,642,684.86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747,237,306.00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176,739,731.25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320,804,729.88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2,241,056,886.31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-429,967.17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135,277,325.19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3,620,686,011.46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2986"/>
        <w:gridCol w:w="1416"/>
        <w:gridCol w:w="1277"/>
        <w:gridCol w:w="566"/>
        <w:gridCol w:w="566"/>
        <w:gridCol w:w="1277"/>
        <w:gridCol w:w="706"/>
        <w:gridCol w:w="1421"/>
        <w:gridCol w:w="1133"/>
        <w:gridCol w:w="1277"/>
        <w:gridCol w:w="142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实收资本</w:t>
            </w:r>
          </w:p>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减：库 存股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专项 储备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 险准备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444,784,111.00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359,057,056.10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203,098,728.13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1,430,881,774.72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-939,775.32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24,139,829.89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2,461,021,724.52</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加：同一控制下企业合并产生的 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416"/>
        <w:gridCol w:w="1277"/>
        <w:gridCol w:w="566"/>
        <w:gridCol w:w="566"/>
        <w:gridCol w:w="1277"/>
        <w:gridCol w:w="706"/>
        <w:gridCol w:w="1421"/>
        <w:gridCol w:w="1133"/>
        <w:gridCol w:w="1277"/>
        <w:gridCol w:w="1426"/>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444,784,111.00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359,057,056.10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203,098,728.13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1,430,881,774.72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-939,775.32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24,139,829.89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2,461,021,724.52</w:t>
            </w:r>
          </w:p>
        </w:tc>
      </w:tr>
      <w:tr>
        <w:trPr>
          <w:trHeight w:val="715"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177,913,644.00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-180,409,871.86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480,574,647.77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-297,387.23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1,397,690.26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532,757,648.06</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578,631,983.99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2,716,312.59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581,348,296.58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-2,496,227.86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-297,387.23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-2,793,615.09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-2,496,227.86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578,631,983.99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-297,387.23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2,716,312.59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578,554,681.49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-98,057,336.22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-1,318,622.33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-45,797,033.43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-44,478,411.10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-1,318,622.33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-45,797,033.43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177,913,644.00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-177,913,644.00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177,913,644.00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-177,913,644.00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1416"/>
        <w:gridCol w:w="1277"/>
        <w:gridCol w:w="566"/>
        <w:gridCol w:w="566"/>
        <w:gridCol w:w="1277"/>
        <w:gridCol w:w="706"/>
        <w:gridCol w:w="1421"/>
        <w:gridCol w:w="1133"/>
        <w:gridCol w:w="1277"/>
        <w:gridCol w:w="1426"/>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622,697,755.00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178,647,184.24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256,677,653.25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1,911,456,422.49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-1,237,162.55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25,537,520.15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2,993,779,372.58</w:t>
            </w:r>
          </w:p>
        </w:tc>
      </w:tr>
    </w:tbl>
    <w:p>
      <w:pPr>
        <w:pStyle w:val="Style44"/>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7770495" simplePos="0" relativeHeight="125829419" behindDoc="0" locked="0" layoutInCell="1" allowOverlap="1">
                <wp:simplePos x="0" y="0"/>
                <wp:positionH relativeFrom="page">
                  <wp:posOffset>904875</wp:posOffset>
                </wp:positionH>
                <wp:positionV relativeFrom="margin">
                  <wp:posOffset>1012190</wp:posOffset>
                </wp:positionV>
                <wp:extent cx="1054735" cy="149225"/>
                <wp:wrapTopAndBottom/>
                <wp:docPr id="67" name="Shape 6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wps:txbx>
                      <wps:bodyPr wrap="none" lIns="0" tIns="0" rIns="0" bIns="0">
                        <a:noAutoFit/>
                      </wps:bodyPr>
                    </wps:wsp>
                  </a:graphicData>
                </a:graphic>
              </wp:anchor>
            </w:drawing>
          </mc:Choice>
          <mc:Fallback>
            <w:pict>
              <v:shape id="_x0000_s1093" type="#_x0000_t202" style="position:absolute;margin-left:71.25pt;margin-top:79.700000000000003pt;width:83.049999999999997pt;height:11.75pt;z-index:-125829334;mso-wrap-distance-left:9.pt;mso-wrap-distance-top:12.pt;mso-wrap-distance-right:611.85000000000002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法定代表人：赵友永</w:t>
                      </w:r>
                    </w:p>
                  </w:txbxContent>
                </v:textbox>
                <w10:wrap type="topAndBottom" anchorx="page" anchory="margin"/>
              </v:shape>
            </w:pict>
          </mc:Fallback>
        </mc:AlternateContent>
      </w:r>
      <w:r>
        <mc:AlternateContent>
          <mc:Choice Requires="wps">
            <w:drawing>
              <wp:anchor distT="152400" distB="0" distL="3604260" distR="3826510" simplePos="0" relativeHeight="125829421" behindDoc="0" locked="0" layoutInCell="1" allowOverlap="1">
                <wp:simplePos x="0" y="0"/>
                <wp:positionH relativeFrom="page">
                  <wp:posOffset>4394835</wp:posOffset>
                </wp:positionH>
                <wp:positionV relativeFrom="margin">
                  <wp:posOffset>1012190</wp:posOffset>
                </wp:positionV>
                <wp:extent cx="1508760" cy="149225"/>
                <wp:wrapTopAndBottom/>
                <wp:docPr id="69" name="Shape 6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wps:txbx>
                      <wps:bodyPr wrap="none" lIns="0" tIns="0" rIns="0" bIns="0">
                        <a:noAutoFit/>
                      </wps:bodyPr>
                    </wps:wsp>
                  </a:graphicData>
                </a:graphic>
              </wp:anchor>
            </w:drawing>
          </mc:Choice>
          <mc:Fallback>
            <w:pict>
              <v:shape id="_x0000_s1095" type="#_x0000_t202" style="position:absolute;margin-left:346.05000000000001pt;margin-top:79.700000000000003pt;width:118.8pt;height:11.75pt;z-index:-125829332;mso-wrap-distance-left:283.80000000000001pt;mso-wrap-distance-top:12.pt;mso-wrap-distance-right:301.3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txbxContent>
                </v:textbox>
                <w10:wrap type="topAndBottom" anchorx="page" anchory="margin"/>
              </v:shape>
            </w:pict>
          </mc:Fallback>
        </mc:AlternateContent>
      </w:r>
      <w:r>
        <mc:AlternateContent>
          <mc:Choice Requires="wps">
            <w:drawing>
              <wp:anchor distT="152400" distB="0" distL="7539355" distR="113665" simplePos="0" relativeHeight="125829423" behindDoc="0" locked="0" layoutInCell="1" allowOverlap="1">
                <wp:simplePos x="0" y="0"/>
                <wp:positionH relativeFrom="page">
                  <wp:posOffset>8329930</wp:posOffset>
                </wp:positionH>
                <wp:positionV relativeFrom="margin">
                  <wp:posOffset>1012190</wp:posOffset>
                </wp:positionV>
                <wp:extent cx="1286510" cy="149225"/>
                <wp:wrapTopAndBottom/>
                <wp:docPr id="71" name="Shape 7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wps:txbx>
                      <wps:bodyPr wrap="none" lIns="0" tIns="0" rIns="0" bIns="0">
                        <a:noAutoFit/>
                      </wps:bodyPr>
                    </wps:wsp>
                  </a:graphicData>
                </a:graphic>
              </wp:anchor>
            </w:drawing>
          </mc:Choice>
          <mc:Fallback>
            <w:pict>
              <v:shape id="_x0000_s1097" type="#_x0000_t202" style="position:absolute;margin-left:655.89999999999998pt;margin-top:79.700000000000003pt;width:101.3pt;height:11.75pt;z-index:-125829330;mso-wrap-distance-left:593.64999999999998pt;mso-wrap-distance-top:12.pt;mso-wrap-distance-right:8.950000000000001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txbxContent>
                </v:textbox>
                <w10:wrap type="topAndBottom" anchorx="page" anchory="margin"/>
              </v:shape>
            </w:pict>
          </mc:Fallback>
        </mc:AlternateContent>
      </w: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8</w:t>
      </w:r>
      <w:bookmarkEnd w:id="631"/>
      <w:r>
        <w:rPr>
          <w:color w:val="000000"/>
          <w:spacing w:val="0"/>
          <w:w w:val="100"/>
          <w:position w:val="0"/>
        </w:rPr>
        <w:t>、母公司所有者权益变动表</w:t>
      </w:r>
      <w:bookmarkEnd w:id="629"/>
      <w:bookmarkEnd w:id="630"/>
      <w:bookmarkEnd w:id="632"/>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编制单位：广州广电运通金融电子股份有限公司</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3691"/>
        <w:gridCol w:w="1560"/>
        <w:gridCol w:w="1560"/>
        <w:gridCol w:w="994"/>
        <w:gridCol w:w="706"/>
        <w:gridCol w:w="1560"/>
        <w:gridCol w:w="850"/>
        <w:gridCol w:w="1704"/>
        <w:gridCol w:w="142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20" w:line="240" w:lineRule="auto"/>
              <w:ind w:left="0" w:right="0" w:firstLine="400"/>
              <w:jc w:val="left"/>
            </w:pPr>
            <w:r>
              <w:rPr>
                <w:rFonts w:ascii="SimSun" w:eastAsia="SimSun" w:hAnsi="SimSun" w:cs="SimSun"/>
                <w:color w:val="000000"/>
                <w:spacing w:val="0"/>
                <w:w w:val="100"/>
                <w:position w:val="0"/>
              </w:rPr>
              <w:t>实收资本</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55" w:lineRule="exact"/>
              <w:ind w:left="160" w:right="0" w:firstLine="0"/>
              <w:jc w:val="left"/>
            </w:pPr>
            <w:r>
              <w:rPr>
                <w:rFonts w:ascii="SimSun" w:eastAsia="SimSun" w:hAnsi="SimSun" w:cs="SimSun"/>
                <w:color w:val="000000"/>
                <w:spacing w:val="0"/>
                <w:w w:val="100"/>
                <w:position w:val="0"/>
              </w:rPr>
              <w:t>专项 储备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622,697,755.00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180,698,199.56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256,677,653.25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1,820,919,867.99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2,880,993,475.80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622,697,755.00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180,698,199.56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256,677,653.25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1,820,919,867.99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2,880,993,475.80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124,539,551.00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754,424.84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265,794,812.16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455,215,864.63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641,270,766.29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641,270,766.29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641,270,766.29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641,270,766.29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754,424.84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754,424.84</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1560"/>
        <w:gridCol w:w="1560"/>
        <w:gridCol w:w="994"/>
        <w:gridCol w:w="706"/>
        <w:gridCol w:w="1560"/>
        <w:gridCol w:w="850"/>
        <w:gridCol w:w="1704"/>
        <w:gridCol w:w="1426"/>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754,424.84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754,424.84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-250,936,403.13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-186,809,326.50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-64,127,076.63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-186,809,326.50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-186,809,326.50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-124,539,551.00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124,539,551.00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-124,539,551.00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747,237,306.00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181,452,624.40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320,804,729.88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2,086,714,680.15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3,336,209,340.43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13229" w:right="0" w:firstLine="0"/>
        <w:jc w:val="left"/>
      </w:pPr>
      <w:r>
        <w:rPr>
          <w:color w:val="000000"/>
          <w:spacing w:val="0"/>
          <w:w w:val="100"/>
          <w:position w:val="0"/>
        </w:rPr>
        <w:t>单位：元</w:t>
      </w:r>
    </w:p>
    <w:tbl>
      <w:tblPr>
        <w:tblOverlap w:val="never"/>
        <w:jc w:val="center"/>
        <w:tblLayout w:type="fixed"/>
      </w:tblPr>
      <w:tblGrid>
        <w:gridCol w:w="3691"/>
        <w:gridCol w:w="1560"/>
        <w:gridCol w:w="1560"/>
        <w:gridCol w:w="994"/>
        <w:gridCol w:w="706"/>
        <w:gridCol w:w="1560"/>
        <w:gridCol w:w="850"/>
        <w:gridCol w:w="1704"/>
        <w:gridCol w:w="1426"/>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40" w:line="240" w:lineRule="auto"/>
              <w:ind w:left="0" w:right="0" w:firstLine="400"/>
              <w:jc w:val="left"/>
            </w:pPr>
            <w:r>
              <w:rPr>
                <w:rFonts w:ascii="SimSun" w:eastAsia="SimSun" w:hAnsi="SimSun" w:cs="SimSun"/>
                <w:color w:val="000000"/>
                <w:spacing w:val="0"/>
                <w:w w:val="100"/>
                <w:position w:val="0"/>
              </w:rPr>
              <w:t>实收资本</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60" w:lineRule="exact"/>
              <w:ind w:left="160" w:right="0" w:firstLine="0"/>
              <w:jc w:val="left"/>
            </w:pPr>
            <w:r>
              <w:rPr>
                <w:rFonts w:ascii="SimSun" w:eastAsia="SimSun" w:hAnsi="SimSun" w:cs="SimSun"/>
                <w:color w:val="000000"/>
                <w:spacing w:val="0"/>
                <w:w w:val="100"/>
                <w:position w:val="0"/>
              </w:rPr>
              <w:t>专项 储备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一般风险 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444,784,111.00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358,611,843.56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203,098,728.13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1,383,187,953.02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2,389,682,635.71</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1560"/>
        <w:gridCol w:w="1560"/>
        <w:gridCol w:w="994"/>
        <w:gridCol w:w="706"/>
        <w:gridCol w:w="1560"/>
        <w:gridCol w:w="850"/>
        <w:gridCol w:w="1704"/>
        <w:gridCol w:w="1426"/>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444,784,111.00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358,611,843.56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203,098,728.13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1,383,187,953.02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2,389,682,635.71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177,913,644.00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-177,913,644.00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437,731,914.97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491,310,840.09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535,789,251.19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535,789,251.19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535,789,251.19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535,789,251.19</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-98,057,336.22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-44,478,411.10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53,578,925.12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-53,578,925.12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-44,478,411.10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-44,478,411.10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177,913,644.00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-177,913,644.00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177,913,644.00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-177,913,644.00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91"/>
        <w:gridCol w:w="1560"/>
        <w:gridCol w:w="1560"/>
        <w:gridCol w:w="994"/>
        <w:gridCol w:w="706"/>
        <w:gridCol w:w="1560"/>
        <w:gridCol w:w="850"/>
        <w:gridCol w:w="1704"/>
        <w:gridCol w:w="1426"/>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622,697,755.00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180,698,199.56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256,677,653.25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1,820,919,867.99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2,880,993,475.80</w:t>
            </w:r>
          </w:p>
        </w:tc>
      </w:tr>
    </w:tbl>
    <w:p>
      <w:pPr>
        <w:sectPr>
          <w:headerReference w:type="default" r:id="rId19"/>
          <w:footerReference w:type="default" r:id="rId20"/>
          <w:footnotePr>
            <w:pos w:val="pageBottom"/>
            <w:numFmt w:val="decimal"/>
            <w:numRestart w:val="continuous"/>
          </w:footnotePr>
          <w:pgSz w:w="16840" w:h="11900" w:orient="landscape"/>
          <w:pgMar w:top="1098" w:right="1355" w:bottom="1202" w:left="1420"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9" w:right="0" w:bottom="1154" w:left="0" w:header="0" w:footer="3" w:gutter="0"/>
          <w:cols w:space="720"/>
          <w:noEndnote/>
          <w:rtlGutter w:val="0"/>
          <w:docGrid w:linePitch="360"/>
        </w:sectPr>
      </w:pPr>
    </w:p>
    <w:p>
      <w:pPr>
        <w:pStyle w:val="Style35"/>
        <w:keepNext w:val="0"/>
        <w:keepLines w:val="0"/>
        <w:framePr w:w="1661" w:h="235" w:wrap="none" w:vAnchor="text" w:hAnchor="page" w:x="1419" w:y="21"/>
        <w:widowControl w:val="0"/>
        <w:shd w:val="clear" w:color="auto" w:fill="auto"/>
        <w:bidi w:val="0"/>
        <w:spacing w:before="0" w:after="0" w:line="240" w:lineRule="auto"/>
        <w:ind w:left="0" w:right="0" w:firstLine="0"/>
        <w:jc w:val="left"/>
      </w:pPr>
      <w:r>
        <w:rPr>
          <w:color w:val="000000"/>
          <w:spacing w:val="0"/>
          <w:w w:val="100"/>
          <w:position w:val="0"/>
        </w:rPr>
        <w:t>法定代表人：赵友永</w:t>
      </w:r>
    </w:p>
    <w:p>
      <w:pPr>
        <w:pStyle w:val="Style35"/>
        <w:keepNext w:val="0"/>
        <w:keepLines w:val="0"/>
        <w:framePr w:w="2376" w:h="235" w:wrap="none" w:vAnchor="text" w:hAnchor="page" w:x="6915" w:y="21"/>
        <w:widowControl w:val="0"/>
        <w:shd w:val="clear" w:color="auto" w:fill="auto"/>
        <w:bidi w:val="0"/>
        <w:spacing w:before="0" w:after="0" w:line="240" w:lineRule="auto"/>
        <w:ind w:left="0" w:right="0" w:firstLine="0"/>
        <w:jc w:val="left"/>
      </w:pPr>
      <w:r>
        <w:rPr>
          <w:color w:val="000000"/>
          <w:spacing w:val="0"/>
          <w:w w:val="100"/>
          <w:position w:val="0"/>
        </w:rPr>
        <w:t>主管会计工作负责人：蒋春晨</w:t>
      </w:r>
    </w:p>
    <w:p>
      <w:pPr>
        <w:pStyle w:val="Style35"/>
        <w:keepNext w:val="0"/>
        <w:keepLines w:val="0"/>
        <w:framePr w:w="2026" w:h="235" w:wrap="none" w:vAnchor="text" w:hAnchor="page" w:x="13112" w:y="21"/>
        <w:widowControl w:val="0"/>
        <w:shd w:val="clear" w:color="auto" w:fill="auto"/>
        <w:bidi w:val="0"/>
        <w:spacing w:before="0" w:after="0" w:line="240" w:lineRule="auto"/>
        <w:ind w:left="0" w:right="0" w:firstLine="0"/>
        <w:jc w:val="left"/>
      </w:pPr>
      <w:r>
        <w:rPr>
          <w:color w:val="000000"/>
          <w:spacing w:val="0"/>
          <w:w w:val="100"/>
          <w:position w:val="0"/>
        </w:rPr>
        <w:t>会计机构负责人：惠小绒</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9" w:right="1360" w:bottom="1154" w:left="1422" w:header="0" w:footer="3" w:gutter="0"/>
          <w:cols w:space="720"/>
          <w:noEndnote/>
          <w:rtlGutter w:val="0"/>
          <w:docGrid w:linePitch="360"/>
        </w:sectPr>
      </w:pPr>
    </w:p>
    <w:p>
      <w:pPr>
        <w:pStyle w:val="Style31"/>
        <w:keepNext/>
        <w:keepLines/>
        <w:widowControl w:val="0"/>
        <w:shd w:val="clear" w:color="auto" w:fill="auto"/>
        <w:bidi w:val="0"/>
        <w:spacing w:before="140" w:after="220" w:line="240" w:lineRule="auto"/>
        <w:ind w:left="0" w:right="0" w:firstLine="0"/>
        <w:jc w:val="both"/>
      </w:pPr>
      <w:bookmarkStart w:id="633" w:name="bookmark633"/>
      <w:bookmarkStart w:id="634" w:name="bookmark634"/>
      <w:bookmarkStart w:id="635" w:name="bookmark635"/>
      <w:bookmarkStart w:id="636" w:name="bookmark636"/>
      <w:r>
        <w:rPr>
          <w:color w:val="000000"/>
          <w:spacing w:val="0"/>
          <w:w w:val="100"/>
          <w:position w:val="0"/>
          <w:sz w:val="24"/>
          <w:szCs w:val="24"/>
        </w:rPr>
        <w:t>三</w:t>
      </w:r>
      <w:bookmarkEnd w:id="635"/>
      <w:r>
        <w:rPr>
          <w:color w:val="000000"/>
          <w:spacing w:val="0"/>
          <w:w w:val="100"/>
          <w:position w:val="0"/>
          <w:sz w:val="24"/>
          <w:szCs w:val="24"/>
        </w:rPr>
        <w:t>、公司基本情况</w:t>
      </w:r>
      <w:bookmarkEnd w:id="633"/>
      <w:bookmarkEnd w:id="634"/>
      <w:bookmarkEnd w:id="636"/>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 xml:space="preserve">广州广电运通金融电子股份有限公司（以下简称“本公司或公司”）前身系广州广电运通金融电子有限 公司，成立于1999年7月8日，2005年10月经广州市人民政府办公厅穗府办函[2005]161号文批准，广州市 经济贸易委员会穗经贸函[2005]492号文批复，由广州无线电集团有限公司、深圳市德通投资有限公司、 盈富泰克创业投资有限公司、梅州敬基金属制品有限公司、广州藤川科技有限公司作为发起人，以发起设 立方式将广州广电运通金融电子有限公司整体变更为广州广电运通金融电子股份有限公司。注册资本为 </w:t>
      </w:r>
      <w:r>
        <w:rPr>
          <w:b w:val="0"/>
          <w:bCs w:val="0"/>
          <w:color w:val="000000"/>
          <w:spacing w:val="0"/>
          <w:w w:val="100"/>
          <w:position w:val="0"/>
        </w:rPr>
        <w:t>106,559,010.00</w:t>
      </w:r>
      <w:r>
        <w:rPr>
          <w:b w:val="0"/>
          <w:bCs w:val="0"/>
          <w:color w:val="000000"/>
          <w:spacing w:val="0"/>
          <w:w w:val="100"/>
          <w:position w:val="0"/>
        </w:rPr>
        <w:t>元，于2005年10月18日取得广州市工商行政管理局核发的变更后的企业法人营业执照，注 册号为：4401011103795。</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2006年12月，经本公司股东大会审议通过，股东盈富泰克创业投资有限公司将持有本公司10.657%股 权中的</w:t>
      </w:r>
      <w:r>
        <w:rPr>
          <w:b w:val="0"/>
          <w:bCs w:val="0"/>
          <w:color w:val="000000"/>
          <w:spacing w:val="0"/>
          <w:w w:val="100"/>
          <w:position w:val="0"/>
        </w:rPr>
        <w:t xml:space="preserve">5. </w:t>
      </w:r>
      <w:r>
        <w:rPr>
          <w:b w:val="0"/>
          <w:bCs w:val="0"/>
          <w:color w:val="000000"/>
          <w:spacing w:val="0"/>
          <w:w w:val="100"/>
          <w:position w:val="0"/>
        </w:rPr>
        <w:t>026%转让给股东广州无线电集团有限公司，股东深圳市德通投资有限公司将持有本公司</w:t>
      </w:r>
      <w:r>
        <w:rPr>
          <w:b w:val="0"/>
          <w:bCs w:val="0"/>
          <w:color w:val="000000"/>
          <w:spacing w:val="0"/>
          <w:w w:val="100"/>
          <w:position w:val="0"/>
        </w:rPr>
        <w:t xml:space="preserve">17. </w:t>
      </w:r>
      <w:r>
        <w:rPr>
          <w:b w:val="0"/>
          <w:bCs w:val="0"/>
          <w:color w:val="000000"/>
          <w:spacing w:val="0"/>
          <w:w w:val="100"/>
          <w:position w:val="0"/>
        </w:rPr>
        <w:t>762% 的股权全部转让给自然人股东叶子瑜等48人。</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经中国证券监督管理委员会证监发行字[2007]188号《关于核准广州广电运通金融电子股份有限公司 首次公开发行股票的通知》核准，本公司获准向社会公开发行人民币普通股</w:t>
      </w:r>
      <w:r>
        <w:rPr>
          <w:b w:val="0"/>
          <w:bCs w:val="0"/>
          <w:color w:val="000000"/>
          <w:spacing w:val="0"/>
          <w:w w:val="100"/>
          <w:position w:val="0"/>
        </w:rPr>
        <w:t>（A</w:t>
      </w:r>
      <w:r>
        <w:rPr>
          <w:b w:val="0"/>
          <w:bCs w:val="0"/>
          <w:color w:val="000000"/>
          <w:spacing w:val="0"/>
          <w:w w:val="100"/>
          <w:position w:val="0"/>
        </w:rPr>
        <w:t>股）3600万股。并于2007 年8月13日在深圳证券交易所挂牌交易，发行上市后注册资本由人民币</w:t>
      </w:r>
      <w:r>
        <w:rPr>
          <w:b w:val="0"/>
          <w:bCs w:val="0"/>
          <w:color w:val="000000"/>
          <w:spacing w:val="0"/>
          <w:w w:val="100"/>
          <w:position w:val="0"/>
        </w:rPr>
        <w:t>106,559,010.00</w:t>
      </w:r>
      <w:r>
        <w:rPr>
          <w:b w:val="0"/>
          <w:bCs w:val="0"/>
          <w:color w:val="000000"/>
          <w:spacing w:val="0"/>
          <w:w w:val="100"/>
          <w:position w:val="0"/>
        </w:rPr>
        <w:t xml:space="preserve">元增加至 </w:t>
      </w:r>
      <w:r>
        <w:rPr>
          <w:b w:val="0"/>
          <w:bCs w:val="0"/>
          <w:color w:val="000000"/>
          <w:spacing w:val="0"/>
          <w:w w:val="100"/>
          <w:position w:val="0"/>
        </w:rPr>
        <w:t>142,559,010.00</w:t>
      </w:r>
      <w:r>
        <w:rPr>
          <w:b w:val="0"/>
          <w:bCs w:val="0"/>
          <w:color w:val="000000"/>
          <w:spacing w:val="0"/>
          <w:w w:val="100"/>
          <w:position w:val="0"/>
        </w:rPr>
        <w:t>元。证券简称为“广电运通”，证券代码为“002152”，所属行业为专用设备制造业。</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经本公司第一届董事会第十五次会议、2008年4月18日股东大会决议通过，本公司以2007年末总股本 为基数，以资本公积向全体股东每10股转增10股股本。</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经本公司第二届董事会第二次会议、2009年4月28日股东大会决议通过，本公司以2008年末总股本为 基数，以资本公积向全体股东每10股转增2股股本。</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经本公司第二届董事会第十二次会议、2011年4月15日股东大会决议通过，本公司以2010年末总股本 为基数，以未分配利润向全体股东每10股送3股红股。</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经本公司第三届董事会第二次会议、2012年4月19日股东大会决议通过，本公司以2011年末总股本为 基数，以资本公积向全体股东每10股转增4股股本。</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经本公司第三届董事会第十次会议、2013年4月23日股东大会决议通过，本公司以2012年末总股本为 基数，以未分配利润向全体股东每10股送2股红股。</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2013年6月7日，本公司取得变更后的企业法人营业执照，注册号为：440101000000880。注册地为广 州市萝岗区科学城科林路9号。</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截止2013年12月31日，本公司注册资本为人民币至</w:t>
      </w:r>
      <w:r>
        <w:rPr>
          <w:b w:val="0"/>
          <w:bCs w:val="0"/>
          <w:color w:val="000000"/>
          <w:spacing w:val="0"/>
          <w:w w:val="100"/>
          <w:position w:val="0"/>
        </w:rPr>
        <w:t>747,237,306.00</w:t>
      </w:r>
      <w:r>
        <w:rPr>
          <w:b w:val="0"/>
          <w:bCs w:val="0"/>
          <w:color w:val="000000"/>
          <w:spacing w:val="0"/>
          <w:w w:val="100"/>
          <w:position w:val="0"/>
        </w:rPr>
        <w:t>元，总股本为747,237,306股，其 中无限售条件的流通股份为718,611,290股，有限售条件的流通股为28,626,016股。</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本公司经营范围：研制、生产、销售电子计算机设备、货币类自助设备、税务应用设备。电子计算机 系统集成及技术服务。电子计算机软件开发。本企业生产产品的技术咨询和售后服务。货物和技术进出口 （国家限定经营或禁止进出口的商品和技术除外）。对自动柜员机提供日常维修与管理服务。对现金及有 价证券提供清分处理服务。</w:t>
      </w:r>
    </w:p>
    <w:p>
      <w:pPr>
        <w:pStyle w:val="Style54"/>
        <w:keepNext w:val="0"/>
        <w:keepLines w:val="0"/>
        <w:widowControl w:val="0"/>
        <w:shd w:val="clear" w:color="auto" w:fill="auto"/>
        <w:bidi w:val="0"/>
        <w:spacing w:before="0" w:after="380" w:line="391" w:lineRule="exact"/>
        <w:ind w:left="0" w:right="0" w:firstLine="440"/>
        <w:jc w:val="both"/>
      </w:pPr>
      <w:r>
        <w:rPr>
          <w:b w:val="0"/>
          <w:bCs w:val="0"/>
          <w:color w:val="000000"/>
          <w:spacing w:val="0"/>
          <w:w w:val="100"/>
          <w:position w:val="0"/>
        </w:rPr>
        <w:t>本公司治理层权力机构包括：股东大会、董事会和监事会。实行董事会领导下的总经理负责制，公司 下设财务部、人力资源部、证券部、企业管理部、投资管理部、法务部、</w:t>
      </w:r>
      <w:r>
        <w:rPr>
          <w:b w:val="0"/>
          <w:bCs w:val="0"/>
          <w:color w:val="000000"/>
          <w:spacing w:val="0"/>
          <w:w w:val="100"/>
          <w:position w:val="0"/>
        </w:rPr>
        <w:t>IT</w:t>
      </w:r>
      <w:r>
        <w:rPr>
          <w:b w:val="0"/>
          <w:bCs w:val="0"/>
          <w:color w:val="000000"/>
          <w:spacing w:val="0"/>
          <w:w w:val="100"/>
          <w:position w:val="0"/>
        </w:rPr>
        <w:t xml:space="preserve">管理部、制造中心、国内金融 </w:t>
      </w:r>
      <w:r>
        <w:rPr>
          <w:b w:val="0"/>
          <w:bCs w:val="0"/>
          <w:color w:val="000000"/>
          <w:spacing w:val="0"/>
          <w:w w:val="100"/>
          <w:position w:val="0"/>
        </w:rPr>
        <w:t>营销中心、海外营销中心、轨道交通事业部、研究院、客户服务中心、公关关系部、基建办公室等职能部 门。</w:t>
      </w:r>
    </w:p>
    <w:p>
      <w:pPr>
        <w:pStyle w:val="Style31"/>
        <w:keepNext/>
        <w:keepLines/>
        <w:widowControl w:val="0"/>
        <w:shd w:val="clear" w:color="auto" w:fill="auto"/>
        <w:bidi w:val="0"/>
        <w:spacing w:before="0" w:after="340" w:line="240" w:lineRule="auto"/>
        <w:ind w:left="0" w:right="0" w:firstLine="0"/>
        <w:jc w:val="both"/>
      </w:pPr>
      <w:bookmarkStart w:id="637" w:name="bookmark637"/>
      <w:bookmarkStart w:id="638" w:name="bookmark638"/>
      <w:bookmarkStart w:id="639" w:name="bookmark639"/>
      <w:bookmarkStart w:id="640" w:name="bookmark640"/>
      <w:r>
        <w:rPr>
          <w:color w:val="000000"/>
          <w:spacing w:val="0"/>
          <w:w w:val="100"/>
          <w:position w:val="0"/>
          <w:sz w:val="24"/>
          <w:szCs w:val="24"/>
        </w:rPr>
        <w:t>四</w:t>
      </w:r>
      <w:bookmarkEnd w:id="639"/>
      <w:r>
        <w:rPr>
          <w:color w:val="000000"/>
          <w:spacing w:val="0"/>
          <w:w w:val="100"/>
          <w:position w:val="0"/>
          <w:sz w:val="24"/>
          <w:szCs w:val="24"/>
        </w:rPr>
        <w:t>、公司主要会计政策、会计估计和前期差错</w:t>
      </w:r>
      <w:bookmarkEnd w:id="637"/>
      <w:bookmarkEnd w:id="638"/>
      <w:bookmarkEnd w:id="640"/>
    </w:p>
    <w:p>
      <w:pPr>
        <w:pStyle w:val="Style44"/>
        <w:keepNext/>
        <w:keepLines/>
        <w:widowControl w:val="0"/>
        <w:shd w:val="clear" w:color="auto" w:fill="auto"/>
        <w:tabs>
          <w:tab w:pos="808" w:val="left"/>
        </w:tabs>
        <w:bidi w:val="0"/>
        <w:spacing w:before="0" w:after="80" w:line="408" w:lineRule="auto"/>
        <w:ind w:left="0" w:right="0" w:firstLine="44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w:t>
        <w:tab/>
        <w:t>财务报表的编制基础</w:t>
      </w:r>
      <w:bookmarkEnd w:id="641"/>
      <w:bookmarkEnd w:id="642"/>
      <w:bookmarkEnd w:id="644"/>
    </w:p>
    <w:p>
      <w:pPr>
        <w:pStyle w:val="Style54"/>
        <w:keepNext w:val="0"/>
        <w:keepLines w:val="0"/>
        <w:widowControl w:val="0"/>
        <w:shd w:val="clear" w:color="auto" w:fill="auto"/>
        <w:bidi w:val="0"/>
        <w:spacing w:before="0" w:after="380" w:line="387" w:lineRule="exact"/>
        <w:ind w:left="0" w:right="0" w:firstLine="440"/>
        <w:jc w:val="both"/>
      </w:pPr>
      <w:r>
        <w:rPr>
          <w:b w:val="0"/>
          <w:bCs w:val="0"/>
          <w:color w:val="000000"/>
          <w:spacing w:val="0"/>
          <w:w w:val="100"/>
          <w:position w:val="0"/>
        </w:rPr>
        <w:t>公司以持续经营为基础，根据实际发生的交易和事项，按照财政部于2006年2月15日颁布的《企业会 计准则一基本准则》和38项具体会计准则、其后颁布的企业会计准则应用指南、企业会计准则解释及其 他相关规定（以下合称“企业会计准则”）、以及中国证券监督管理委员会《公开发行证券的公司信息披露 编报规则第15号——财务报告的一般规定》（2010年修订）的披露规定编制财务报表。</w:t>
      </w:r>
    </w:p>
    <w:p>
      <w:pPr>
        <w:pStyle w:val="Style44"/>
        <w:keepNext/>
        <w:keepLines/>
        <w:widowControl w:val="0"/>
        <w:shd w:val="clear" w:color="auto" w:fill="auto"/>
        <w:tabs>
          <w:tab w:pos="818" w:val="left"/>
        </w:tabs>
        <w:bidi w:val="0"/>
        <w:spacing w:before="0" w:after="80" w:line="408" w:lineRule="auto"/>
        <w:ind w:left="0" w:right="0" w:firstLine="44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遵循企业会计准则的声明</w:t>
      </w:r>
      <w:bookmarkEnd w:id="645"/>
      <w:bookmarkEnd w:id="646"/>
      <w:bookmarkEnd w:id="648"/>
    </w:p>
    <w:p>
      <w:pPr>
        <w:pStyle w:val="Style54"/>
        <w:keepNext w:val="0"/>
        <w:keepLines w:val="0"/>
        <w:widowControl w:val="0"/>
        <w:shd w:val="clear" w:color="auto" w:fill="auto"/>
        <w:bidi w:val="0"/>
        <w:spacing w:before="0" w:after="380" w:line="384" w:lineRule="exact"/>
        <w:ind w:left="0" w:right="0" w:firstLine="340"/>
        <w:jc w:val="both"/>
      </w:pPr>
      <w:r>
        <w:rPr>
          <w:b w:val="0"/>
          <w:bCs w:val="0"/>
          <w:color w:val="000000"/>
          <w:spacing w:val="0"/>
          <w:w w:val="100"/>
          <w:position w:val="0"/>
        </w:rPr>
        <w:t>公司所编制的财务报表符合企业会计准则的要求，真实、完整地反映了报告期公司的财务状况、经营 成果、现金流量等有关信息。</w:t>
      </w:r>
    </w:p>
    <w:p>
      <w:pPr>
        <w:pStyle w:val="Style44"/>
        <w:keepNext/>
        <w:keepLines/>
        <w:widowControl w:val="0"/>
        <w:shd w:val="clear" w:color="auto" w:fill="auto"/>
        <w:tabs>
          <w:tab w:pos="818" w:val="left"/>
        </w:tabs>
        <w:bidi w:val="0"/>
        <w:spacing w:before="0" w:after="80" w:line="408" w:lineRule="auto"/>
        <w:ind w:left="0" w:right="0" w:firstLine="440"/>
        <w:jc w:val="both"/>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w:t>
        <w:tab/>
        <w:t>会计期间</w:t>
      </w:r>
      <w:bookmarkEnd w:id="649"/>
      <w:bookmarkEnd w:id="650"/>
      <w:bookmarkEnd w:id="652"/>
    </w:p>
    <w:p>
      <w:pPr>
        <w:pStyle w:val="Style54"/>
        <w:keepNext w:val="0"/>
        <w:keepLines w:val="0"/>
        <w:widowControl w:val="0"/>
        <w:shd w:val="clear" w:color="auto" w:fill="auto"/>
        <w:bidi w:val="0"/>
        <w:spacing w:before="0" w:after="340" w:line="391" w:lineRule="exact"/>
        <w:ind w:left="0" w:right="0" w:firstLine="340"/>
        <w:jc w:val="both"/>
      </w:pPr>
      <w:r>
        <w:rPr>
          <w:b w:val="0"/>
          <w:bCs w:val="0"/>
          <w:color w:val="000000"/>
          <w:spacing w:val="0"/>
          <w:w w:val="100"/>
          <w:position w:val="0"/>
        </w:rPr>
        <w:t>自公历</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日至</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rPr>
        <w:t>31</w:t>
      </w:r>
      <w:r>
        <w:rPr>
          <w:b w:val="0"/>
          <w:bCs w:val="0"/>
          <w:color w:val="000000"/>
          <w:spacing w:val="0"/>
          <w:w w:val="100"/>
          <w:position w:val="0"/>
        </w:rPr>
        <w:t>日止为一个会计年度。</w:t>
      </w:r>
    </w:p>
    <w:p>
      <w:pPr>
        <w:pStyle w:val="Style44"/>
        <w:keepNext/>
        <w:keepLines/>
        <w:widowControl w:val="0"/>
        <w:shd w:val="clear" w:color="auto" w:fill="auto"/>
        <w:tabs>
          <w:tab w:pos="818" w:val="left"/>
        </w:tabs>
        <w:bidi w:val="0"/>
        <w:spacing w:before="0" w:after="80" w:line="408" w:lineRule="auto"/>
        <w:ind w:left="0" w:right="0" w:firstLine="440"/>
        <w:jc w:val="both"/>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w:t>
        <w:tab/>
        <w:t>记账本位币</w:t>
      </w:r>
      <w:bookmarkEnd w:id="653"/>
      <w:bookmarkEnd w:id="654"/>
      <w:bookmarkEnd w:id="656"/>
    </w:p>
    <w:p>
      <w:pPr>
        <w:pStyle w:val="Style54"/>
        <w:keepNext w:val="0"/>
        <w:keepLines w:val="0"/>
        <w:widowControl w:val="0"/>
        <w:shd w:val="clear" w:color="auto" w:fill="auto"/>
        <w:bidi w:val="0"/>
        <w:spacing w:before="0" w:after="0" w:line="391" w:lineRule="exact"/>
        <w:ind w:left="0" w:right="0" w:firstLine="340"/>
        <w:jc w:val="left"/>
      </w:pPr>
      <w:r>
        <w:rPr>
          <w:b w:val="0"/>
          <w:bCs w:val="0"/>
          <w:color w:val="000000"/>
          <w:spacing w:val="0"/>
          <w:w w:val="100"/>
          <w:position w:val="0"/>
        </w:rPr>
        <w:t>采用人民币为记账本位币。</w:t>
      </w:r>
    </w:p>
    <w:p>
      <w:pPr>
        <w:pStyle w:val="Style54"/>
        <w:keepNext w:val="0"/>
        <w:keepLines w:val="0"/>
        <w:widowControl w:val="0"/>
        <w:shd w:val="clear" w:color="auto" w:fill="auto"/>
        <w:bidi w:val="0"/>
        <w:spacing w:before="0" w:after="380" w:line="391" w:lineRule="exact"/>
        <w:ind w:left="0" w:right="0" w:firstLine="340"/>
        <w:jc w:val="left"/>
      </w:pPr>
      <w:r>
        <w:rPr>
          <w:b w:val="0"/>
          <w:bCs w:val="0"/>
          <w:color w:val="000000"/>
          <w:spacing w:val="0"/>
          <w:w w:val="100"/>
          <w:position w:val="0"/>
        </w:rPr>
        <w:t>境外子公司以其所在国的运营经济环境的主要货币为记账本位币。</w:t>
      </w:r>
    </w:p>
    <w:p>
      <w:pPr>
        <w:pStyle w:val="Style44"/>
        <w:keepNext/>
        <w:keepLines/>
        <w:widowControl w:val="0"/>
        <w:shd w:val="clear" w:color="auto" w:fill="auto"/>
        <w:tabs>
          <w:tab w:pos="818" w:val="left"/>
        </w:tabs>
        <w:bidi w:val="0"/>
        <w:spacing w:before="0" w:after="180" w:line="408" w:lineRule="auto"/>
        <w:ind w:left="0" w:right="0" w:firstLine="44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w:t>
        <w:tab/>
        <w:t>同一控制下和非同一控制下企业合并的会计处理方法</w:t>
      </w:r>
      <w:bookmarkEnd w:id="657"/>
      <w:bookmarkEnd w:id="658"/>
      <w:bookmarkEnd w:id="660"/>
    </w:p>
    <w:p>
      <w:pPr>
        <w:pStyle w:val="Style44"/>
        <w:keepNext/>
        <w:keepLines/>
        <w:widowControl w:val="0"/>
        <w:shd w:val="clear" w:color="auto" w:fill="auto"/>
        <w:bidi w:val="0"/>
        <w:spacing w:before="0" w:after="80" w:line="408" w:lineRule="auto"/>
        <w:ind w:left="0" w:right="0" w:firstLine="440"/>
        <w:jc w:val="both"/>
      </w:pPr>
      <w:bookmarkStart w:id="657" w:name="bookmark657"/>
      <w:bookmarkStart w:id="658" w:name="bookmark658"/>
      <w:bookmarkStart w:id="661" w:name="bookmark661"/>
      <w:bookmarkStart w:id="662" w:name="bookmark662"/>
      <w:r>
        <w:rPr>
          <w:rFonts w:ascii="Times New Roman" w:eastAsia="Times New Roman" w:hAnsi="Times New Roman" w:cs="Times New Roman"/>
          <w:color w:val="000000"/>
          <w:spacing w:val="0"/>
          <w:w w:val="100"/>
          <w:position w:val="0"/>
        </w:rPr>
        <w:t>（</w:t>
      </w:r>
      <w:bookmarkEnd w:id="661"/>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57"/>
      <w:bookmarkEnd w:id="658"/>
      <w:bookmarkEnd w:id="662"/>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本公司在企业合并中取得的资产和负债，按照合并日在被合并方的账面价值计量。被合并各方采用的 会计政策与本公司不一致的，本公司在合并日按照本公司会计政策进行调整，在此基础上按照调整后的账 面价值确认。</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在合并中取得的净资产账面价值与支付的合并对价账面价值（或发行股份面值总额）的差额，调整资 本公积中的股本溢价，资本公积中的股本溢价不足冲减的，调整留存收益。</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本公司为进行企业合并而发生的各项直接相关费用，包括为进行企业合并而支付的审计费用、评估费 用、法律服务费等，于发生时计入当期损益。</w:t>
      </w:r>
    </w:p>
    <w:p>
      <w:pPr>
        <w:pStyle w:val="Style54"/>
        <w:keepNext w:val="0"/>
        <w:keepLines w:val="0"/>
        <w:widowControl w:val="0"/>
        <w:shd w:val="clear" w:color="auto" w:fill="auto"/>
        <w:bidi w:val="0"/>
        <w:spacing w:before="0" w:after="260" w:line="391" w:lineRule="exact"/>
        <w:ind w:left="0" w:right="0" w:firstLine="440"/>
        <w:jc w:val="both"/>
      </w:pPr>
      <w:r>
        <w:rPr>
          <w:b w:val="0"/>
          <w:bCs w:val="0"/>
          <w:color w:val="000000"/>
          <w:spacing w:val="0"/>
          <w:w w:val="100"/>
          <w:position w:val="0"/>
        </w:rPr>
        <w:t>企业合并中发行权益性证券发生的手续费、佣金等，抵减权益性证券溢价收入，溢价收入不足冲减的， 冲减留存收益。</w:t>
      </w:r>
    </w:p>
    <w:p>
      <w:pPr>
        <w:pStyle w:val="Style44"/>
        <w:keepNext/>
        <w:keepLines/>
        <w:widowControl w:val="0"/>
        <w:numPr>
          <w:ilvl w:val="0"/>
          <w:numId w:val="11"/>
        </w:numPr>
        <w:shd w:val="clear" w:color="auto" w:fill="auto"/>
        <w:bidi w:val="0"/>
        <w:spacing w:before="0" w:after="280" w:line="391" w:lineRule="exact"/>
        <w:ind w:left="0" w:right="0" w:firstLine="440"/>
        <w:jc w:val="both"/>
      </w:pPr>
      <w:bookmarkStart w:id="663" w:name="bookmark663"/>
      <w:bookmarkStart w:id="664" w:name="bookmark664"/>
      <w:bookmarkStart w:id="665" w:name="bookmark665"/>
      <w:bookmarkStart w:id="666" w:name="bookmark666"/>
      <w:bookmarkEnd w:id="665"/>
      <w:r>
        <w:rPr>
          <w:color w:val="000000"/>
          <w:spacing w:val="0"/>
          <w:w w:val="100"/>
          <w:position w:val="0"/>
        </w:rPr>
        <w:t>非同一控制下的企业合并</w:t>
      </w:r>
      <w:bookmarkEnd w:id="663"/>
      <w:bookmarkEnd w:id="664"/>
      <w:bookmarkEnd w:id="666"/>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本公司在购买日对作为企业合并对价付出的资产、发生或承担的负债按照公允价值计量。公允价值与 其账面价值的差额，计入当期损益。</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本公司在购买日对合并成本进行分配，确认所取得的被购买方各项可辨认资产、负债及或有负债的公 允价值。</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b w:val="0"/>
          <w:bCs w:val="0"/>
          <w:color w:val="000000"/>
          <w:spacing w:val="0"/>
          <w:w w:val="100"/>
          <w:position w:val="0"/>
        </w:rPr>
        <w:t>12</w:t>
      </w:r>
      <w:r>
        <w:rPr>
          <w:b w:val="0"/>
          <w:bCs w:val="0"/>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44"/>
        <w:keepNext/>
        <w:keepLines/>
        <w:widowControl w:val="0"/>
        <w:shd w:val="clear" w:color="auto" w:fill="auto"/>
        <w:bidi w:val="0"/>
        <w:spacing w:before="0" w:after="280" w:line="391" w:lineRule="exact"/>
        <w:ind w:left="0" w:right="0" w:firstLine="440"/>
        <w:jc w:val="both"/>
      </w:pPr>
      <w:bookmarkStart w:id="667" w:name="bookmark667"/>
      <w:bookmarkStart w:id="668" w:name="bookmark668"/>
      <w:bookmarkStart w:id="669" w:name="bookmark669"/>
      <w:bookmarkStart w:id="670" w:name="bookmark670"/>
      <w:r>
        <w:rPr>
          <w:color w:val="000000"/>
          <w:spacing w:val="0"/>
          <w:w w:val="100"/>
          <w:position w:val="0"/>
        </w:rPr>
        <w:t>6</w:t>
      </w:r>
      <w:bookmarkEnd w:id="669"/>
      <w:r>
        <w:rPr>
          <w:color w:val="000000"/>
          <w:spacing w:val="0"/>
          <w:w w:val="100"/>
          <w:position w:val="0"/>
        </w:rPr>
        <w:t>、合并财务报表的编制方法</w:t>
      </w:r>
      <w:bookmarkEnd w:id="667"/>
      <w:bookmarkEnd w:id="668"/>
      <w:bookmarkEnd w:id="670"/>
    </w:p>
    <w:p>
      <w:pPr>
        <w:pStyle w:val="Style44"/>
        <w:keepNext/>
        <w:keepLines/>
        <w:widowControl w:val="0"/>
        <w:numPr>
          <w:ilvl w:val="0"/>
          <w:numId w:val="13"/>
        </w:numPr>
        <w:shd w:val="clear" w:color="auto" w:fill="auto"/>
        <w:tabs>
          <w:tab w:pos="845" w:val="left"/>
        </w:tabs>
        <w:bidi w:val="0"/>
        <w:spacing w:before="0" w:after="0" w:line="390" w:lineRule="exact"/>
        <w:ind w:left="0" w:right="0" w:firstLine="440"/>
        <w:jc w:val="both"/>
      </w:pPr>
      <w:bookmarkStart w:id="667" w:name="bookmark667"/>
      <w:bookmarkStart w:id="668" w:name="bookmark668"/>
      <w:bookmarkStart w:id="671" w:name="bookmark671"/>
      <w:bookmarkStart w:id="672" w:name="bookmark672"/>
      <w:bookmarkEnd w:id="671"/>
      <w:r>
        <w:rPr>
          <w:color w:val="000000"/>
          <w:spacing w:val="0"/>
          <w:w w:val="100"/>
          <w:position w:val="0"/>
        </w:rPr>
        <w:t>合并范围</w:t>
      </w:r>
      <w:bookmarkEnd w:id="667"/>
      <w:bookmarkEnd w:id="668"/>
      <w:bookmarkEnd w:id="672"/>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本公司合并财务报表的合并范围以控制为基础确定，所有子公司均纳入合并财务报表。</w:t>
      </w:r>
    </w:p>
    <w:p>
      <w:pPr>
        <w:pStyle w:val="Style54"/>
        <w:keepNext w:val="0"/>
        <w:keepLines w:val="0"/>
        <w:widowControl w:val="0"/>
        <w:numPr>
          <w:ilvl w:val="0"/>
          <w:numId w:val="13"/>
        </w:numPr>
        <w:shd w:val="clear" w:color="auto" w:fill="auto"/>
        <w:tabs>
          <w:tab w:pos="845" w:val="left"/>
        </w:tabs>
        <w:bidi w:val="0"/>
        <w:spacing w:before="0" w:after="0" w:line="390" w:lineRule="exact"/>
        <w:ind w:left="0" w:right="0" w:firstLine="440"/>
        <w:jc w:val="both"/>
      </w:pPr>
      <w:bookmarkStart w:id="673" w:name="bookmark673"/>
      <w:bookmarkEnd w:id="673"/>
      <w:r>
        <w:rPr>
          <w:color w:val="000000"/>
          <w:spacing w:val="0"/>
          <w:w w:val="100"/>
          <w:position w:val="0"/>
        </w:rPr>
        <w:t>合并程序</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 xml:space="preserve">子公司少数股东应占的权益和损益分别在合并资产负债表中所有者权益项目下和合并利润表中净利 </w:t>
      </w:r>
      <w:r>
        <w:rPr>
          <w:b w:val="0"/>
          <w:bCs w:val="0"/>
          <w:color w:val="000000"/>
          <w:spacing w:val="0"/>
          <w:w w:val="100"/>
          <w:position w:val="0"/>
        </w:rPr>
        <w:t>润项目下单独列示。子公司少数股东分担的当期亏损超过了少数股东在该子公司期初所有者权益中所享有 份额而形成的余额，冲减少数股东权益。</w:t>
      </w:r>
    </w:p>
    <w:p>
      <w:pPr>
        <w:pStyle w:val="Style54"/>
        <w:keepNext w:val="0"/>
        <w:keepLines w:val="0"/>
        <w:widowControl w:val="0"/>
        <w:numPr>
          <w:ilvl w:val="0"/>
          <w:numId w:val="15"/>
        </w:numPr>
        <w:shd w:val="clear" w:color="auto" w:fill="auto"/>
        <w:tabs>
          <w:tab w:pos="789" w:val="left"/>
        </w:tabs>
        <w:bidi w:val="0"/>
        <w:spacing w:before="0" w:after="0" w:line="391" w:lineRule="exact"/>
        <w:ind w:left="0" w:right="0" w:firstLine="440"/>
        <w:jc w:val="both"/>
      </w:pPr>
      <w:bookmarkStart w:id="674" w:name="bookmark674"/>
      <w:bookmarkEnd w:id="674"/>
      <w:r>
        <w:rPr>
          <w:b w:val="0"/>
          <w:bCs w:val="0"/>
          <w:color w:val="000000"/>
          <w:spacing w:val="0"/>
          <w:w w:val="100"/>
          <w:position w:val="0"/>
        </w:rPr>
        <w:t>增加子公司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权，本公司按照该股权在购买日的公允价值进行重新计量，公允价值与其账面价值的差额计入当期投资收 益。购买日之前持有的被购买方的股权涉及其他综合收益的，与其相关的其他综合收益转为购买日所属当 期投资收益。</w:t>
      </w:r>
    </w:p>
    <w:p>
      <w:pPr>
        <w:pStyle w:val="Style54"/>
        <w:keepNext w:val="0"/>
        <w:keepLines w:val="0"/>
        <w:widowControl w:val="0"/>
        <w:numPr>
          <w:ilvl w:val="0"/>
          <w:numId w:val="15"/>
        </w:numPr>
        <w:shd w:val="clear" w:color="auto" w:fill="auto"/>
        <w:tabs>
          <w:tab w:pos="793" w:val="left"/>
        </w:tabs>
        <w:bidi w:val="0"/>
        <w:spacing w:before="0" w:after="0" w:line="391" w:lineRule="exact"/>
        <w:ind w:left="0" w:right="0" w:firstLine="440"/>
        <w:jc w:val="both"/>
      </w:pPr>
      <w:bookmarkStart w:id="675" w:name="bookmark675"/>
      <w:bookmarkEnd w:id="675"/>
      <w:r>
        <w:rPr>
          <w:b w:val="0"/>
          <w:bCs w:val="0"/>
          <w:color w:val="000000"/>
          <w:spacing w:val="0"/>
          <w:w w:val="100"/>
          <w:position w:val="0"/>
        </w:rPr>
        <w:t>处置子公司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54"/>
        <w:keepNext w:val="0"/>
        <w:keepLines w:val="0"/>
        <w:widowControl w:val="0"/>
        <w:numPr>
          <w:ilvl w:val="0"/>
          <w:numId w:val="15"/>
        </w:numPr>
        <w:shd w:val="clear" w:color="auto" w:fill="auto"/>
        <w:tabs>
          <w:tab w:pos="793" w:val="left"/>
        </w:tabs>
        <w:bidi w:val="0"/>
        <w:spacing w:before="0" w:after="0" w:line="391" w:lineRule="exact"/>
        <w:ind w:left="0" w:right="0" w:firstLine="440"/>
        <w:jc w:val="both"/>
      </w:pPr>
      <w:bookmarkStart w:id="676" w:name="bookmark676"/>
      <w:bookmarkEnd w:id="676"/>
      <w:r>
        <w:rPr>
          <w:b w:val="0"/>
          <w:bCs w:val="0"/>
          <w:color w:val="000000"/>
          <w:spacing w:val="0"/>
          <w:w w:val="100"/>
          <w:position w:val="0"/>
        </w:rPr>
        <w:t>购买子公司少数股权</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本公司因购买少数股权新取得的长期股权投资与按照新增持股比例计算应享有子公司的可辨认净资 产份额之间的差额，以及在不丧失控制权的情况下因部分处置对子公司的股权投资而取得的处置价款与处 置长期股权投资相对应享有子公司净资产份额的差额，均调整合并资产负债表中的资本公积中的股本溢 价，资本公积中的股本溢价不足冲减的，调整留存收益。</w:t>
      </w:r>
    </w:p>
    <w:p>
      <w:pPr>
        <w:pStyle w:val="Style44"/>
        <w:keepNext/>
        <w:keepLines/>
        <w:widowControl w:val="0"/>
        <w:shd w:val="clear" w:color="auto" w:fill="auto"/>
        <w:tabs>
          <w:tab w:pos="769" w:val="left"/>
        </w:tabs>
        <w:bidi w:val="0"/>
        <w:spacing w:before="0" w:after="280" w:line="391" w:lineRule="exact"/>
        <w:ind w:left="0" w:right="0" w:firstLine="440"/>
        <w:jc w:val="both"/>
      </w:pPr>
      <w:bookmarkStart w:id="677" w:name="bookmark677"/>
      <w:bookmarkStart w:id="678" w:name="bookmark678"/>
      <w:bookmarkStart w:id="679" w:name="bookmark679"/>
      <w:bookmarkStart w:id="680" w:name="bookmark680"/>
      <w:r>
        <w:rPr>
          <w:color w:val="000000"/>
          <w:spacing w:val="0"/>
          <w:w w:val="100"/>
          <w:position w:val="0"/>
        </w:rPr>
        <w:t>7</w:t>
      </w:r>
      <w:bookmarkEnd w:id="679"/>
      <w:r>
        <w:rPr>
          <w:color w:val="000000"/>
          <w:spacing w:val="0"/>
          <w:w w:val="100"/>
          <w:position w:val="0"/>
        </w:rPr>
        <w:t>、</w:t>
        <w:tab/>
        <w:t>现金及现金等价物的确定标准</w:t>
      </w:r>
      <w:bookmarkEnd w:id="677"/>
      <w:bookmarkEnd w:id="678"/>
      <w:bookmarkEnd w:id="680"/>
    </w:p>
    <w:p>
      <w:pPr>
        <w:pStyle w:val="Style54"/>
        <w:keepNext w:val="0"/>
        <w:keepLines w:val="0"/>
        <w:widowControl w:val="0"/>
        <w:shd w:val="clear" w:color="auto" w:fill="auto"/>
        <w:bidi w:val="0"/>
        <w:spacing w:before="0" w:after="280" w:line="389" w:lineRule="exact"/>
        <w:ind w:left="0" w:right="0" w:firstLine="440"/>
        <w:jc w:val="both"/>
      </w:pPr>
      <w:r>
        <w:rPr>
          <w:b w:val="0"/>
          <w:bCs w:val="0"/>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44"/>
        <w:keepNext/>
        <w:keepLines/>
        <w:widowControl w:val="0"/>
        <w:shd w:val="clear" w:color="auto" w:fill="auto"/>
        <w:tabs>
          <w:tab w:pos="774" w:val="left"/>
        </w:tabs>
        <w:bidi w:val="0"/>
        <w:spacing w:before="0" w:after="280" w:line="391" w:lineRule="exact"/>
        <w:ind w:left="0" w:right="0" w:firstLine="440"/>
        <w:jc w:val="both"/>
      </w:pPr>
      <w:bookmarkStart w:id="681" w:name="bookmark681"/>
      <w:bookmarkStart w:id="682" w:name="bookmark682"/>
      <w:bookmarkStart w:id="683" w:name="bookmark683"/>
      <w:bookmarkStart w:id="684" w:name="bookmark684"/>
      <w:r>
        <w:rPr>
          <w:color w:val="000000"/>
          <w:spacing w:val="0"/>
          <w:w w:val="100"/>
          <w:position w:val="0"/>
        </w:rPr>
        <w:t>8</w:t>
      </w:r>
      <w:bookmarkEnd w:id="683"/>
      <w:r>
        <w:rPr>
          <w:color w:val="000000"/>
          <w:spacing w:val="0"/>
          <w:w w:val="100"/>
          <w:position w:val="0"/>
        </w:rPr>
        <w:t>、</w:t>
        <w:tab/>
        <w:t>外币业务和外币报表折算</w:t>
      </w:r>
      <w:bookmarkEnd w:id="681"/>
      <w:bookmarkEnd w:id="682"/>
      <w:bookmarkEnd w:id="684"/>
    </w:p>
    <w:p>
      <w:pPr>
        <w:pStyle w:val="Style44"/>
        <w:keepNext/>
        <w:keepLines/>
        <w:widowControl w:val="0"/>
        <w:shd w:val="clear" w:color="auto" w:fill="auto"/>
        <w:bidi w:val="0"/>
        <w:spacing w:before="0" w:after="280" w:line="391" w:lineRule="exact"/>
        <w:ind w:left="0" w:right="0" w:firstLine="440"/>
        <w:jc w:val="both"/>
      </w:pPr>
      <w:bookmarkStart w:id="681" w:name="bookmark681"/>
      <w:bookmarkStart w:id="682" w:name="bookmark682"/>
      <w:bookmarkStart w:id="685" w:name="bookmark685"/>
      <w:r>
        <w:rPr>
          <w:color w:val="000000"/>
          <w:spacing w:val="0"/>
          <w:w w:val="100"/>
          <w:position w:val="0"/>
        </w:rPr>
        <w:t>⑴外币业务</w:t>
      </w:r>
      <w:bookmarkEnd w:id="681"/>
      <w:bookmarkEnd w:id="682"/>
      <w:bookmarkEnd w:id="685"/>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外币业务采用交易发生日的即期汇率作为折算汇率将外币金额折合成人民币记账。</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44"/>
        <w:keepNext/>
        <w:keepLines/>
        <w:widowControl w:val="0"/>
        <w:shd w:val="clear" w:color="auto" w:fill="auto"/>
        <w:bidi w:val="0"/>
        <w:spacing w:before="0" w:after="280" w:line="391" w:lineRule="exact"/>
        <w:ind w:left="0" w:right="0" w:firstLine="440"/>
        <w:jc w:val="both"/>
      </w:pPr>
      <w:bookmarkStart w:id="686" w:name="bookmark686"/>
      <w:bookmarkStart w:id="687" w:name="bookmark687"/>
      <w:bookmarkStart w:id="688" w:name="bookmark688"/>
      <w:bookmarkStart w:id="689" w:name="bookmark689"/>
      <w:r>
        <w:rPr>
          <w:color w:val="000000"/>
          <w:spacing w:val="0"/>
          <w:w w:val="100"/>
          <w:position w:val="0"/>
        </w:rPr>
        <w:t>（</w:t>
      </w:r>
      <w:bookmarkEnd w:id="688"/>
      <w:r>
        <w:rPr>
          <w:color w:val="000000"/>
          <w:spacing w:val="0"/>
          <w:w w:val="100"/>
          <w:position w:val="0"/>
        </w:rPr>
        <w:t>2）外币财务报表的折算</w:t>
      </w:r>
      <w:bookmarkEnd w:id="686"/>
      <w:bookmarkEnd w:id="687"/>
      <w:bookmarkEnd w:id="689"/>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资产负债表中的资产和负债项目，采用资产负债表日的即期汇率折算；所有者权益项目除“未分配 利润”项目外，其他项目采用发生时的即期汇率折算。利润表中的收入和费用项目，采用年度平均汇率折 算。按照上述折算产生的外币财务报表折算差额，在资产负债表所有者权益项目下单独列示。</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44"/>
        <w:keepNext/>
        <w:keepLines/>
        <w:widowControl w:val="0"/>
        <w:shd w:val="clear" w:color="auto" w:fill="auto"/>
        <w:bidi w:val="0"/>
        <w:spacing w:before="0" w:after="280" w:line="391" w:lineRule="exact"/>
        <w:ind w:left="0" w:right="0" w:firstLine="440"/>
        <w:jc w:val="both"/>
      </w:pPr>
      <w:bookmarkStart w:id="690" w:name="bookmark690"/>
      <w:bookmarkStart w:id="691" w:name="bookmark691"/>
      <w:bookmarkStart w:id="692" w:name="bookmark692"/>
      <w:bookmarkStart w:id="693" w:name="bookmark693"/>
      <w:r>
        <w:rPr>
          <w:color w:val="000000"/>
          <w:spacing w:val="0"/>
          <w:w w:val="100"/>
          <w:position w:val="0"/>
        </w:rPr>
        <w:t>9</w:t>
      </w:r>
      <w:bookmarkEnd w:id="692"/>
      <w:r>
        <w:rPr>
          <w:color w:val="000000"/>
          <w:spacing w:val="0"/>
          <w:w w:val="100"/>
          <w:position w:val="0"/>
        </w:rPr>
        <w:t>、金融工具</w:t>
      </w:r>
      <w:bookmarkEnd w:id="690"/>
      <w:bookmarkEnd w:id="691"/>
      <w:bookmarkEnd w:id="693"/>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金融工具包括金融资产、金融负债和权益工具。</w:t>
      </w:r>
    </w:p>
    <w:p>
      <w:pPr>
        <w:pStyle w:val="Style44"/>
        <w:keepNext/>
        <w:keepLines/>
        <w:widowControl w:val="0"/>
        <w:shd w:val="clear" w:color="auto" w:fill="auto"/>
        <w:bidi w:val="0"/>
        <w:spacing w:before="0" w:after="280" w:line="391" w:lineRule="exact"/>
        <w:ind w:left="0" w:right="0" w:firstLine="440"/>
        <w:jc w:val="both"/>
      </w:pPr>
      <w:bookmarkStart w:id="694" w:name="bookmark694"/>
      <w:bookmarkStart w:id="695" w:name="bookmark695"/>
      <w:bookmarkStart w:id="696" w:name="bookmark696"/>
      <w:r>
        <w:rPr>
          <w:color w:val="000000"/>
          <w:spacing w:val="0"/>
          <w:w w:val="100"/>
          <w:position w:val="0"/>
        </w:rPr>
        <w:t>⑴金融工具的分类</w:t>
      </w:r>
      <w:bookmarkEnd w:id="694"/>
      <w:bookmarkEnd w:id="695"/>
      <w:bookmarkEnd w:id="696"/>
    </w:p>
    <w:p>
      <w:pPr>
        <w:pStyle w:val="Style54"/>
        <w:keepNext w:val="0"/>
        <w:keepLines w:val="0"/>
        <w:widowControl w:val="0"/>
        <w:shd w:val="clear" w:color="auto" w:fill="auto"/>
        <w:bidi w:val="0"/>
        <w:spacing w:before="0" w:after="280" w:line="392" w:lineRule="exact"/>
        <w:ind w:left="0" w:right="0" w:firstLine="440"/>
        <w:jc w:val="both"/>
      </w:pPr>
      <w:r>
        <w:rPr>
          <w:b w:val="0"/>
          <w:bCs w:val="0"/>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计入当期损益的金融资产或金融负债）；持有至到期投资；应收款项；可供出售金融资产；其他金融负债 等。</w:t>
      </w:r>
    </w:p>
    <w:p>
      <w:pPr>
        <w:pStyle w:val="Style44"/>
        <w:keepNext/>
        <w:keepLines/>
        <w:widowControl w:val="0"/>
        <w:shd w:val="clear" w:color="auto" w:fill="auto"/>
        <w:bidi w:val="0"/>
        <w:spacing w:before="0" w:after="280" w:line="391" w:lineRule="exact"/>
        <w:ind w:left="0" w:right="0" w:firstLine="440"/>
        <w:jc w:val="both"/>
      </w:pPr>
      <w:bookmarkStart w:id="697" w:name="bookmark697"/>
      <w:bookmarkStart w:id="698" w:name="bookmark698"/>
      <w:bookmarkStart w:id="699" w:name="bookmark699"/>
      <w:bookmarkStart w:id="700" w:name="bookmark700"/>
      <w:r>
        <w:rPr>
          <w:color w:val="000000"/>
          <w:spacing w:val="0"/>
          <w:w w:val="100"/>
          <w:position w:val="0"/>
        </w:rPr>
        <w:t>（</w:t>
      </w:r>
      <w:bookmarkEnd w:id="699"/>
      <w:r>
        <w:rPr>
          <w:color w:val="000000"/>
          <w:spacing w:val="0"/>
          <w:w w:val="100"/>
          <w:position w:val="0"/>
        </w:rPr>
        <w:t>2）金融工具的确认依据和计量方法</w:t>
      </w:r>
      <w:bookmarkEnd w:id="697"/>
      <w:bookmarkEnd w:id="698"/>
      <w:bookmarkEnd w:id="700"/>
    </w:p>
    <w:p>
      <w:pPr>
        <w:pStyle w:val="Style54"/>
        <w:keepNext w:val="0"/>
        <w:keepLines w:val="0"/>
        <w:widowControl w:val="0"/>
        <w:numPr>
          <w:ilvl w:val="0"/>
          <w:numId w:val="17"/>
        </w:numPr>
        <w:shd w:val="clear" w:color="auto" w:fill="auto"/>
        <w:tabs>
          <w:tab w:pos="832" w:val="left"/>
        </w:tabs>
        <w:bidi w:val="0"/>
        <w:spacing w:before="0" w:after="0" w:line="390" w:lineRule="exact"/>
        <w:ind w:left="0" w:right="0" w:firstLine="440"/>
        <w:jc w:val="left"/>
      </w:pPr>
      <w:bookmarkStart w:id="701" w:name="bookmark701"/>
      <w:bookmarkEnd w:id="701"/>
      <w:r>
        <w:rPr>
          <w:b w:val="0"/>
          <w:bCs w:val="0"/>
          <w:color w:val="000000"/>
          <w:spacing w:val="0"/>
          <w:w w:val="100"/>
          <w:position w:val="0"/>
        </w:rPr>
        <w:t>以公允价值计量且其变动计入当期损益的金融资产（金融负债）</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54"/>
        <w:keepNext w:val="0"/>
        <w:keepLines w:val="0"/>
        <w:widowControl w:val="0"/>
        <w:shd w:val="clear" w:color="auto" w:fill="auto"/>
        <w:bidi w:val="0"/>
        <w:spacing w:before="0" w:after="0" w:line="390" w:lineRule="exact"/>
        <w:ind w:left="0" w:right="0" w:firstLine="440"/>
        <w:jc w:val="left"/>
      </w:pPr>
      <w:r>
        <w:rPr>
          <w:b w:val="0"/>
          <w:bCs w:val="0"/>
          <w:color w:val="000000"/>
          <w:spacing w:val="0"/>
          <w:w w:val="100"/>
          <w:position w:val="0"/>
        </w:rPr>
        <w:t>持有期间将取得的利息或现金股利确认为投资收益，期末将公允价值变动计入当期损益。</w:t>
      </w:r>
    </w:p>
    <w:p>
      <w:pPr>
        <w:pStyle w:val="Style54"/>
        <w:keepNext w:val="0"/>
        <w:keepLines w:val="0"/>
        <w:widowControl w:val="0"/>
        <w:shd w:val="clear" w:color="auto" w:fill="auto"/>
        <w:bidi w:val="0"/>
        <w:spacing w:before="0" w:after="0" w:line="390" w:lineRule="exact"/>
        <w:ind w:left="0" w:right="0" w:firstLine="440"/>
        <w:jc w:val="left"/>
      </w:pPr>
      <w:r>
        <w:rPr>
          <w:b w:val="0"/>
          <w:bCs w:val="0"/>
          <w:color w:val="000000"/>
          <w:spacing w:val="0"/>
          <w:w w:val="100"/>
          <w:position w:val="0"/>
        </w:rPr>
        <w:t>处置时，其公允价值与初始入账金额之间的差额确认为投资收益，同时调整公允价值变动损益。</w:t>
      </w:r>
    </w:p>
    <w:p>
      <w:pPr>
        <w:pStyle w:val="Style54"/>
        <w:keepNext w:val="0"/>
        <w:keepLines w:val="0"/>
        <w:widowControl w:val="0"/>
        <w:numPr>
          <w:ilvl w:val="0"/>
          <w:numId w:val="17"/>
        </w:numPr>
        <w:shd w:val="clear" w:color="auto" w:fill="auto"/>
        <w:tabs>
          <w:tab w:pos="837" w:val="left"/>
        </w:tabs>
        <w:bidi w:val="0"/>
        <w:spacing w:before="0" w:after="0" w:line="390" w:lineRule="exact"/>
        <w:ind w:left="0" w:right="0" w:firstLine="440"/>
        <w:jc w:val="both"/>
      </w:pPr>
      <w:bookmarkStart w:id="702" w:name="bookmark702"/>
      <w:bookmarkEnd w:id="702"/>
      <w:r>
        <w:rPr>
          <w:b w:val="0"/>
          <w:bCs w:val="0"/>
          <w:color w:val="000000"/>
          <w:spacing w:val="0"/>
          <w:w w:val="100"/>
          <w:position w:val="0"/>
        </w:rPr>
        <w:t>持有至到期投资</w:t>
      </w:r>
    </w:p>
    <w:p>
      <w:pPr>
        <w:pStyle w:val="Style54"/>
        <w:keepNext w:val="0"/>
        <w:keepLines w:val="0"/>
        <w:widowControl w:val="0"/>
        <w:shd w:val="clear" w:color="auto" w:fill="auto"/>
        <w:bidi w:val="0"/>
        <w:spacing w:before="0" w:after="280" w:line="390" w:lineRule="exact"/>
        <w:ind w:left="0" w:right="0" w:firstLine="440"/>
        <w:jc w:val="left"/>
      </w:pPr>
      <w:r>
        <w:rPr>
          <w:b w:val="0"/>
          <w:bCs w:val="0"/>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54"/>
        <w:keepNext w:val="0"/>
        <w:keepLines w:val="0"/>
        <w:widowControl w:val="0"/>
        <w:shd w:val="clear" w:color="auto" w:fill="auto"/>
        <w:bidi w:val="0"/>
        <w:spacing w:before="0" w:after="0" w:line="391" w:lineRule="exact"/>
        <w:ind w:left="0" w:right="0" w:firstLine="440"/>
        <w:jc w:val="left"/>
      </w:pPr>
      <w:r>
        <w:rPr>
          <w:b w:val="0"/>
          <w:bCs w:val="0"/>
          <w:color w:val="000000"/>
          <w:spacing w:val="0"/>
          <w:w w:val="100"/>
          <w:position w:val="0"/>
        </w:rPr>
        <w:t>处置时，将所取得价款与该投资账面价值之间的差额计入投资收益。</w:t>
      </w:r>
    </w:p>
    <w:p>
      <w:pPr>
        <w:pStyle w:val="Style54"/>
        <w:keepNext w:val="0"/>
        <w:keepLines w:val="0"/>
        <w:widowControl w:val="0"/>
        <w:numPr>
          <w:ilvl w:val="0"/>
          <w:numId w:val="17"/>
        </w:numPr>
        <w:shd w:val="clear" w:color="auto" w:fill="auto"/>
        <w:tabs>
          <w:tab w:pos="837" w:val="left"/>
        </w:tabs>
        <w:bidi w:val="0"/>
        <w:spacing w:before="0" w:after="0" w:line="391" w:lineRule="exact"/>
        <w:ind w:left="0" w:right="0" w:firstLine="440"/>
        <w:jc w:val="both"/>
      </w:pPr>
      <w:bookmarkStart w:id="703" w:name="bookmark703"/>
      <w:bookmarkEnd w:id="703"/>
      <w:r>
        <w:rPr>
          <w:b w:val="0"/>
          <w:bCs w:val="0"/>
          <w:color w:val="000000"/>
          <w:spacing w:val="0"/>
          <w:w w:val="100"/>
          <w:position w:val="0"/>
        </w:rPr>
        <w:t>应收款项</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54"/>
        <w:keepNext w:val="0"/>
        <w:keepLines w:val="0"/>
        <w:widowControl w:val="0"/>
        <w:shd w:val="clear" w:color="auto" w:fill="auto"/>
        <w:bidi w:val="0"/>
        <w:spacing w:before="0" w:after="0" w:line="391" w:lineRule="exact"/>
        <w:ind w:left="0" w:right="0" w:firstLine="440"/>
        <w:jc w:val="left"/>
      </w:pPr>
      <w:r>
        <w:rPr>
          <w:b w:val="0"/>
          <w:bCs w:val="0"/>
          <w:color w:val="000000"/>
          <w:spacing w:val="0"/>
          <w:w w:val="100"/>
          <w:position w:val="0"/>
        </w:rPr>
        <w:t>收回或处置时，将取得的价款与该应收款项账面价值之间的差额计入当期损益。</w:t>
      </w:r>
    </w:p>
    <w:p>
      <w:pPr>
        <w:pStyle w:val="Style54"/>
        <w:keepNext w:val="0"/>
        <w:keepLines w:val="0"/>
        <w:widowControl w:val="0"/>
        <w:numPr>
          <w:ilvl w:val="0"/>
          <w:numId w:val="17"/>
        </w:numPr>
        <w:shd w:val="clear" w:color="auto" w:fill="auto"/>
        <w:tabs>
          <w:tab w:pos="837" w:val="left"/>
        </w:tabs>
        <w:bidi w:val="0"/>
        <w:spacing w:before="0" w:after="0" w:line="391" w:lineRule="exact"/>
        <w:ind w:left="0" w:right="0" w:firstLine="440"/>
        <w:jc w:val="both"/>
      </w:pPr>
      <w:bookmarkStart w:id="704" w:name="bookmark704"/>
      <w:bookmarkEnd w:id="704"/>
      <w:r>
        <w:rPr>
          <w:b w:val="0"/>
          <w:bCs w:val="0"/>
          <w:color w:val="000000"/>
          <w:spacing w:val="0"/>
          <w:w w:val="100"/>
          <w:position w:val="0"/>
        </w:rPr>
        <w:t>可供出售金融资产</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取得时按公允价值（扣除已宣告但尚未发放的现金股利或已到付息期但尚未领取的债券利息）和相关 交易费用之和作为初始确认金额。</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持有期间将取得的利息或现金股利确认为投资收益。期末以公允价值计量且将公允价值变动计入资本 公积（其他资本公积）。</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54"/>
        <w:keepNext w:val="0"/>
        <w:keepLines w:val="0"/>
        <w:widowControl w:val="0"/>
        <w:numPr>
          <w:ilvl w:val="0"/>
          <w:numId w:val="17"/>
        </w:numPr>
        <w:shd w:val="clear" w:color="auto" w:fill="auto"/>
        <w:tabs>
          <w:tab w:pos="837" w:val="left"/>
        </w:tabs>
        <w:bidi w:val="0"/>
        <w:spacing w:before="0" w:after="0" w:line="391" w:lineRule="exact"/>
        <w:ind w:left="0" w:right="0" w:firstLine="440"/>
        <w:jc w:val="both"/>
      </w:pPr>
      <w:bookmarkStart w:id="705" w:name="bookmark705"/>
      <w:bookmarkEnd w:id="705"/>
      <w:r>
        <w:rPr>
          <w:b w:val="0"/>
          <w:bCs w:val="0"/>
          <w:color w:val="000000"/>
          <w:spacing w:val="0"/>
          <w:w w:val="100"/>
          <w:position w:val="0"/>
        </w:rPr>
        <w:t>其他金融负债</w:t>
      </w:r>
    </w:p>
    <w:p>
      <w:pPr>
        <w:pStyle w:val="Style54"/>
        <w:keepNext w:val="0"/>
        <w:keepLines w:val="0"/>
        <w:widowControl w:val="0"/>
        <w:shd w:val="clear" w:color="auto" w:fill="auto"/>
        <w:bidi w:val="0"/>
        <w:spacing w:before="0" w:after="280" w:line="391" w:lineRule="exact"/>
        <w:ind w:left="0" w:right="0" w:firstLine="440"/>
        <w:jc w:val="left"/>
      </w:pPr>
      <w:r>
        <w:rPr>
          <w:b w:val="0"/>
          <w:bCs w:val="0"/>
          <w:color w:val="000000"/>
          <w:spacing w:val="0"/>
          <w:w w:val="100"/>
          <w:position w:val="0"/>
        </w:rPr>
        <w:t>按其公允价值和相关交易费用之和作为初始确认金额。采用摊余成本进行后续计量。</w:t>
      </w:r>
    </w:p>
    <w:p>
      <w:pPr>
        <w:pStyle w:val="Style44"/>
        <w:keepNext/>
        <w:keepLines/>
        <w:widowControl w:val="0"/>
        <w:shd w:val="clear" w:color="auto" w:fill="auto"/>
        <w:bidi w:val="0"/>
        <w:spacing w:before="0" w:after="280" w:line="392" w:lineRule="exact"/>
        <w:ind w:left="0" w:right="0" w:firstLine="440"/>
        <w:jc w:val="left"/>
      </w:pPr>
      <w:bookmarkStart w:id="706" w:name="bookmark706"/>
      <w:bookmarkStart w:id="707" w:name="bookmark707"/>
      <w:bookmarkStart w:id="708" w:name="bookmark708"/>
      <w:r>
        <w:rPr>
          <w:color w:val="000000"/>
          <w:spacing w:val="0"/>
          <w:w w:val="100"/>
          <w:position w:val="0"/>
        </w:rPr>
        <w:t>（3 ）金融资产转移的确认依据和计量方法</w:t>
      </w:r>
      <w:bookmarkEnd w:id="706"/>
      <w:bookmarkEnd w:id="707"/>
      <w:bookmarkEnd w:id="708"/>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w:t>
      </w:r>
    </w:p>
    <w:p>
      <w:pPr>
        <w:pStyle w:val="Style54"/>
        <w:keepNext w:val="0"/>
        <w:keepLines w:val="0"/>
        <w:widowControl w:val="0"/>
        <w:numPr>
          <w:ilvl w:val="0"/>
          <w:numId w:val="19"/>
        </w:numPr>
        <w:shd w:val="clear" w:color="auto" w:fill="auto"/>
        <w:tabs>
          <w:tab w:pos="832" w:val="left"/>
        </w:tabs>
        <w:bidi w:val="0"/>
        <w:spacing w:before="0" w:after="0" w:line="393" w:lineRule="exact"/>
        <w:ind w:left="0" w:right="0" w:firstLine="440"/>
        <w:jc w:val="both"/>
      </w:pPr>
      <w:bookmarkStart w:id="709" w:name="bookmark709"/>
      <w:bookmarkEnd w:id="709"/>
      <w:r>
        <w:rPr>
          <w:b w:val="0"/>
          <w:bCs w:val="0"/>
          <w:color w:val="000000"/>
          <w:spacing w:val="0"/>
          <w:w w:val="100"/>
          <w:position w:val="0"/>
        </w:rPr>
        <w:t>所转移金融资产的账面价值；</w:t>
      </w:r>
    </w:p>
    <w:p>
      <w:pPr>
        <w:pStyle w:val="Style54"/>
        <w:keepNext w:val="0"/>
        <w:keepLines w:val="0"/>
        <w:widowControl w:val="0"/>
        <w:numPr>
          <w:ilvl w:val="0"/>
          <w:numId w:val="19"/>
        </w:numPr>
        <w:shd w:val="clear" w:color="auto" w:fill="auto"/>
        <w:tabs>
          <w:tab w:pos="814" w:val="left"/>
        </w:tabs>
        <w:bidi w:val="0"/>
        <w:spacing w:before="0" w:after="0" w:line="393" w:lineRule="exact"/>
        <w:ind w:left="0" w:right="0" w:firstLine="440"/>
        <w:jc w:val="both"/>
      </w:pPr>
      <w:bookmarkStart w:id="710" w:name="bookmark710"/>
      <w:bookmarkEnd w:id="710"/>
      <w:r>
        <w:rPr>
          <w:b w:val="0"/>
          <w:bCs w:val="0"/>
          <w:color w:val="000000"/>
          <w:spacing w:val="0"/>
          <w:w w:val="100"/>
          <w:position w:val="0"/>
        </w:rPr>
        <w:t>因转移而收到的对价，与原直接计入所有者权益的公允价值变动累计额（涉及转移的金融资产为可 供出售金融资产的情形）之和。</w:t>
      </w:r>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54"/>
        <w:keepNext w:val="0"/>
        <w:keepLines w:val="0"/>
        <w:widowControl w:val="0"/>
        <w:numPr>
          <w:ilvl w:val="0"/>
          <w:numId w:val="21"/>
        </w:numPr>
        <w:shd w:val="clear" w:color="auto" w:fill="auto"/>
        <w:tabs>
          <w:tab w:pos="832" w:val="left"/>
        </w:tabs>
        <w:bidi w:val="0"/>
        <w:spacing w:before="0" w:after="0" w:line="393" w:lineRule="exact"/>
        <w:ind w:left="0" w:right="0" w:firstLine="440"/>
        <w:jc w:val="both"/>
      </w:pPr>
      <w:bookmarkStart w:id="711" w:name="bookmark711"/>
      <w:bookmarkEnd w:id="711"/>
      <w:r>
        <w:rPr>
          <w:b w:val="0"/>
          <w:bCs w:val="0"/>
          <w:color w:val="000000"/>
          <w:spacing w:val="0"/>
          <w:w w:val="100"/>
          <w:position w:val="0"/>
        </w:rPr>
        <w:t>终止确认部分的账面价值；</w:t>
      </w:r>
    </w:p>
    <w:p>
      <w:pPr>
        <w:pStyle w:val="Style54"/>
        <w:keepNext w:val="0"/>
        <w:keepLines w:val="0"/>
        <w:widowControl w:val="0"/>
        <w:numPr>
          <w:ilvl w:val="0"/>
          <w:numId w:val="21"/>
        </w:numPr>
        <w:shd w:val="clear" w:color="auto" w:fill="auto"/>
        <w:tabs>
          <w:tab w:pos="704" w:val="left"/>
        </w:tabs>
        <w:bidi w:val="0"/>
        <w:spacing w:before="0" w:after="0" w:line="393" w:lineRule="exact"/>
        <w:ind w:left="0" w:right="0" w:firstLine="440"/>
        <w:jc w:val="both"/>
      </w:pPr>
      <w:bookmarkStart w:id="712" w:name="bookmark712"/>
      <w:bookmarkEnd w:id="712"/>
      <w:r>
        <w:rPr>
          <w:b w:val="0"/>
          <w:bCs w:val="0"/>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54"/>
        <w:keepNext w:val="0"/>
        <w:keepLines w:val="0"/>
        <w:widowControl w:val="0"/>
        <w:shd w:val="clear" w:color="auto" w:fill="auto"/>
        <w:bidi w:val="0"/>
        <w:spacing w:before="0" w:after="280" w:line="393" w:lineRule="exact"/>
        <w:ind w:left="0" w:right="0" w:firstLine="440"/>
        <w:jc w:val="left"/>
      </w:pPr>
      <w:r>
        <w:rPr>
          <w:b w:val="0"/>
          <w:bCs w:val="0"/>
          <w:color w:val="000000"/>
          <w:spacing w:val="0"/>
          <w:w w:val="100"/>
          <w:position w:val="0"/>
        </w:rPr>
        <w:t>金融资产转移不满足终止确认条件的，继续确认该金融资产，所收到的对价确认为一项金融负债。</w:t>
      </w:r>
    </w:p>
    <w:p>
      <w:pPr>
        <w:pStyle w:val="Style44"/>
        <w:keepNext/>
        <w:keepLines/>
        <w:widowControl w:val="0"/>
        <w:shd w:val="clear" w:color="auto" w:fill="auto"/>
        <w:bidi w:val="0"/>
        <w:spacing w:before="0" w:after="280" w:line="392" w:lineRule="exact"/>
        <w:ind w:left="0" w:right="0" w:firstLine="440"/>
        <w:jc w:val="both"/>
      </w:pPr>
      <w:bookmarkStart w:id="713" w:name="bookmark713"/>
      <w:bookmarkStart w:id="714" w:name="bookmark714"/>
      <w:bookmarkStart w:id="715" w:name="bookmark715"/>
      <w:bookmarkStart w:id="716" w:name="bookmark716"/>
      <w:r>
        <w:rPr>
          <w:color w:val="000000"/>
          <w:spacing w:val="0"/>
          <w:w w:val="100"/>
          <w:position w:val="0"/>
        </w:rPr>
        <w:t>（</w:t>
      </w:r>
      <w:bookmarkEnd w:id="715"/>
      <w:r>
        <w:rPr>
          <w:color w:val="000000"/>
          <w:spacing w:val="0"/>
          <w:w w:val="100"/>
          <w:position w:val="0"/>
        </w:rPr>
        <w:t>4）金融负债终止确认条件</w:t>
      </w:r>
      <w:bookmarkEnd w:id="713"/>
      <w:bookmarkEnd w:id="714"/>
      <w:bookmarkEnd w:id="716"/>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 xml:space="preserve">金融负债的现时义务全部或部分已经解除的，则终止确认该金融负债或其一部分；本公司若与债权人 </w:t>
      </w:r>
      <w:r>
        <w:rPr>
          <w:b w:val="0"/>
          <w:bCs w:val="0"/>
          <w:color w:val="000000"/>
          <w:spacing w:val="0"/>
          <w:w w:val="100"/>
          <w:position w:val="0"/>
        </w:rPr>
        <w:t>签定协议，以承担新金融负债方式替换现存金融负债，且新金融负债与现存金融负债的合同条款实质上不 同的，则终止确认现存金融负债，并同时确认新金融负债。</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54"/>
        <w:keepNext w:val="0"/>
        <w:keepLines w:val="0"/>
        <w:widowControl w:val="0"/>
        <w:shd w:val="clear" w:color="auto" w:fill="auto"/>
        <w:bidi w:val="0"/>
        <w:spacing w:before="0" w:after="300" w:line="391" w:lineRule="exact"/>
        <w:ind w:left="0" w:right="0" w:firstLine="440"/>
        <w:jc w:val="both"/>
      </w:pPr>
      <w:r>
        <w:rPr>
          <w:b w:val="0"/>
          <w:bCs w:val="0"/>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4"/>
        <w:keepNext/>
        <w:keepLines/>
        <w:widowControl w:val="0"/>
        <w:shd w:val="clear" w:color="auto" w:fill="auto"/>
        <w:bidi w:val="0"/>
        <w:spacing w:before="0" w:after="300" w:line="388" w:lineRule="exact"/>
        <w:ind w:left="0" w:right="0" w:firstLine="440"/>
        <w:jc w:val="both"/>
      </w:pPr>
      <w:bookmarkStart w:id="717" w:name="bookmark717"/>
      <w:bookmarkStart w:id="718" w:name="bookmark718"/>
      <w:bookmarkStart w:id="719" w:name="bookmark719"/>
      <w:r>
        <w:rPr>
          <w:color w:val="000000"/>
          <w:spacing w:val="0"/>
          <w:w w:val="100"/>
          <w:position w:val="0"/>
        </w:rPr>
        <w:t>(5 )金融资产和金融负债公允价值的确定方法</w:t>
      </w:r>
      <w:bookmarkEnd w:id="717"/>
      <w:bookmarkEnd w:id="718"/>
      <w:bookmarkEnd w:id="719"/>
    </w:p>
    <w:p>
      <w:pPr>
        <w:pStyle w:val="Style54"/>
        <w:keepNext w:val="0"/>
        <w:keepLines w:val="0"/>
        <w:widowControl w:val="0"/>
        <w:shd w:val="clear" w:color="auto" w:fill="auto"/>
        <w:bidi w:val="0"/>
        <w:spacing w:before="0" w:after="300" w:line="388" w:lineRule="exact"/>
        <w:ind w:left="0" w:right="0" w:firstLine="440"/>
        <w:jc w:val="both"/>
      </w:pPr>
      <w:r>
        <w:rPr>
          <w:b w:val="0"/>
          <w:bCs w:val="0"/>
          <w:color w:val="000000"/>
          <w:spacing w:val="0"/>
          <w:w w:val="100"/>
          <w:position w:val="0"/>
        </w:rPr>
        <w:t>本公司采用公允价值计量的金融资产和金融负债全部直接参考活跃市场中的报价。</w:t>
      </w:r>
    </w:p>
    <w:p>
      <w:pPr>
        <w:pStyle w:val="Style44"/>
        <w:keepNext/>
        <w:keepLines/>
        <w:widowControl w:val="0"/>
        <w:shd w:val="clear" w:color="auto" w:fill="auto"/>
        <w:bidi w:val="0"/>
        <w:spacing w:before="0" w:after="300" w:line="388" w:lineRule="exact"/>
        <w:ind w:left="0" w:right="0" w:firstLine="440"/>
        <w:jc w:val="both"/>
      </w:pPr>
      <w:bookmarkStart w:id="720" w:name="bookmark720"/>
      <w:bookmarkStart w:id="721" w:name="bookmark721"/>
      <w:bookmarkStart w:id="722" w:name="bookmark722"/>
      <w:r>
        <w:rPr>
          <w:color w:val="000000"/>
          <w:spacing w:val="0"/>
          <w:w w:val="100"/>
          <w:position w:val="0"/>
        </w:rPr>
        <w:t>(6)金融资产(不含应收款项)减值测试方法、减值准备计提方法</w:t>
      </w:r>
      <w:bookmarkEnd w:id="720"/>
      <w:bookmarkEnd w:id="721"/>
      <w:bookmarkEnd w:id="722"/>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54"/>
        <w:keepNext w:val="0"/>
        <w:keepLines w:val="0"/>
        <w:widowControl w:val="0"/>
        <w:numPr>
          <w:ilvl w:val="0"/>
          <w:numId w:val="23"/>
        </w:numPr>
        <w:shd w:val="clear" w:color="auto" w:fill="auto"/>
        <w:tabs>
          <w:tab w:pos="870" w:val="left"/>
        </w:tabs>
        <w:bidi w:val="0"/>
        <w:spacing w:before="0" w:after="0" w:line="388" w:lineRule="exact"/>
        <w:ind w:left="0" w:right="0" w:firstLine="440"/>
        <w:jc w:val="both"/>
      </w:pPr>
      <w:bookmarkStart w:id="723" w:name="bookmark723"/>
      <w:bookmarkEnd w:id="723"/>
      <w:r>
        <w:rPr>
          <w:b w:val="0"/>
          <w:bCs w:val="0"/>
          <w:color w:val="000000"/>
          <w:spacing w:val="0"/>
          <w:w w:val="100"/>
          <w:position w:val="0"/>
        </w:rPr>
        <w:t>可供出售金融资产的减值准备：</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可供出售金融资产运用个别方式评估减值损失。期末如果可供出售金融资产的公允价值发生较大幅度 下降，或在综合考虑各种相关因素后，预期这种下降趋势属于非暂时性的，就认定其已发生减值，将原直 接计入所有者权益的公允价值下降形成的累计损失一并转出，确认减值损失。对于已确认减值损失的可供 出售债务工具，在随后的会计期间公允价值已上升且客观上与确认原减值损失确认后发生的事项有关的， 原确认的减值损失予以转回，计入当期损益。</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可供出售权益工具投资发生的减值损失，不得通过损益转回。</w:t>
      </w:r>
    </w:p>
    <w:p>
      <w:pPr>
        <w:pStyle w:val="Style54"/>
        <w:keepNext w:val="0"/>
        <w:keepLines w:val="0"/>
        <w:widowControl w:val="0"/>
        <w:numPr>
          <w:ilvl w:val="0"/>
          <w:numId w:val="23"/>
        </w:numPr>
        <w:shd w:val="clear" w:color="auto" w:fill="auto"/>
        <w:tabs>
          <w:tab w:pos="870" w:val="left"/>
        </w:tabs>
        <w:bidi w:val="0"/>
        <w:spacing w:before="0" w:after="0" w:line="388" w:lineRule="exact"/>
        <w:ind w:left="0" w:right="0" w:firstLine="440"/>
        <w:jc w:val="both"/>
      </w:pPr>
      <w:bookmarkStart w:id="724" w:name="bookmark724"/>
      <w:bookmarkEnd w:id="724"/>
      <w:r>
        <w:rPr>
          <w:b w:val="0"/>
          <w:bCs w:val="0"/>
          <w:color w:val="000000"/>
          <w:spacing w:val="0"/>
          <w:w w:val="100"/>
          <w:position w:val="0"/>
        </w:rPr>
        <w:t>持有至到期投资的减值准备：</w:t>
      </w:r>
    </w:p>
    <w:p>
      <w:pPr>
        <w:pStyle w:val="Style54"/>
        <w:keepNext w:val="0"/>
        <w:keepLines w:val="0"/>
        <w:widowControl w:val="0"/>
        <w:shd w:val="clear" w:color="auto" w:fill="auto"/>
        <w:bidi w:val="0"/>
        <w:spacing w:before="0" w:after="380" w:line="388" w:lineRule="exact"/>
        <w:ind w:left="0" w:right="0" w:firstLine="440"/>
        <w:jc w:val="both"/>
      </w:pPr>
      <w:r>
        <w:rPr>
          <w:b w:val="0"/>
          <w:bCs w:val="0"/>
          <w:color w:val="000000"/>
          <w:spacing w:val="0"/>
          <w:w w:val="100"/>
          <w:position w:val="0"/>
        </w:rPr>
        <w:t>持有至到期投资减值损失的计量比照应收款项减值损失计量方法处理。</w:t>
      </w:r>
    </w:p>
    <w:p>
      <w:pPr>
        <w:pStyle w:val="Style54"/>
        <w:keepNext w:val="0"/>
        <w:keepLines w:val="0"/>
        <w:widowControl w:val="0"/>
        <w:shd w:val="clear" w:color="auto" w:fill="auto"/>
        <w:bidi w:val="0"/>
        <w:spacing w:before="0" w:after="180" w:line="406" w:lineRule="auto"/>
        <w:ind w:left="0" w:right="0" w:firstLine="440"/>
        <w:jc w:val="both"/>
      </w:pPr>
      <w:bookmarkStart w:id="725" w:name="bookmark725"/>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p>
    <w:p>
      <w:pPr>
        <w:pStyle w:val="Style3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⑴单项金额重大的应收款项坏账准备</w:t>
      </w:r>
    </w:p>
    <w:tbl>
      <w:tblPr>
        <w:tblOverlap w:val="never"/>
        <w:jc w:val="center"/>
        <w:tblLayout w:type="fixed"/>
      </w:tblPr>
      <w:tblGrid>
        <w:gridCol w:w="5059"/>
        <w:gridCol w:w="452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应收款项余额前五名。</w:t>
            </w:r>
          </w:p>
        </w:tc>
      </w:tr>
      <w:tr>
        <w:trPr>
          <w:trHeight w:val="1349"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单独进行减值测试，如有客观证据表明其已发生减值，按 预计未来现金流量现值低于其账面价值的差额计提坏账 准备，计入当期损益。单独测试未发生减值的应收款项， 将其归入相应组合计提坏账准备。</w:t>
            </w:r>
          </w:p>
        </w:tc>
      </w:tr>
    </w:tbl>
    <w:p>
      <w:pPr>
        <w:spacing w:lineRule="exact" w:line="1"/>
        <w:rPr>
          <w:sz w:val="2"/>
          <w:szCs w:val="2"/>
        </w:rPr>
      </w:pPr>
      <w:r>
        <w:br w:type="page"/>
      </w:r>
    </w:p>
    <w:p>
      <w:pPr>
        <w:pStyle w:val="Style44"/>
        <w:keepNext/>
        <w:keepLines/>
        <w:widowControl w:val="0"/>
        <w:numPr>
          <w:ilvl w:val="0"/>
          <w:numId w:val="25"/>
        </w:numPr>
        <w:shd w:val="clear" w:color="auto" w:fill="auto"/>
        <w:bidi w:val="0"/>
        <w:spacing w:before="0" w:after="320" w:line="240" w:lineRule="auto"/>
        <w:ind w:left="0" w:right="0" w:firstLine="420"/>
        <w:jc w:val="left"/>
      </w:pPr>
      <w:bookmarkStart w:id="726" w:name="bookmark726"/>
      <w:bookmarkStart w:id="727" w:name="bookmark727"/>
      <w:bookmarkStart w:id="728" w:name="bookmark728"/>
      <w:bookmarkStart w:id="729" w:name="bookmark729"/>
      <w:bookmarkEnd w:id="728"/>
      <w:r>
        <w:rPr>
          <w:color w:val="000000"/>
          <w:spacing w:val="0"/>
          <w:w w:val="100"/>
          <w:position w:val="0"/>
        </w:rPr>
        <w:t>按组合计提坏账准备的应收款项</w:t>
      </w:r>
      <w:bookmarkEnd w:id="726"/>
      <w:bookmarkEnd w:id="727"/>
      <w:bookmarkEnd w:id="729"/>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按组合计提坏账准备的计</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不属于单项计提坏账准备，且不属于下列组合</w:t>
            </w:r>
            <w:r>
              <w:rPr>
                <w:color w:val="000000"/>
                <w:spacing w:val="0"/>
                <w:w w:val="100"/>
                <w:position w:val="0"/>
              </w:rPr>
              <w:t>2</w:t>
            </w:r>
            <w:r>
              <w:rPr>
                <w:rFonts w:ascii="SimSun" w:eastAsia="SimSun" w:hAnsi="SimSun" w:cs="SimSun"/>
                <w:color w:val="000000"/>
                <w:spacing w:val="0"/>
                <w:w w:val="100"/>
                <w:position w:val="0"/>
              </w:rPr>
              <w:t>和组合</w:t>
            </w:r>
            <w:r>
              <w:rPr>
                <w:color w:val="000000"/>
                <w:spacing w:val="0"/>
                <w:w w:val="100"/>
                <w:position w:val="0"/>
              </w:rPr>
              <w:t>3</w:t>
            </w:r>
            <w:r>
              <w:rPr>
                <w:rFonts w:ascii="SimSun" w:eastAsia="SimSun" w:hAnsi="SimSun" w:cs="SimSun"/>
                <w:color w:val="000000"/>
                <w:spacing w:val="0"/>
                <w:w w:val="100"/>
                <w:position w:val="0"/>
              </w:rPr>
              <w:t>的 应收款项。</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r>
              <w:rPr>
                <w:rFonts w:ascii="SimSun" w:eastAsia="SimSun" w:hAnsi="SimSun" w:cs="SimSun"/>
                <w:color w:val="000000"/>
                <w:spacing w:val="0"/>
                <w:w w:val="100"/>
                <w:position w:val="0"/>
              </w:rPr>
              <w:t>：合并范围内的关联方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合并范围内的关联方。</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3</w:t>
            </w:r>
            <w:r>
              <w:rPr>
                <w:rFonts w:ascii="SimSun" w:eastAsia="SimSun" w:hAnsi="SimSun" w:cs="SimSun"/>
                <w:color w:val="000000"/>
                <w:spacing w:val="0"/>
                <w:w w:val="100"/>
                <w:position w:val="0"/>
              </w:rPr>
              <w:t>：应收补贴款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不计提坏账准备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r>
    </w:tbl>
    <w:p>
      <w:pPr>
        <w:pStyle w:val="Style33"/>
        <w:keepNext w:val="0"/>
        <w:keepLines w:val="0"/>
        <w:widowControl w:val="0"/>
        <w:shd w:val="clear" w:color="auto" w:fill="auto"/>
        <w:bidi w:val="0"/>
        <w:spacing w:before="0" w:after="0" w:line="240" w:lineRule="auto"/>
        <w:ind w:left="408" w:right="0" w:firstLine="0"/>
        <w:jc w:val="left"/>
      </w:pPr>
      <w:r>
        <w:rPr>
          <w:color w:val="000000"/>
          <w:spacing w:val="0"/>
          <w:w w:val="100"/>
          <w:position w:val="0"/>
        </w:rPr>
        <w:t>组合中，采用账龄分析法计提坏账准备的:</w:t>
      </w:r>
    </w:p>
    <w:p>
      <w:pPr>
        <w:widowControl w:val="0"/>
        <w:spacing w:after="59" w:line="1" w:lineRule="exact"/>
      </w:pPr>
    </w:p>
    <w:p>
      <w:pPr>
        <w:widowControl w:val="0"/>
        <w:spacing w:line="1" w:lineRule="exact"/>
      </w:pP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r>
    </w:tbl>
    <w:p>
      <w:pPr>
        <w:widowControl w:val="0"/>
        <w:spacing w:after="319" w:line="1" w:lineRule="exact"/>
      </w:pPr>
    </w:p>
    <w:p>
      <w:pPr>
        <w:pStyle w:val="Style44"/>
        <w:keepNext/>
        <w:keepLines/>
        <w:widowControl w:val="0"/>
        <w:numPr>
          <w:ilvl w:val="0"/>
          <w:numId w:val="25"/>
        </w:numPr>
        <w:shd w:val="clear" w:color="auto" w:fill="auto"/>
        <w:bidi w:val="0"/>
        <w:spacing w:before="0" w:after="320" w:line="240" w:lineRule="auto"/>
        <w:ind w:left="0" w:right="0" w:firstLine="420"/>
        <w:jc w:val="left"/>
      </w:pPr>
      <w:bookmarkStart w:id="730" w:name="bookmark730"/>
      <w:bookmarkStart w:id="731" w:name="bookmark731"/>
      <w:bookmarkStart w:id="732" w:name="bookmark732"/>
      <w:bookmarkStart w:id="733" w:name="bookmark733"/>
      <w:bookmarkEnd w:id="732"/>
      <w:r>
        <w:rPr>
          <w:color w:val="000000"/>
          <w:spacing w:val="0"/>
          <w:w w:val="100"/>
          <w:position w:val="0"/>
        </w:rPr>
        <w:t>单项金额虽不重大但单项计提坏账准备的应收账款</w:t>
      </w:r>
      <w:bookmarkEnd w:id="730"/>
      <w:bookmarkEnd w:id="731"/>
      <w:bookmarkEnd w:id="733"/>
    </w:p>
    <w:tbl>
      <w:tblPr>
        <w:tblOverlap w:val="never"/>
        <w:jc w:val="center"/>
        <w:tblLayout w:type="fixed"/>
      </w:tblPr>
      <w:tblGrid>
        <w:gridCol w:w="3355"/>
        <w:gridCol w:w="6226"/>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如有客观证据表明年末单项金额不重大的应收款项发生了减值的，根据其未来 现金流量现值低于其账面价值的差额，确认减值损失，计提坏账准备。</w:t>
            </w:r>
          </w:p>
        </w:tc>
      </w:tr>
      <w:tr>
        <w:trPr>
          <w:trHeight w:val="2011"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单独测试未发生减值的应收账款和其他应收款，以账龄为信用风险特征根据账 龄分析法计提坏账准备。</w:t>
            </w:r>
          </w:p>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其他说明：年末对于不适用按账龄段划分的类似信用风险特征组合的应收票据、 预付账款和长期应收款均进行单项减值测试。如有客观证据表明其发生了减值 的，根据其未来现金流量现值低于其账面价值的差额，确认减值损失，计提坏 账准备。如经减值测试未发现减值的，则不计提坏账准备。</w:t>
            </w:r>
          </w:p>
        </w:tc>
      </w:tr>
    </w:tbl>
    <w:p>
      <w:pPr>
        <w:widowControl w:val="0"/>
        <w:spacing w:after="379" w:line="1" w:lineRule="exact"/>
      </w:pPr>
    </w:p>
    <w:p>
      <w:pPr>
        <w:pStyle w:val="Style44"/>
        <w:keepNext/>
        <w:keepLines/>
        <w:widowControl w:val="0"/>
        <w:shd w:val="clear" w:color="auto" w:fill="auto"/>
        <w:bidi w:val="0"/>
        <w:spacing w:before="0" w:after="440" w:line="240" w:lineRule="auto"/>
        <w:ind w:left="0" w:right="0" w:firstLine="420"/>
        <w:jc w:val="left"/>
      </w:pPr>
      <w:bookmarkStart w:id="734" w:name="bookmark734"/>
      <w:bookmarkStart w:id="735" w:name="bookmark735"/>
      <w:bookmarkStart w:id="736" w:name="bookmark736"/>
      <w:r>
        <w:rPr>
          <w:color w:val="000000"/>
          <w:spacing w:val="0"/>
          <w:w w:val="100"/>
          <w:position w:val="0"/>
        </w:rPr>
        <w:t>11、存货</w:t>
      </w:r>
      <w:bookmarkEnd w:id="734"/>
      <w:bookmarkEnd w:id="735"/>
      <w:bookmarkEnd w:id="736"/>
    </w:p>
    <w:p>
      <w:pPr>
        <w:pStyle w:val="Style44"/>
        <w:keepNext/>
        <w:keepLines/>
        <w:widowControl w:val="0"/>
        <w:shd w:val="clear" w:color="auto" w:fill="auto"/>
        <w:bidi w:val="0"/>
        <w:spacing w:before="0" w:after="440" w:line="240" w:lineRule="auto"/>
        <w:ind w:left="0" w:right="0" w:firstLine="420"/>
        <w:jc w:val="left"/>
      </w:pPr>
      <w:bookmarkStart w:id="734" w:name="bookmark734"/>
      <w:bookmarkStart w:id="735" w:name="bookmark735"/>
      <w:bookmarkStart w:id="737" w:name="bookmark737"/>
      <w:r>
        <w:rPr>
          <w:color w:val="000000"/>
          <w:spacing w:val="0"/>
          <w:w w:val="100"/>
          <w:position w:val="0"/>
        </w:rPr>
        <w:t>⑴存货的分类</w:t>
      </w:r>
      <w:bookmarkEnd w:id="734"/>
      <w:bookmarkEnd w:id="735"/>
      <w:bookmarkEnd w:id="737"/>
    </w:p>
    <w:p>
      <w:pPr>
        <w:pStyle w:val="Style54"/>
        <w:keepNext w:val="0"/>
        <w:keepLines w:val="0"/>
        <w:widowControl w:val="0"/>
        <w:shd w:val="clear" w:color="auto" w:fill="auto"/>
        <w:bidi w:val="0"/>
        <w:spacing w:before="0" w:after="440" w:line="240" w:lineRule="auto"/>
        <w:ind w:left="0" w:right="0" w:firstLine="420"/>
        <w:jc w:val="left"/>
      </w:pPr>
      <w:r>
        <w:rPr>
          <w:b w:val="0"/>
          <w:bCs w:val="0"/>
          <w:color w:val="000000"/>
          <w:spacing w:val="0"/>
          <w:w w:val="100"/>
          <w:position w:val="0"/>
        </w:rPr>
        <w:t>存货分类为：原材料、周转材料、库存商品、在产品、产成品、开发产品等。</w:t>
      </w:r>
    </w:p>
    <w:p>
      <w:pPr>
        <w:pStyle w:val="Style44"/>
        <w:keepNext/>
        <w:keepLines/>
        <w:widowControl w:val="0"/>
        <w:numPr>
          <w:ilvl w:val="0"/>
          <w:numId w:val="27"/>
        </w:numPr>
        <w:shd w:val="clear" w:color="auto" w:fill="auto"/>
        <w:bidi w:val="0"/>
        <w:spacing w:before="0" w:after="440" w:line="240" w:lineRule="auto"/>
        <w:ind w:left="0" w:right="0" w:firstLine="420"/>
        <w:jc w:val="left"/>
      </w:pPr>
      <w:bookmarkStart w:id="738" w:name="bookmark738"/>
      <w:bookmarkStart w:id="739" w:name="bookmark739"/>
      <w:bookmarkStart w:id="740" w:name="bookmark740"/>
      <w:bookmarkStart w:id="741" w:name="bookmark741"/>
      <w:bookmarkEnd w:id="740"/>
      <w:r>
        <w:rPr>
          <w:color w:val="000000"/>
          <w:spacing w:val="0"/>
          <w:w w:val="100"/>
          <w:position w:val="0"/>
        </w:rPr>
        <w:t>发出存货的计价方法</w:t>
      </w:r>
      <w:bookmarkEnd w:id="738"/>
      <w:bookmarkEnd w:id="739"/>
      <w:bookmarkEnd w:id="741"/>
    </w:p>
    <w:p>
      <w:pPr>
        <w:pStyle w:val="Style54"/>
        <w:keepNext w:val="0"/>
        <w:keepLines w:val="0"/>
        <w:widowControl w:val="0"/>
        <w:shd w:val="clear" w:color="auto" w:fill="auto"/>
        <w:bidi w:val="0"/>
        <w:spacing w:before="0" w:after="420" w:line="240" w:lineRule="auto"/>
        <w:ind w:left="0" w:right="0" w:firstLine="420"/>
        <w:jc w:val="left"/>
      </w:pPr>
      <w:r>
        <w:rPr>
          <w:b w:val="0"/>
          <w:bCs w:val="0"/>
          <w:color w:val="000000"/>
          <w:spacing w:val="0"/>
          <w:w w:val="100"/>
          <w:position w:val="0"/>
        </w:rPr>
        <w:t>存货发出时按加权平均法计价。</w:t>
      </w:r>
    </w:p>
    <w:p>
      <w:pPr>
        <w:pStyle w:val="Style44"/>
        <w:keepNext/>
        <w:keepLines/>
        <w:widowControl w:val="0"/>
        <w:numPr>
          <w:ilvl w:val="0"/>
          <w:numId w:val="27"/>
        </w:numPr>
        <w:shd w:val="clear" w:color="auto" w:fill="auto"/>
        <w:tabs>
          <w:tab w:pos="880" w:val="left"/>
        </w:tabs>
        <w:bidi w:val="0"/>
        <w:spacing w:before="0" w:after="280" w:line="391" w:lineRule="exact"/>
        <w:ind w:left="0" w:right="0" w:firstLine="440"/>
        <w:jc w:val="left"/>
      </w:pPr>
      <w:bookmarkStart w:id="742" w:name="bookmark742"/>
      <w:bookmarkStart w:id="743" w:name="bookmark743"/>
      <w:bookmarkStart w:id="744" w:name="bookmark744"/>
      <w:bookmarkStart w:id="745" w:name="bookmark745"/>
      <w:bookmarkEnd w:id="744"/>
      <w:r>
        <w:rPr>
          <w:color w:val="000000"/>
          <w:spacing w:val="0"/>
          <w:w w:val="100"/>
          <w:position w:val="0"/>
        </w:rPr>
        <w:t>存货可变现净值的确定依据及存货跌价准备的计提方法</w:t>
      </w:r>
      <w:bookmarkEnd w:id="742"/>
      <w:bookmarkEnd w:id="743"/>
      <w:bookmarkEnd w:id="745"/>
    </w:p>
    <w:p>
      <w:pPr>
        <w:pStyle w:val="Style54"/>
        <w:keepNext w:val="0"/>
        <w:keepLines w:val="0"/>
        <w:widowControl w:val="0"/>
        <w:shd w:val="clear" w:color="auto" w:fill="auto"/>
        <w:bidi w:val="0"/>
        <w:spacing w:before="0" w:after="0" w:line="391" w:lineRule="exact"/>
        <w:ind w:left="0" w:right="0" w:firstLine="440"/>
        <w:jc w:val="left"/>
      </w:pPr>
      <w:r>
        <w:rPr>
          <w:b w:val="0"/>
          <w:bCs w:val="0"/>
          <w:color w:val="000000"/>
          <w:spacing w:val="0"/>
          <w:w w:val="100"/>
          <w:position w:val="0"/>
        </w:rPr>
        <w:t>期末对存货进行全面清查后，按存货的成本与可变现净值孰低提取或调整存货跌价准备。</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以前减记存货价值的影响因素已经消失的，减记的金额予以恢复，并在原已计提的存货跌价准备金额 内转回，转回的金额计入当期损益。</w:t>
      </w:r>
    </w:p>
    <w:p>
      <w:pPr>
        <w:pStyle w:val="Style54"/>
        <w:keepNext w:val="0"/>
        <w:keepLines w:val="0"/>
        <w:widowControl w:val="0"/>
        <w:numPr>
          <w:ilvl w:val="0"/>
          <w:numId w:val="27"/>
        </w:numPr>
        <w:shd w:val="clear" w:color="auto" w:fill="auto"/>
        <w:tabs>
          <w:tab w:pos="880" w:val="left"/>
        </w:tabs>
        <w:bidi w:val="0"/>
        <w:spacing w:before="0" w:after="280" w:line="391" w:lineRule="exact"/>
        <w:ind w:left="0" w:right="0" w:firstLine="440"/>
        <w:jc w:val="both"/>
      </w:pPr>
      <w:bookmarkStart w:id="746" w:name="bookmark746"/>
      <w:bookmarkEnd w:id="746"/>
      <w:r>
        <w:rPr>
          <w:color w:val="000000"/>
          <w:spacing w:val="0"/>
          <w:w w:val="100"/>
          <w:position w:val="0"/>
        </w:rPr>
        <w:t>存货的盘存制度</w:t>
      </w:r>
    </w:p>
    <w:p>
      <w:pPr>
        <w:pStyle w:val="Style54"/>
        <w:keepNext w:val="0"/>
        <w:keepLines w:val="0"/>
        <w:widowControl w:val="0"/>
        <w:shd w:val="clear" w:color="auto" w:fill="auto"/>
        <w:bidi w:val="0"/>
        <w:spacing w:before="0" w:after="280" w:line="391" w:lineRule="exact"/>
        <w:ind w:left="0" w:right="0" w:firstLine="440"/>
        <w:jc w:val="both"/>
      </w:pPr>
      <w:r>
        <w:rPr>
          <w:b w:val="0"/>
          <w:bCs w:val="0"/>
          <w:color w:val="000000"/>
          <w:spacing w:val="0"/>
          <w:w w:val="100"/>
          <w:position w:val="0"/>
        </w:rPr>
        <w:t>采用永续盘存制。</w:t>
      </w:r>
    </w:p>
    <w:p>
      <w:pPr>
        <w:pStyle w:val="Style44"/>
        <w:keepNext/>
        <w:keepLines/>
        <w:widowControl w:val="0"/>
        <w:numPr>
          <w:ilvl w:val="0"/>
          <w:numId w:val="27"/>
        </w:numPr>
        <w:shd w:val="clear" w:color="auto" w:fill="auto"/>
        <w:tabs>
          <w:tab w:pos="880" w:val="left"/>
        </w:tabs>
        <w:bidi w:val="0"/>
        <w:spacing w:before="0" w:after="280" w:line="391" w:lineRule="exact"/>
        <w:ind w:left="0" w:right="0" w:firstLine="440"/>
        <w:jc w:val="both"/>
      </w:pPr>
      <w:bookmarkStart w:id="747" w:name="bookmark747"/>
      <w:bookmarkStart w:id="748" w:name="bookmark748"/>
      <w:bookmarkStart w:id="749" w:name="bookmark749"/>
      <w:bookmarkStart w:id="750" w:name="bookmark750"/>
      <w:bookmarkEnd w:id="749"/>
      <w:r>
        <w:rPr>
          <w:color w:val="000000"/>
          <w:spacing w:val="0"/>
          <w:w w:val="100"/>
          <w:position w:val="0"/>
        </w:rPr>
        <w:t>低值易耗品和包装物的摊销方法</w:t>
      </w:r>
      <w:bookmarkEnd w:id="747"/>
      <w:bookmarkEnd w:id="748"/>
      <w:bookmarkEnd w:id="750"/>
    </w:p>
    <w:p>
      <w:pPr>
        <w:pStyle w:val="Style54"/>
        <w:keepNext w:val="0"/>
        <w:keepLines w:val="0"/>
        <w:widowControl w:val="0"/>
        <w:numPr>
          <w:ilvl w:val="0"/>
          <w:numId w:val="29"/>
        </w:numPr>
        <w:shd w:val="clear" w:color="auto" w:fill="auto"/>
        <w:tabs>
          <w:tab w:pos="832" w:val="left"/>
        </w:tabs>
        <w:bidi w:val="0"/>
        <w:spacing w:before="0" w:after="0" w:line="391" w:lineRule="exact"/>
        <w:ind w:left="0" w:right="0" w:firstLine="440"/>
        <w:jc w:val="both"/>
      </w:pPr>
      <w:bookmarkStart w:id="751" w:name="bookmark751"/>
      <w:bookmarkEnd w:id="751"/>
      <w:r>
        <w:rPr>
          <w:b w:val="0"/>
          <w:bCs w:val="0"/>
          <w:color w:val="000000"/>
          <w:spacing w:val="0"/>
          <w:w w:val="100"/>
          <w:position w:val="0"/>
        </w:rPr>
        <w:t>低值易耗品采用一次转销法；</w:t>
      </w:r>
    </w:p>
    <w:p>
      <w:pPr>
        <w:pStyle w:val="Style54"/>
        <w:keepNext w:val="0"/>
        <w:keepLines w:val="0"/>
        <w:widowControl w:val="0"/>
        <w:numPr>
          <w:ilvl w:val="0"/>
          <w:numId w:val="29"/>
        </w:numPr>
        <w:shd w:val="clear" w:color="auto" w:fill="auto"/>
        <w:tabs>
          <w:tab w:pos="837" w:val="left"/>
        </w:tabs>
        <w:bidi w:val="0"/>
        <w:spacing w:before="0" w:after="280" w:line="391" w:lineRule="exact"/>
        <w:ind w:left="0" w:right="0" w:firstLine="440"/>
        <w:jc w:val="both"/>
      </w:pPr>
      <w:bookmarkStart w:id="752" w:name="bookmark752"/>
      <w:bookmarkEnd w:id="752"/>
      <w:r>
        <w:rPr>
          <w:b w:val="0"/>
          <w:bCs w:val="0"/>
          <w:color w:val="000000"/>
          <w:spacing w:val="0"/>
          <w:w w:val="100"/>
          <w:position w:val="0"/>
        </w:rPr>
        <w:t>包装物采用一次转销法。</w:t>
      </w:r>
    </w:p>
    <w:p>
      <w:pPr>
        <w:pStyle w:val="Style44"/>
        <w:keepNext/>
        <w:keepLines/>
        <w:widowControl w:val="0"/>
        <w:shd w:val="clear" w:color="auto" w:fill="auto"/>
        <w:bidi w:val="0"/>
        <w:spacing w:before="0" w:after="280" w:line="391" w:lineRule="exact"/>
        <w:ind w:left="0" w:right="0" w:firstLine="440"/>
        <w:jc w:val="both"/>
      </w:pPr>
      <w:bookmarkStart w:id="753" w:name="bookmark753"/>
      <w:bookmarkStart w:id="754" w:name="bookmark754"/>
      <w:bookmarkStart w:id="755" w:name="bookmark755"/>
      <w:bookmarkStart w:id="756" w:name="bookmark756"/>
      <w:r>
        <w:rPr>
          <w:color w:val="000000"/>
          <w:spacing w:val="0"/>
          <w:w w:val="100"/>
          <w:position w:val="0"/>
        </w:rPr>
        <w:t>1</w:t>
      </w:r>
      <w:bookmarkEnd w:id="755"/>
      <w:r>
        <w:rPr>
          <w:color w:val="000000"/>
          <w:spacing w:val="0"/>
          <w:w w:val="100"/>
          <w:position w:val="0"/>
        </w:rPr>
        <w:t>2、长期股权投资</w:t>
      </w:r>
      <w:bookmarkEnd w:id="753"/>
      <w:bookmarkEnd w:id="754"/>
      <w:bookmarkEnd w:id="756"/>
    </w:p>
    <w:p>
      <w:pPr>
        <w:pStyle w:val="Style44"/>
        <w:keepNext/>
        <w:keepLines/>
        <w:widowControl w:val="0"/>
        <w:shd w:val="clear" w:color="auto" w:fill="auto"/>
        <w:bidi w:val="0"/>
        <w:spacing w:before="0" w:after="280" w:line="391" w:lineRule="exact"/>
        <w:ind w:left="0" w:right="0" w:firstLine="440"/>
        <w:jc w:val="both"/>
      </w:pPr>
      <w:bookmarkStart w:id="753" w:name="bookmark753"/>
      <w:bookmarkStart w:id="754" w:name="bookmark754"/>
      <w:bookmarkStart w:id="757" w:name="bookmark757"/>
      <w:r>
        <w:rPr>
          <w:color w:val="000000"/>
          <w:spacing w:val="0"/>
          <w:w w:val="100"/>
          <w:position w:val="0"/>
        </w:rPr>
        <w:t>⑴投资成本的确定</w:t>
      </w:r>
      <w:bookmarkEnd w:id="753"/>
      <w:bookmarkEnd w:id="754"/>
      <w:bookmarkEnd w:id="757"/>
    </w:p>
    <w:p>
      <w:pPr>
        <w:pStyle w:val="Style54"/>
        <w:keepNext w:val="0"/>
        <w:keepLines w:val="0"/>
        <w:widowControl w:val="0"/>
        <w:numPr>
          <w:ilvl w:val="0"/>
          <w:numId w:val="31"/>
        </w:numPr>
        <w:shd w:val="clear" w:color="auto" w:fill="auto"/>
        <w:bidi w:val="0"/>
        <w:spacing w:before="0" w:after="0" w:line="391" w:lineRule="exact"/>
        <w:ind w:left="0" w:right="0" w:firstLine="440"/>
        <w:jc w:val="both"/>
      </w:pPr>
      <w:bookmarkStart w:id="758" w:name="bookmark758"/>
      <w:bookmarkEnd w:id="758"/>
      <w:r>
        <w:rPr>
          <w:b w:val="0"/>
          <w:bCs w:val="0"/>
          <w:color w:val="000000"/>
          <w:spacing w:val="0"/>
          <w:w w:val="100"/>
          <w:position w:val="0"/>
        </w:rPr>
        <w:t>企业合并形成的长期股权投资</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同一控制下的企业合并：公司以支付现金、转让非现金资产或承担债务方式以及以发行权益性证券作 为合并对价的，在合并日按照取得被合并方所有者权益账面价值的份额作为长期股权投资的初始投资成 本。长期股权投资初始投资成本与支付合并对价之间的差额，调整资本公积中的股本溢价；资本公积中的 股本溢价不足冲减的，调整留存收益。合并发生的各项直接相关费用，包括为进行合并而支付的审计费用、 评估费用、法律服务费用等，于发生时计入当期损益。</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 xml:space="preserve">非同一控制下的企业合并：公司按照购买日确定的合并成本作为长期股权投资的初始投资成本。合并 成本为购买日购买方为取得对被购买方的控制权而付出的资产、发生或承担的负债以及发行的权益性证券 的公允价值。购买方为企业合并而发生的审计、法律服务、评估咨询等中介费用以及其他相关管理费用于 </w:t>
      </w:r>
      <w:r>
        <w:rPr>
          <w:b w:val="0"/>
          <w:bCs w:val="0"/>
          <w:color w:val="000000"/>
          <w:spacing w:val="0"/>
          <w:w w:val="100"/>
          <w:position w:val="0"/>
        </w:rPr>
        <w:t>发生时计入当期损益；购买方作为合并对价发行的权益性证券或债务性证券的交易费用，计入权益性证券 或债务性证券的初始确认金额。通过多次交易分步实现的非同一控制下企业合并，以购买日之前所持被购 买方的股权投资的账面价值与购买日新增投资成本之和，作为该项投资的初始投资成本。本公司将合并协 议约定的或有对价作为企业合并转移对价的一部分，按照其在购买日的公允价值计入企业合并成本。</w:t>
      </w:r>
    </w:p>
    <w:p>
      <w:pPr>
        <w:pStyle w:val="Style54"/>
        <w:keepNext w:val="0"/>
        <w:keepLines w:val="0"/>
        <w:widowControl w:val="0"/>
        <w:numPr>
          <w:ilvl w:val="0"/>
          <w:numId w:val="31"/>
        </w:numPr>
        <w:shd w:val="clear" w:color="auto" w:fill="auto"/>
        <w:bidi w:val="0"/>
        <w:spacing w:before="0" w:after="0" w:line="393" w:lineRule="exact"/>
        <w:ind w:left="0" w:right="0" w:firstLine="440"/>
        <w:jc w:val="both"/>
      </w:pPr>
      <w:bookmarkStart w:id="759" w:name="bookmark759"/>
      <w:bookmarkEnd w:id="759"/>
      <w:r>
        <w:rPr>
          <w:b w:val="0"/>
          <w:bCs w:val="0"/>
          <w:color w:val="000000"/>
          <w:spacing w:val="0"/>
          <w:w w:val="100"/>
          <w:position w:val="0"/>
        </w:rPr>
        <w:t>其他方式取得的长期股权投资</w:t>
      </w:r>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以支付现金方式取得的长期股权投资，按照实际支付的购买价款作为初始投资成本。</w:t>
      </w:r>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以发行权益性证券取得的长期股权投资，按照发行权益性证券的公允价值作为初始投资成本。</w:t>
      </w:r>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投资者投入的长期股权投资，按照投资合同或协议约定的价值（扣除已宣告但尚未发放的现金股利或 利润）作为初始投资成本，但合同或协议约定价值不公允的除外。</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 的相关税费作为换入长期股权投资的初始投资成本。</w:t>
      </w:r>
    </w:p>
    <w:p>
      <w:pPr>
        <w:pStyle w:val="Style54"/>
        <w:keepNext w:val="0"/>
        <w:keepLines w:val="0"/>
        <w:widowControl w:val="0"/>
        <w:shd w:val="clear" w:color="auto" w:fill="auto"/>
        <w:bidi w:val="0"/>
        <w:spacing w:before="0" w:after="280" w:line="393" w:lineRule="exact"/>
        <w:ind w:left="0" w:right="0" w:firstLine="440"/>
        <w:jc w:val="both"/>
      </w:pPr>
      <w:r>
        <w:rPr>
          <w:b w:val="0"/>
          <w:bCs w:val="0"/>
          <w:color w:val="000000"/>
          <w:spacing w:val="0"/>
          <w:w w:val="100"/>
          <w:position w:val="0"/>
        </w:rPr>
        <w:t>通过债务重组取得的长期股权投资，其初始投资成本按照公允价值为基础确定。</w:t>
      </w:r>
    </w:p>
    <w:p>
      <w:pPr>
        <w:pStyle w:val="Style44"/>
        <w:keepNext/>
        <w:keepLines/>
        <w:widowControl w:val="0"/>
        <w:shd w:val="clear" w:color="auto" w:fill="auto"/>
        <w:bidi w:val="0"/>
        <w:spacing w:before="0" w:after="280" w:line="393" w:lineRule="exact"/>
        <w:ind w:left="0" w:right="0" w:firstLine="440"/>
        <w:jc w:val="both"/>
      </w:pPr>
      <w:bookmarkStart w:id="760" w:name="bookmark760"/>
      <w:bookmarkStart w:id="761" w:name="bookmark761"/>
      <w:bookmarkStart w:id="762" w:name="bookmark762"/>
      <w:bookmarkStart w:id="763" w:name="bookmark763"/>
      <w:r>
        <w:rPr>
          <w:color w:val="000000"/>
          <w:spacing w:val="0"/>
          <w:w w:val="100"/>
          <w:position w:val="0"/>
        </w:rPr>
        <w:t>（</w:t>
      </w:r>
      <w:bookmarkEnd w:id="762"/>
      <w:r>
        <w:rPr>
          <w:color w:val="000000"/>
          <w:spacing w:val="0"/>
          <w:w w:val="100"/>
          <w:position w:val="0"/>
        </w:rPr>
        <w:t>2）后续计量及损益确认</w:t>
      </w:r>
      <w:bookmarkEnd w:id="760"/>
      <w:bookmarkEnd w:id="761"/>
      <w:bookmarkEnd w:id="763"/>
    </w:p>
    <w:p>
      <w:pPr>
        <w:pStyle w:val="Style54"/>
        <w:keepNext w:val="0"/>
        <w:keepLines w:val="0"/>
        <w:widowControl w:val="0"/>
        <w:numPr>
          <w:ilvl w:val="0"/>
          <w:numId w:val="33"/>
        </w:numPr>
        <w:shd w:val="clear" w:color="auto" w:fill="auto"/>
        <w:tabs>
          <w:tab w:pos="821" w:val="left"/>
        </w:tabs>
        <w:bidi w:val="0"/>
        <w:spacing w:before="0" w:after="0" w:line="393" w:lineRule="exact"/>
        <w:ind w:left="0" w:right="0" w:firstLine="440"/>
        <w:jc w:val="both"/>
      </w:pPr>
      <w:bookmarkStart w:id="764" w:name="bookmark764"/>
      <w:bookmarkEnd w:id="764"/>
      <w:r>
        <w:rPr>
          <w:b w:val="0"/>
          <w:bCs w:val="0"/>
          <w:color w:val="000000"/>
          <w:spacing w:val="0"/>
          <w:w w:val="100"/>
          <w:position w:val="0"/>
        </w:rPr>
        <w:t>后续计量</w:t>
      </w:r>
    </w:p>
    <w:p>
      <w:pPr>
        <w:pStyle w:val="Style54"/>
        <w:keepNext w:val="0"/>
        <w:keepLines w:val="0"/>
        <w:widowControl w:val="0"/>
        <w:shd w:val="clear" w:color="auto" w:fill="auto"/>
        <w:bidi w:val="0"/>
        <w:spacing w:before="0" w:after="0" w:line="393" w:lineRule="exact"/>
        <w:ind w:left="0" w:right="0" w:firstLine="440"/>
        <w:jc w:val="both"/>
      </w:pPr>
      <w:r>
        <w:rPr>
          <w:b w:val="0"/>
          <w:bCs w:val="0"/>
          <w:color w:val="000000"/>
          <w:spacing w:val="0"/>
          <w:w w:val="100"/>
          <w:position w:val="0"/>
        </w:rPr>
        <w:t>公司对子公司的长期股权投资，采用成本法核算，编制合并财务报表时按照权益法进行调整。</w:t>
      </w:r>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对被投资单位不具有共同控制或重大影响，并且在活跃市场中没有报价、公允价值不能可靠计量的长 期股权投资，采用成本法核算。</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54"/>
        <w:keepNext w:val="0"/>
        <w:keepLines w:val="0"/>
        <w:widowControl w:val="0"/>
        <w:numPr>
          <w:ilvl w:val="0"/>
          <w:numId w:val="33"/>
        </w:numPr>
        <w:shd w:val="clear" w:color="auto" w:fill="auto"/>
        <w:tabs>
          <w:tab w:pos="826" w:val="left"/>
        </w:tabs>
        <w:bidi w:val="0"/>
        <w:spacing w:before="0" w:after="0" w:line="394" w:lineRule="exact"/>
        <w:ind w:left="0" w:right="0" w:firstLine="440"/>
        <w:jc w:val="both"/>
      </w:pPr>
      <w:bookmarkStart w:id="765" w:name="bookmark765"/>
      <w:bookmarkEnd w:id="765"/>
      <w:r>
        <w:rPr>
          <w:b w:val="0"/>
          <w:bCs w:val="0"/>
          <w:color w:val="000000"/>
          <w:spacing w:val="0"/>
          <w:w w:val="100"/>
          <w:position w:val="0"/>
        </w:rPr>
        <w:t>损益确认</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权益法下，在被投资单位账面净利润的基础上考虑：被投资单位与本公司采用的会计政策及会计期间 不一致，按本公司的会计政策及会计期间对被投资单位财务报表进行调整；以取得投资时被投资单位固定 资产、无形资产的公允价值为基础计提的折旧额或摊销额以及有关资产减值准备金额等对被投资单位净利 润的影响；对本公司与联营企业及合营企业之间发生的未实现内部交易予以抵销等事项的适当调整后，确 认应享有或应负担被投资单位的净利润或净亏损。</w:t>
      </w:r>
    </w:p>
    <w:p>
      <w:pPr>
        <w:pStyle w:val="Style54"/>
        <w:keepNext w:val="0"/>
        <w:keepLines w:val="0"/>
        <w:widowControl w:val="0"/>
        <w:shd w:val="clear" w:color="auto" w:fill="auto"/>
        <w:bidi w:val="0"/>
        <w:spacing w:before="0" w:after="40" w:line="391" w:lineRule="exact"/>
        <w:ind w:left="0" w:right="0" w:firstLine="440"/>
        <w:jc w:val="both"/>
      </w:pPr>
      <w:r>
        <w:rPr>
          <w:b w:val="0"/>
          <w:bCs w:val="0"/>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同或协议约定企业仍承担额外义务的，按预计承担的义务确认预计负债，计入当期投资损失。被投资单位 以后期间实现盈利的，公司在扣除未确认的亏损分担额后，按与上述相反的顺序处理，减记已确认预计负 债的账面余额、恢复其他实质上构成对被投资单位净投资的长期权益及长期股权投资的账面价值，同时确 认投资收益。</w:t>
      </w:r>
    </w:p>
    <w:p>
      <w:pPr>
        <w:pStyle w:val="Style54"/>
        <w:keepNext w:val="0"/>
        <w:keepLines w:val="0"/>
        <w:widowControl w:val="0"/>
        <w:shd w:val="clear" w:color="auto" w:fill="auto"/>
        <w:bidi w:val="0"/>
        <w:spacing w:before="0" w:after="40" w:line="394" w:lineRule="exact"/>
        <w:ind w:left="0" w:right="0" w:firstLine="440"/>
        <w:jc w:val="both"/>
      </w:pPr>
      <w:r>
        <w:rPr>
          <w:b w:val="0"/>
          <w:bCs w:val="0"/>
          <w:color w:val="000000"/>
          <w:spacing w:val="0"/>
          <w:w w:val="100"/>
          <w:position w:val="0"/>
        </w:rPr>
        <w:t>在持有投资期间，被投资单位能够提供合并财务报表的，应当以合并财务报表中的净利润和其他权益 变动为基础进行核算。</w:t>
      </w:r>
    </w:p>
    <w:p>
      <w:pPr>
        <w:pStyle w:val="Style54"/>
        <w:keepNext w:val="0"/>
        <w:keepLines w:val="0"/>
        <w:widowControl w:val="0"/>
        <w:numPr>
          <w:ilvl w:val="0"/>
          <w:numId w:val="33"/>
        </w:numPr>
        <w:shd w:val="clear" w:color="auto" w:fill="auto"/>
        <w:bidi w:val="0"/>
        <w:spacing w:before="0" w:after="40" w:line="390" w:lineRule="exact"/>
        <w:ind w:left="0" w:right="0" w:firstLine="440"/>
        <w:jc w:val="both"/>
      </w:pPr>
      <w:bookmarkStart w:id="766" w:name="bookmark766"/>
      <w:bookmarkEnd w:id="766"/>
      <w:r>
        <w:rPr>
          <w:b w:val="0"/>
          <w:bCs w:val="0"/>
          <w:color w:val="000000"/>
          <w:spacing w:val="0"/>
          <w:w w:val="100"/>
          <w:position w:val="0"/>
        </w:rPr>
        <w:t>长期股权投资的处置</w:t>
      </w:r>
    </w:p>
    <w:p>
      <w:pPr>
        <w:pStyle w:val="Style54"/>
        <w:keepNext w:val="0"/>
        <w:keepLines w:val="0"/>
        <w:widowControl w:val="0"/>
        <w:shd w:val="clear" w:color="auto" w:fill="auto"/>
        <w:bidi w:val="0"/>
        <w:spacing w:before="0" w:after="40" w:line="389" w:lineRule="exact"/>
        <w:ind w:left="0" w:right="0" w:firstLine="440"/>
        <w:jc w:val="both"/>
      </w:pPr>
      <w:r>
        <w:rPr>
          <w:b w:val="0"/>
          <w:bCs w:val="0"/>
          <w:color w:val="000000"/>
          <w:spacing w:val="0"/>
          <w:w w:val="100"/>
          <w:position w:val="0"/>
        </w:rPr>
        <w:t>处置长期股权投资，其账面价值与实际取得价款的差额，计入当期损益。采用权益法核算的长期股权 投资，因被投资单位除净损益以外所有者权益的其他变动而计入所有者权益的，处置该项投资时将原计入 所有者权益的部分按相应比例转入当期损益。</w:t>
      </w:r>
    </w:p>
    <w:p>
      <w:pPr>
        <w:pStyle w:val="Style54"/>
        <w:keepNext w:val="0"/>
        <w:keepLines w:val="0"/>
        <w:widowControl w:val="0"/>
        <w:shd w:val="clear" w:color="auto" w:fill="auto"/>
        <w:bidi w:val="0"/>
        <w:spacing w:before="0" w:after="300" w:line="390" w:lineRule="exact"/>
        <w:ind w:left="0" w:right="0" w:firstLine="440"/>
        <w:jc w:val="both"/>
      </w:pPr>
      <w:r>
        <w:rPr>
          <w:b w:val="0"/>
          <w:bCs w:val="0"/>
          <w:color w:val="000000"/>
          <w:spacing w:val="0"/>
          <w:w w:val="100"/>
          <w:position w:val="0"/>
        </w:rPr>
        <w:t>因处置部分股权投资或其他原因丧失了对原有子公司控制权的，对于剩余股权，按其账面价值确认为 长期股权投资或其他相关金融资产。处置后的剩余股权能够对原有子公司实施共同控制或重大影响的，首 先按处置或收回投资的比例结转应终止确认的长期股权投资成本。在此基础上，比较剩余的长期股权投资 成本与按照剩余持股比例计算原投资时应享有被投资单位可辨认净资产公允价值的份额，属于投资作价中 体现的商誉部分，不调整长期股权投资的账面价值；属于投资成本小于原投资时应享有被投资单位可辨认 净资产公允价值份额的，在调整长期股权投资成本的同时调整留存收益。对于原取得投资后至因处置投资 导致转变为权益法核算之间被投资单位实现净损益中应享有的份额，一方面调整长期股权投资的账面价 值，同时对于原取得投资时至处置投资当期期初被投资单位实现的净损益(扣除已发放及已宣告发放的现 金股利和利润)中应享有的份额，调整留存收益，对于处置投资当期期初至处置投资之日被投资单位实现 的净损益中享有的份额，调整当期损益；其他原因导致被投资单位所有者权益变动中应享有的份额，在调 整长期股权投资账面价值的同时，计入资本公积(其他资本公积)。</w:t>
      </w:r>
    </w:p>
    <w:p>
      <w:pPr>
        <w:pStyle w:val="Style44"/>
        <w:keepNext/>
        <w:keepLines/>
        <w:widowControl w:val="0"/>
        <w:numPr>
          <w:ilvl w:val="0"/>
          <w:numId w:val="23"/>
        </w:numPr>
        <w:shd w:val="clear" w:color="auto" w:fill="auto"/>
        <w:tabs>
          <w:tab w:pos="820" w:val="left"/>
        </w:tabs>
        <w:bidi w:val="0"/>
        <w:spacing w:before="0" w:after="300" w:line="390" w:lineRule="exact"/>
        <w:ind w:left="0" w:right="0" w:firstLine="440"/>
        <w:jc w:val="both"/>
      </w:pPr>
      <w:bookmarkStart w:id="767" w:name="bookmark767"/>
      <w:bookmarkStart w:id="768" w:name="bookmark768"/>
      <w:bookmarkStart w:id="769" w:name="bookmark769"/>
      <w:bookmarkStart w:id="770" w:name="bookmark770"/>
      <w:bookmarkEnd w:id="769"/>
      <w:r>
        <w:rPr>
          <w:color w:val="000000"/>
          <w:spacing w:val="0"/>
          <w:w w:val="100"/>
          <w:position w:val="0"/>
        </w:rPr>
        <w:t>确定对被投资单位具有共同控制、重大影响的依据</w:t>
      </w:r>
      <w:bookmarkEnd w:id="767"/>
      <w:bookmarkEnd w:id="768"/>
      <w:bookmarkEnd w:id="770"/>
    </w:p>
    <w:p>
      <w:pPr>
        <w:pStyle w:val="Style54"/>
        <w:keepNext w:val="0"/>
        <w:keepLines w:val="0"/>
        <w:widowControl w:val="0"/>
        <w:shd w:val="clear" w:color="auto" w:fill="auto"/>
        <w:bidi w:val="0"/>
        <w:spacing w:before="0" w:after="40" w:line="370" w:lineRule="exact"/>
        <w:ind w:left="0" w:right="0" w:firstLine="440"/>
        <w:jc w:val="both"/>
      </w:pPr>
      <w:r>
        <w:rPr>
          <w:b w:val="0"/>
          <w:bCs w:val="0"/>
          <w:color w:val="000000"/>
          <w:spacing w:val="0"/>
          <w:w w:val="100"/>
          <w:position w:val="0"/>
        </w:rPr>
        <w:t>共同控制，是指按照合同约定对某项经济活动所共有的控制，仅在与该项经济活动相关的重要财务和 经营决策需要分享控制权的投资方一致同意时存在。投资企业与其他方对被投资单位实施共同控制的，被 投资单位为其合营企业。</w:t>
      </w:r>
    </w:p>
    <w:p>
      <w:pPr>
        <w:pStyle w:val="Style54"/>
        <w:keepNext w:val="0"/>
        <w:keepLines w:val="0"/>
        <w:widowControl w:val="0"/>
        <w:shd w:val="clear" w:color="auto" w:fill="auto"/>
        <w:bidi w:val="0"/>
        <w:spacing w:before="0" w:after="300" w:line="384" w:lineRule="exact"/>
        <w:ind w:left="0" w:right="0" w:firstLine="440"/>
        <w:jc w:val="both"/>
      </w:pPr>
      <w:r>
        <w:rPr>
          <w:b w:val="0"/>
          <w:bCs w:val="0"/>
          <w:color w:val="000000"/>
          <w:spacing w:val="0"/>
          <w:w w:val="100"/>
          <w:position w:val="0"/>
        </w:rPr>
        <w:t>重大影响，是指对一个企业的财务和经营决策有参与决策的权力，但并不能够控制或者与其他方一起 共同控制这些政策的制定。投资企业能够对被投资单位施加重大影响的，被投资单位为其联营企业。</w:t>
      </w:r>
    </w:p>
    <w:p>
      <w:pPr>
        <w:pStyle w:val="Style44"/>
        <w:keepNext/>
        <w:keepLines/>
        <w:widowControl w:val="0"/>
        <w:numPr>
          <w:ilvl w:val="0"/>
          <w:numId w:val="23"/>
        </w:numPr>
        <w:shd w:val="clear" w:color="auto" w:fill="auto"/>
        <w:tabs>
          <w:tab w:pos="820" w:val="left"/>
        </w:tabs>
        <w:bidi w:val="0"/>
        <w:spacing w:before="0" w:after="300" w:line="390" w:lineRule="exact"/>
        <w:ind w:left="0" w:right="0" w:firstLine="440"/>
        <w:jc w:val="both"/>
      </w:pPr>
      <w:bookmarkStart w:id="771" w:name="bookmark771"/>
      <w:bookmarkStart w:id="772" w:name="bookmark772"/>
      <w:bookmarkStart w:id="773" w:name="bookmark773"/>
      <w:bookmarkStart w:id="774" w:name="bookmark774"/>
      <w:bookmarkEnd w:id="773"/>
      <w:r>
        <w:rPr>
          <w:color w:val="000000"/>
          <w:spacing w:val="0"/>
          <w:w w:val="100"/>
          <w:position w:val="0"/>
        </w:rPr>
        <w:t>减值测试方法及减值准备计提方法</w:t>
      </w:r>
      <w:bookmarkEnd w:id="771"/>
      <w:bookmarkEnd w:id="772"/>
      <w:bookmarkEnd w:id="774"/>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 xml:space="preserve">重大影响以下的、在活跃市场中没有报价、公允价值不能可靠计量的长期股权投资，其减值损失是根 </w:t>
      </w:r>
      <w:r>
        <w:rPr>
          <w:b w:val="0"/>
          <w:bCs w:val="0"/>
          <w:color w:val="000000"/>
          <w:spacing w:val="0"/>
          <w:w w:val="100"/>
          <w:position w:val="0"/>
        </w:rPr>
        <w:t>据其账面价值与按类似金融资产当时市场收益率对未来现金流量折现确定的现值之间的差额进行确定。</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除因企业合并形成的商誉以外的存在减值迹象的其他长期股权投资，如果可收回金额的计量结果表 明，该长期股权投资的可收回金额低于其账面价值的，将差额确认为减值损失。</w:t>
      </w:r>
    </w:p>
    <w:p>
      <w:pPr>
        <w:pStyle w:val="Style54"/>
        <w:keepNext w:val="0"/>
        <w:keepLines w:val="0"/>
        <w:widowControl w:val="0"/>
        <w:shd w:val="clear" w:color="auto" w:fill="auto"/>
        <w:bidi w:val="0"/>
        <w:spacing w:before="0" w:after="280" w:line="394" w:lineRule="exact"/>
        <w:ind w:left="0" w:right="0" w:firstLine="440"/>
        <w:jc w:val="both"/>
      </w:pPr>
      <w:r>
        <w:rPr>
          <w:b w:val="0"/>
          <w:bCs w:val="0"/>
          <w:color w:val="000000"/>
          <w:spacing w:val="0"/>
          <w:w w:val="100"/>
          <w:position w:val="0"/>
        </w:rPr>
        <w:t>长期股权投资减值损失一经确认，不再转回。</w:t>
      </w:r>
    </w:p>
    <w:p>
      <w:pPr>
        <w:pStyle w:val="Style44"/>
        <w:keepNext/>
        <w:keepLines/>
        <w:widowControl w:val="0"/>
        <w:shd w:val="clear" w:color="auto" w:fill="auto"/>
        <w:tabs>
          <w:tab w:pos="909" w:val="left"/>
        </w:tabs>
        <w:bidi w:val="0"/>
        <w:spacing w:before="0" w:after="280" w:line="394" w:lineRule="exact"/>
        <w:ind w:left="0" w:right="0" w:firstLine="440"/>
        <w:jc w:val="both"/>
      </w:pPr>
      <w:bookmarkStart w:id="775" w:name="bookmark775"/>
      <w:bookmarkStart w:id="776" w:name="bookmark776"/>
      <w:bookmarkStart w:id="777" w:name="bookmark777"/>
      <w:bookmarkStart w:id="778" w:name="bookmark778"/>
      <w:r>
        <w:rPr>
          <w:color w:val="000000"/>
          <w:spacing w:val="0"/>
          <w:w w:val="100"/>
          <w:position w:val="0"/>
        </w:rPr>
        <w:t>1</w:t>
      </w:r>
      <w:bookmarkEnd w:id="777"/>
      <w:r>
        <w:rPr>
          <w:color w:val="000000"/>
          <w:spacing w:val="0"/>
          <w:w w:val="100"/>
          <w:position w:val="0"/>
        </w:rPr>
        <w:t>3、</w:t>
        <w:tab/>
        <w:t>投资性房地产</w:t>
      </w:r>
      <w:bookmarkEnd w:id="775"/>
      <w:bookmarkEnd w:id="776"/>
      <w:bookmarkEnd w:id="778"/>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54"/>
        <w:keepNext w:val="0"/>
        <w:keepLines w:val="0"/>
        <w:widowControl w:val="0"/>
        <w:shd w:val="clear" w:color="auto" w:fill="auto"/>
        <w:bidi w:val="0"/>
        <w:spacing w:before="0" w:after="0" w:line="346" w:lineRule="exact"/>
        <w:ind w:left="0" w:right="0" w:firstLine="440"/>
        <w:jc w:val="both"/>
      </w:pPr>
      <w:r>
        <w:rPr>
          <w:b w:val="0"/>
          <w:bCs w:val="0"/>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54"/>
        <w:keepNext w:val="0"/>
        <w:keepLines w:val="0"/>
        <w:widowControl w:val="0"/>
        <w:shd w:val="clear" w:color="auto" w:fill="auto"/>
        <w:bidi w:val="0"/>
        <w:spacing w:before="0" w:after="280" w:line="394" w:lineRule="exact"/>
        <w:ind w:left="440" w:right="0" w:firstLine="0"/>
        <w:jc w:val="both"/>
      </w:pPr>
      <w:r>
        <w:rPr>
          <w:b w:val="0"/>
          <w:bCs w:val="0"/>
          <w:color w:val="000000"/>
          <w:spacing w:val="0"/>
          <w:w w:val="100"/>
          <w:position w:val="0"/>
        </w:rPr>
        <w:t>公司对存在减值迹象的，估计其可收回金额，可收回金额低于其账面价值的，确认相应的减值损失。 投资性房地产减值损失一经确认，不再转回。</w:t>
      </w:r>
    </w:p>
    <w:p>
      <w:pPr>
        <w:pStyle w:val="Style44"/>
        <w:keepNext/>
        <w:keepLines/>
        <w:widowControl w:val="0"/>
        <w:shd w:val="clear" w:color="auto" w:fill="auto"/>
        <w:tabs>
          <w:tab w:pos="909" w:val="left"/>
        </w:tabs>
        <w:bidi w:val="0"/>
        <w:spacing w:before="0" w:after="280" w:line="394" w:lineRule="exact"/>
        <w:ind w:left="0" w:right="0" w:firstLine="440"/>
        <w:jc w:val="both"/>
      </w:pPr>
      <w:bookmarkStart w:id="779" w:name="bookmark779"/>
      <w:bookmarkStart w:id="780" w:name="bookmark780"/>
      <w:bookmarkStart w:id="781" w:name="bookmark781"/>
      <w:bookmarkStart w:id="782" w:name="bookmark782"/>
      <w:r>
        <w:rPr>
          <w:color w:val="000000"/>
          <w:spacing w:val="0"/>
          <w:w w:val="100"/>
          <w:position w:val="0"/>
        </w:rPr>
        <w:t>1</w:t>
      </w:r>
      <w:bookmarkEnd w:id="781"/>
      <w:r>
        <w:rPr>
          <w:color w:val="000000"/>
          <w:spacing w:val="0"/>
          <w:w w:val="100"/>
          <w:position w:val="0"/>
        </w:rPr>
        <w:t>4、</w:t>
        <w:tab/>
        <w:t>固定资产</w:t>
      </w:r>
      <w:bookmarkEnd w:id="779"/>
      <w:bookmarkEnd w:id="780"/>
      <w:bookmarkEnd w:id="782"/>
    </w:p>
    <w:p>
      <w:pPr>
        <w:pStyle w:val="Style44"/>
        <w:keepNext/>
        <w:keepLines/>
        <w:widowControl w:val="0"/>
        <w:numPr>
          <w:ilvl w:val="0"/>
          <w:numId w:val="35"/>
        </w:numPr>
        <w:shd w:val="clear" w:color="auto" w:fill="auto"/>
        <w:tabs>
          <w:tab w:pos="880" w:val="left"/>
        </w:tabs>
        <w:bidi w:val="0"/>
        <w:spacing w:before="0" w:after="280" w:line="394" w:lineRule="exact"/>
        <w:ind w:left="0" w:right="0" w:firstLine="440"/>
        <w:jc w:val="both"/>
      </w:pPr>
      <w:bookmarkStart w:id="779" w:name="bookmark779"/>
      <w:bookmarkStart w:id="780" w:name="bookmark780"/>
      <w:bookmarkStart w:id="783" w:name="bookmark783"/>
      <w:bookmarkStart w:id="784" w:name="bookmark784"/>
      <w:bookmarkEnd w:id="783"/>
      <w:r>
        <w:rPr>
          <w:color w:val="000000"/>
          <w:spacing w:val="0"/>
          <w:w w:val="100"/>
          <w:position w:val="0"/>
        </w:rPr>
        <w:t>固定资产确认条件</w:t>
      </w:r>
      <w:bookmarkEnd w:id="779"/>
      <w:bookmarkEnd w:id="780"/>
      <w:bookmarkEnd w:id="784"/>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54"/>
        <w:keepNext w:val="0"/>
        <w:keepLines w:val="0"/>
        <w:widowControl w:val="0"/>
        <w:numPr>
          <w:ilvl w:val="0"/>
          <w:numId w:val="37"/>
        </w:numPr>
        <w:shd w:val="clear" w:color="auto" w:fill="auto"/>
        <w:tabs>
          <w:tab w:pos="832" w:val="left"/>
        </w:tabs>
        <w:bidi w:val="0"/>
        <w:spacing w:before="0" w:after="0" w:line="394" w:lineRule="exact"/>
        <w:ind w:left="0" w:right="0" w:firstLine="440"/>
        <w:jc w:val="both"/>
      </w:pPr>
      <w:bookmarkStart w:id="785" w:name="bookmark785"/>
      <w:bookmarkEnd w:id="785"/>
      <w:r>
        <w:rPr>
          <w:b w:val="0"/>
          <w:bCs w:val="0"/>
          <w:color w:val="000000"/>
          <w:spacing w:val="0"/>
          <w:w w:val="100"/>
          <w:position w:val="0"/>
        </w:rPr>
        <w:t>与该固定资产有关的经济利益很可能流入企业；</w:t>
      </w:r>
    </w:p>
    <w:p>
      <w:pPr>
        <w:pStyle w:val="Style54"/>
        <w:keepNext w:val="0"/>
        <w:keepLines w:val="0"/>
        <w:widowControl w:val="0"/>
        <w:numPr>
          <w:ilvl w:val="0"/>
          <w:numId w:val="37"/>
        </w:numPr>
        <w:shd w:val="clear" w:color="auto" w:fill="auto"/>
        <w:tabs>
          <w:tab w:pos="837" w:val="left"/>
        </w:tabs>
        <w:bidi w:val="0"/>
        <w:spacing w:before="0" w:after="280" w:line="394" w:lineRule="exact"/>
        <w:ind w:left="0" w:right="0" w:firstLine="440"/>
        <w:jc w:val="both"/>
      </w:pPr>
      <w:bookmarkStart w:id="786" w:name="bookmark786"/>
      <w:bookmarkEnd w:id="786"/>
      <w:r>
        <w:rPr>
          <w:b w:val="0"/>
          <w:bCs w:val="0"/>
          <w:color w:val="000000"/>
          <w:spacing w:val="0"/>
          <w:w w:val="100"/>
          <w:position w:val="0"/>
        </w:rPr>
        <w:t>该固定资产的成本能够可靠地计量。</w:t>
      </w:r>
    </w:p>
    <w:p>
      <w:pPr>
        <w:pStyle w:val="Style44"/>
        <w:keepNext/>
        <w:keepLines/>
        <w:widowControl w:val="0"/>
        <w:numPr>
          <w:ilvl w:val="0"/>
          <w:numId w:val="35"/>
        </w:numPr>
        <w:shd w:val="clear" w:color="auto" w:fill="auto"/>
        <w:tabs>
          <w:tab w:pos="880" w:val="left"/>
        </w:tabs>
        <w:bidi w:val="0"/>
        <w:spacing w:before="0" w:after="280" w:line="394" w:lineRule="exact"/>
        <w:ind w:left="0" w:right="0" w:firstLine="440"/>
        <w:jc w:val="both"/>
      </w:pPr>
      <w:bookmarkStart w:id="787" w:name="bookmark787"/>
      <w:bookmarkStart w:id="788" w:name="bookmark788"/>
      <w:bookmarkStart w:id="789" w:name="bookmark789"/>
      <w:bookmarkStart w:id="790" w:name="bookmark790"/>
      <w:bookmarkEnd w:id="789"/>
      <w:r>
        <w:rPr>
          <w:color w:val="000000"/>
          <w:spacing w:val="0"/>
          <w:w w:val="100"/>
          <w:position w:val="0"/>
        </w:rPr>
        <w:t>融资租入固定资产的认定依据、计价方法</w:t>
      </w:r>
      <w:bookmarkEnd w:id="787"/>
      <w:bookmarkEnd w:id="788"/>
      <w:bookmarkEnd w:id="790"/>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公司与租赁方所签订的租赁协议条款中规定了下列条件之一的，确认为融资租入资产：</w:t>
      </w:r>
    </w:p>
    <w:p>
      <w:pPr>
        <w:pStyle w:val="Style54"/>
        <w:keepNext w:val="0"/>
        <w:keepLines w:val="0"/>
        <w:widowControl w:val="0"/>
        <w:numPr>
          <w:ilvl w:val="0"/>
          <w:numId w:val="39"/>
        </w:numPr>
        <w:shd w:val="clear" w:color="auto" w:fill="auto"/>
        <w:tabs>
          <w:tab w:pos="832" w:val="left"/>
        </w:tabs>
        <w:bidi w:val="0"/>
        <w:spacing w:before="0" w:after="0" w:line="394" w:lineRule="exact"/>
        <w:ind w:left="0" w:right="0" w:firstLine="440"/>
        <w:jc w:val="both"/>
      </w:pPr>
      <w:bookmarkStart w:id="791" w:name="bookmark791"/>
      <w:bookmarkEnd w:id="791"/>
      <w:r>
        <w:rPr>
          <w:b w:val="0"/>
          <w:bCs w:val="0"/>
          <w:color w:val="000000"/>
          <w:spacing w:val="0"/>
          <w:w w:val="100"/>
          <w:position w:val="0"/>
        </w:rPr>
        <w:t>租赁期满后租赁资产的所有权归属于本公司；</w:t>
      </w:r>
    </w:p>
    <w:p>
      <w:pPr>
        <w:pStyle w:val="Style54"/>
        <w:keepNext w:val="0"/>
        <w:keepLines w:val="0"/>
        <w:widowControl w:val="0"/>
        <w:numPr>
          <w:ilvl w:val="0"/>
          <w:numId w:val="39"/>
        </w:numPr>
        <w:shd w:val="clear" w:color="auto" w:fill="auto"/>
        <w:tabs>
          <w:tab w:pos="837" w:val="left"/>
        </w:tabs>
        <w:bidi w:val="0"/>
        <w:spacing w:before="0" w:after="0" w:line="394" w:lineRule="exact"/>
        <w:ind w:left="0" w:right="0" w:firstLine="440"/>
        <w:jc w:val="both"/>
      </w:pPr>
      <w:bookmarkStart w:id="792" w:name="bookmark792"/>
      <w:bookmarkEnd w:id="792"/>
      <w:r>
        <w:rPr>
          <w:b w:val="0"/>
          <w:bCs w:val="0"/>
          <w:color w:val="000000"/>
          <w:spacing w:val="0"/>
          <w:w w:val="100"/>
          <w:position w:val="0"/>
        </w:rPr>
        <w:t>公司具有购买资产的选择权，购买价款远低于行使选择权时该资产的公允价值；</w:t>
      </w:r>
    </w:p>
    <w:p>
      <w:pPr>
        <w:pStyle w:val="Style54"/>
        <w:keepNext w:val="0"/>
        <w:keepLines w:val="0"/>
        <w:widowControl w:val="0"/>
        <w:numPr>
          <w:ilvl w:val="0"/>
          <w:numId w:val="39"/>
        </w:numPr>
        <w:shd w:val="clear" w:color="auto" w:fill="auto"/>
        <w:tabs>
          <w:tab w:pos="837" w:val="left"/>
        </w:tabs>
        <w:bidi w:val="0"/>
        <w:spacing w:before="0" w:after="0" w:line="394" w:lineRule="exact"/>
        <w:ind w:left="0" w:right="0" w:firstLine="440"/>
        <w:jc w:val="both"/>
      </w:pPr>
      <w:bookmarkStart w:id="793" w:name="bookmark793"/>
      <w:bookmarkEnd w:id="793"/>
      <w:r>
        <w:rPr>
          <w:b w:val="0"/>
          <w:bCs w:val="0"/>
          <w:color w:val="000000"/>
          <w:spacing w:val="0"/>
          <w:w w:val="100"/>
          <w:position w:val="0"/>
        </w:rPr>
        <w:t>租赁期占所租赁资产使用寿命的大部分；</w:t>
      </w:r>
    </w:p>
    <w:p>
      <w:pPr>
        <w:pStyle w:val="Style54"/>
        <w:keepNext w:val="0"/>
        <w:keepLines w:val="0"/>
        <w:widowControl w:val="0"/>
        <w:numPr>
          <w:ilvl w:val="0"/>
          <w:numId w:val="39"/>
        </w:numPr>
        <w:shd w:val="clear" w:color="auto" w:fill="auto"/>
        <w:tabs>
          <w:tab w:pos="837" w:val="left"/>
        </w:tabs>
        <w:bidi w:val="0"/>
        <w:spacing w:before="0" w:after="0" w:line="398" w:lineRule="exact"/>
        <w:ind w:left="0" w:right="0" w:firstLine="440"/>
        <w:jc w:val="both"/>
      </w:pPr>
      <w:bookmarkStart w:id="794" w:name="bookmark794"/>
      <w:bookmarkEnd w:id="794"/>
      <w:r>
        <w:rPr>
          <w:b w:val="0"/>
          <w:bCs w:val="0"/>
          <w:color w:val="000000"/>
          <w:spacing w:val="0"/>
          <w:w w:val="100"/>
          <w:position w:val="0"/>
        </w:rPr>
        <w:t>租赁开始日的最低租赁付款额现值，与该资产的公允价值不存在较大的差异。</w:t>
      </w:r>
    </w:p>
    <w:p>
      <w:pPr>
        <w:pStyle w:val="Style54"/>
        <w:keepNext w:val="0"/>
        <w:keepLines w:val="0"/>
        <w:widowControl w:val="0"/>
        <w:shd w:val="clear" w:color="auto" w:fill="auto"/>
        <w:bidi w:val="0"/>
        <w:spacing w:before="0" w:after="280" w:line="398" w:lineRule="exact"/>
        <w:ind w:left="0" w:right="0" w:firstLine="440"/>
        <w:jc w:val="both"/>
      </w:pPr>
      <w:r>
        <w:rPr>
          <w:b w:val="0"/>
          <w:bCs w:val="0"/>
          <w:color w:val="000000"/>
          <w:spacing w:val="0"/>
          <w:w w:val="100"/>
          <w:position w:val="0"/>
        </w:rPr>
        <w:t>公司在承租开始日，将租赁资产公允价值与最低租赁付款额现值两者中较低者作为租入资产的入账价 值，将最低租赁付款额作为长期应付款的入账价值，其差额作为未确认的融资费。</w:t>
      </w:r>
    </w:p>
    <w:p>
      <w:pPr>
        <w:pStyle w:val="Style44"/>
        <w:keepNext/>
        <w:keepLines/>
        <w:widowControl w:val="0"/>
        <w:numPr>
          <w:ilvl w:val="0"/>
          <w:numId w:val="35"/>
        </w:numPr>
        <w:shd w:val="clear" w:color="auto" w:fill="auto"/>
        <w:tabs>
          <w:tab w:pos="880" w:val="left"/>
        </w:tabs>
        <w:bidi w:val="0"/>
        <w:spacing w:before="0" w:after="280" w:line="394" w:lineRule="exact"/>
        <w:ind w:left="0" w:right="0" w:firstLine="440"/>
        <w:jc w:val="both"/>
      </w:pPr>
      <w:bookmarkStart w:id="795" w:name="bookmark795"/>
      <w:bookmarkStart w:id="796" w:name="bookmark796"/>
      <w:bookmarkStart w:id="797" w:name="bookmark797"/>
      <w:bookmarkStart w:id="798" w:name="bookmark798"/>
      <w:bookmarkEnd w:id="797"/>
      <w:r>
        <w:rPr>
          <w:color w:val="000000"/>
          <w:spacing w:val="0"/>
          <w:w w:val="100"/>
          <w:position w:val="0"/>
        </w:rPr>
        <w:t>各类固定资产的折旧方法</w:t>
      </w:r>
      <w:bookmarkEnd w:id="795"/>
      <w:bookmarkEnd w:id="796"/>
      <w:bookmarkEnd w:id="798"/>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 xml:space="preserve">固定资产折旧采用年限平均法分类计提，根据固定资产类别、预计使用寿命和预计净残值率确定折旧 </w:t>
      </w:r>
      <w:r>
        <w:rPr>
          <w:b w:val="0"/>
          <w:bCs w:val="0"/>
          <w:color w:val="000000"/>
          <w:spacing w:val="0"/>
          <w:w w:val="100"/>
          <w:position w:val="0"/>
        </w:rPr>
        <w:t>率。如固定资产各组成部分的使用寿命不同或者以不同方式为企业提供经济利益，则选择不同折旧率或折 旧方法，分别计提折旧。</w:t>
      </w:r>
    </w:p>
    <w:p>
      <w:pPr>
        <w:pStyle w:val="Style54"/>
        <w:keepNext w:val="0"/>
        <w:keepLines w:val="0"/>
        <w:widowControl w:val="0"/>
        <w:shd w:val="clear" w:color="auto" w:fill="auto"/>
        <w:bidi w:val="0"/>
        <w:spacing w:before="0" w:after="380" w:line="390" w:lineRule="exact"/>
        <w:ind w:left="0" w:right="0" w:firstLine="440"/>
        <w:jc w:val="both"/>
      </w:pPr>
      <w:r>
        <w:rPr>
          <w:b w:val="0"/>
          <w:bCs w:val="0"/>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7-10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13.57%-9.50%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19.00%-11.88%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19.00%-15.83%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19.00%-15.83%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19.00%-15.83%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r>
      <w:tr>
        <w:trPr>
          <w:trHeight w:val="40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 xml:space="preserve">5-10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1520" w:right="0" w:firstLine="0"/>
              <w:jc w:val="both"/>
            </w:pPr>
            <w:r>
              <w:rPr>
                <w:color w:val="000000"/>
                <w:spacing w:val="0"/>
                <w:w w:val="100"/>
                <w:position w:val="0"/>
              </w:rPr>
              <w:t>20.00%-10.00%</w:t>
            </w:r>
          </w:p>
        </w:tc>
      </w:tr>
    </w:tbl>
    <w:p>
      <w:pPr>
        <w:widowControl w:val="0"/>
        <w:spacing w:after="199" w:line="1" w:lineRule="exact"/>
      </w:pPr>
    </w:p>
    <w:p>
      <w:pPr>
        <w:pStyle w:val="Style44"/>
        <w:keepNext/>
        <w:keepLines/>
        <w:widowControl w:val="0"/>
        <w:shd w:val="clear" w:color="auto" w:fill="auto"/>
        <w:bidi w:val="0"/>
        <w:spacing w:before="0" w:after="280" w:line="396" w:lineRule="exact"/>
        <w:ind w:left="0" w:right="0" w:firstLine="440"/>
        <w:jc w:val="both"/>
      </w:pPr>
      <w:bookmarkStart w:id="799" w:name="bookmark799"/>
      <w:bookmarkStart w:id="800" w:name="bookmark800"/>
      <w:bookmarkStart w:id="801" w:name="bookmark801"/>
      <w:bookmarkStart w:id="802" w:name="bookmark802"/>
      <w:r>
        <w:rPr>
          <w:color w:val="000000"/>
          <w:spacing w:val="0"/>
          <w:w w:val="100"/>
          <w:position w:val="0"/>
        </w:rPr>
        <w:t>（</w:t>
      </w:r>
      <w:bookmarkEnd w:id="801"/>
      <w:r>
        <w:rPr>
          <w:color w:val="000000"/>
          <w:spacing w:val="0"/>
          <w:w w:val="100"/>
          <w:position w:val="0"/>
        </w:rPr>
        <w:t>4）固定资产的减值测试方法、减值准备计提方法</w:t>
      </w:r>
      <w:bookmarkEnd w:id="799"/>
      <w:bookmarkEnd w:id="800"/>
      <w:bookmarkEnd w:id="802"/>
    </w:p>
    <w:p>
      <w:pPr>
        <w:pStyle w:val="Style54"/>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公司在每期末判断固定资产是否存在可能发生减值的迹象。</w:t>
      </w:r>
    </w:p>
    <w:p>
      <w:pPr>
        <w:pStyle w:val="Style54"/>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54"/>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54"/>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54"/>
        <w:keepNext w:val="0"/>
        <w:keepLines w:val="0"/>
        <w:widowControl w:val="0"/>
        <w:shd w:val="clear" w:color="auto" w:fill="auto"/>
        <w:bidi w:val="0"/>
        <w:spacing w:before="0" w:after="0" w:line="396" w:lineRule="exact"/>
        <w:ind w:left="0" w:right="0" w:firstLine="440"/>
        <w:jc w:val="both"/>
      </w:pPr>
      <w:r>
        <w:rPr>
          <w:b w:val="0"/>
          <w:bCs w:val="0"/>
          <w:color w:val="000000"/>
          <w:spacing w:val="0"/>
          <w:w w:val="100"/>
          <w:position w:val="0"/>
        </w:rPr>
        <w:t>固定资产的减值损失一经确认，在以后会计期间不再转回。</w:t>
      </w:r>
    </w:p>
    <w:p>
      <w:pPr>
        <w:pStyle w:val="Style54"/>
        <w:keepNext w:val="0"/>
        <w:keepLines w:val="0"/>
        <w:widowControl w:val="0"/>
        <w:shd w:val="clear" w:color="auto" w:fill="auto"/>
        <w:bidi w:val="0"/>
        <w:spacing w:before="0" w:after="280" w:line="396" w:lineRule="exact"/>
        <w:ind w:left="0" w:right="0" w:firstLine="440"/>
        <w:jc w:val="both"/>
      </w:pPr>
      <w:r>
        <w:rPr>
          <w:b w:val="0"/>
          <w:bCs w:val="0"/>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44"/>
        <w:keepNext/>
        <w:keepLines/>
        <w:widowControl w:val="0"/>
        <w:shd w:val="clear" w:color="auto" w:fill="auto"/>
        <w:bidi w:val="0"/>
        <w:spacing w:before="0" w:after="280" w:line="396" w:lineRule="exact"/>
        <w:ind w:left="0" w:right="0" w:firstLine="440"/>
        <w:jc w:val="both"/>
      </w:pPr>
      <w:bookmarkStart w:id="803" w:name="bookmark803"/>
      <w:bookmarkStart w:id="804" w:name="bookmark804"/>
      <w:bookmarkStart w:id="805" w:name="bookmark805"/>
      <w:bookmarkStart w:id="806" w:name="bookmark806"/>
      <w:r>
        <w:rPr>
          <w:color w:val="000000"/>
          <w:spacing w:val="0"/>
          <w:w w:val="100"/>
          <w:position w:val="0"/>
        </w:rPr>
        <w:t>1</w:t>
      </w:r>
      <w:bookmarkEnd w:id="805"/>
      <w:r>
        <w:rPr>
          <w:color w:val="000000"/>
          <w:spacing w:val="0"/>
          <w:w w:val="100"/>
          <w:position w:val="0"/>
        </w:rPr>
        <w:t>5、在建工程</w:t>
      </w:r>
      <w:bookmarkEnd w:id="803"/>
      <w:bookmarkEnd w:id="804"/>
      <w:bookmarkEnd w:id="806"/>
    </w:p>
    <w:p>
      <w:pPr>
        <w:pStyle w:val="Style44"/>
        <w:keepNext/>
        <w:keepLines/>
        <w:widowControl w:val="0"/>
        <w:shd w:val="clear" w:color="auto" w:fill="auto"/>
        <w:bidi w:val="0"/>
        <w:spacing w:before="0" w:after="280" w:line="396" w:lineRule="exact"/>
        <w:ind w:left="0" w:right="0" w:firstLine="440"/>
        <w:jc w:val="both"/>
      </w:pPr>
      <w:bookmarkStart w:id="803" w:name="bookmark803"/>
      <w:bookmarkStart w:id="804" w:name="bookmark804"/>
      <w:bookmarkStart w:id="807" w:name="bookmark807"/>
      <w:bookmarkStart w:id="808" w:name="bookmark808"/>
      <w:r>
        <w:rPr>
          <w:color w:val="000000"/>
          <w:spacing w:val="0"/>
          <w:w w:val="100"/>
          <w:position w:val="0"/>
        </w:rPr>
        <w:t>（</w:t>
      </w:r>
      <w:bookmarkEnd w:id="807"/>
      <w:r>
        <w:rPr>
          <w:color w:val="000000"/>
          <w:spacing w:val="0"/>
          <w:w w:val="100"/>
          <w:position w:val="0"/>
        </w:rPr>
        <w:t>1）在建工程的类别</w:t>
      </w:r>
      <w:bookmarkEnd w:id="803"/>
      <w:bookmarkEnd w:id="804"/>
      <w:bookmarkEnd w:id="808"/>
    </w:p>
    <w:p>
      <w:pPr>
        <w:pStyle w:val="Style54"/>
        <w:keepNext w:val="0"/>
        <w:keepLines w:val="0"/>
        <w:widowControl w:val="0"/>
        <w:shd w:val="clear" w:color="auto" w:fill="auto"/>
        <w:bidi w:val="0"/>
        <w:spacing w:before="0" w:after="280" w:line="396" w:lineRule="exact"/>
        <w:ind w:left="0" w:right="0" w:firstLine="440"/>
        <w:jc w:val="both"/>
      </w:pPr>
      <w:r>
        <w:rPr>
          <w:b w:val="0"/>
          <w:bCs w:val="0"/>
          <w:color w:val="000000"/>
          <w:spacing w:val="0"/>
          <w:w w:val="100"/>
          <w:position w:val="0"/>
        </w:rPr>
        <w:t>在建工程以立项项目分类核算。</w:t>
      </w:r>
    </w:p>
    <w:p>
      <w:pPr>
        <w:pStyle w:val="Style44"/>
        <w:keepNext/>
        <w:keepLines/>
        <w:widowControl w:val="0"/>
        <w:shd w:val="clear" w:color="auto" w:fill="auto"/>
        <w:bidi w:val="0"/>
        <w:spacing w:before="0" w:after="300" w:line="389" w:lineRule="exact"/>
        <w:ind w:left="0" w:right="0" w:firstLine="440"/>
        <w:jc w:val="both"/>
      </w:pPr>
      <w:bookmarkStart w:id="809" w:name="bookmark809"/>
      <w:bookmarkStart w:id="810" w:name="bookmark810"/>
      <w:bookmarkStart w:id="811" w:name="bookmark811"/>
      <w:r>
        <w:rPr>
          <w:color w:val="000000"/>
          <w:spacing w:val="0"/>
          <w:w w:val="100"/>
          <w:position w:val="0"/>
        </w:rPr>
        <w:t>(2 )在建工程结转为固定资产的标准和时点</w:t>
      </w:r>
      <w:bookmarkEnd w:id="809"/>
      <w:bookmarkEnd w:id="810"/>
      <w:bookmarkEnd w:id="811"/>
    </w:p>
    <w:p>
      <w:pPr>
        <w:pStyle w:val="Style54"/>
        <w:keepNext w:val="0"/>
        <w:keepLines w:val="0"/>
        <w:widowControl w:val="0"/>
        <w:shd w:val="clear" w:color="auto" w:fill="auto"/>
        <w:bidi w:val="0"/>
        <w:spacing w:before="0" w:after="300" w:line="388" w:lineRule="exact"/>
        <w:ind w:left="0" w:right="0" w:firstLine="440"/>
        <w:jc w:val="both"/>
      </w:pPr>
      <w:r>
        <w:rPr>
          <w:b w:val="0"/>
          <w:bCs w:val="0"/>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策计提固定资产的折旧，待办理竣工决算后，再按实际成本调整原来的暂估价值，但不调整原已计提的折 旧额。</w:t>
      </w:r>
    </w:p>
    <w:p>
      <w:pPr>
        <w:pStyle w:val="Style44"/>
        <w:keepNext/>
        <w:keepLines/>
        <w:widowControl w:val="0"/>
        <w:shd w:val="clear" w:color="auto" w:fill="auto"/>
        <w:bidi w:val="0"/>
        <w:spacing w:before="0" w:after="300" w:line="389" w:lineRule="exact"/>
        <w:ind w:left="0" w:right="0" w:firstLine="440"/>
        <w:jc w:val="both"/>
      </w:pPr>
      <w:bookmarkStart w:id="812" w:name="bookmark812"/>
      <w:bookmarkStart w:id="813" w:name="bookmark813"/>
      <w:bookmarkStart w:id="814" w:name="bookmark814"/>
      <w:r>
        <w:rPr>
          <w:color w:val="000000"/>
          <w:spacing w:val="0"/>
          <w:w w:val="100"/>
          <w:position w:val="0"/>
        </w:rPr>
        <w:t>(3 )在建工程的减值测试方法、减值准备计提方法</w:t>
      </w:r>
      <w:bookmarkEnd w:id="812"/>
      <w:bookmarkEnd w:id="813"/>
      <w:bookmarkEnd w:id="814"/>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公司在每期末判断在建工程是否存在可能发生减值的迹象。</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在建工程存在减值迹象的，估计其可收回金额。有迹象表明一项在建工程可能发生减值的，企业以单 项在建工程为基础估计其可收回金额。企业难以对单项在建工程的可收回金额进行估计的，以该在建工程 所属的资产组为基础确定资产组的可收回金额。</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可收回金额根据在建工程的公允价值减去处置费用后的净额与在建工程预计未来现金流量的现值两 者之间较高者确定。</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54"/>
        <w:keepNext w:val="0"/>
        <w:keepLines w:val="0"/>
        <w:widowControl w:val="0"/>
        <w:shd w:val="clear" w:color="auto" w:fill="auto"/>
        <w:bidi w:val="0"/>
        <w:spacing w:before="0" w:after="300" w:line="394" w:lineRule="exact"/>
        <w:ind w:left="0" w:right="0" w:firstLine="440"/>
        <w:jc w:val="both"/>
      </w:pPr>
      <w:r>
        <w:rPr>
          <w:b w:val="0"/>
          <w:bCs w:val="0"/>
          <w:color w:val="000000"/>
          <w:spacing w:val="0"/>
          <w:w w:val="100"/>
          <w:position w:val="0"/>
        </w:rPr>
        <w:t>在建工程的减值损失一经确认，在以后会计期间不再转回。</w:t>
      </w:r>
    </w:p>
    <w:p>
      <w:pPr>
        <w:pStyle w:val="Style44"/>
        <w:keepNext/>
        <w:keepLines/>
        <w:widowControl w:val="0"/>
        <w:shd w:val="clear" w:color="auto" w:fill="auto"/>
        <w:bidi w:val="0"/>
        <w:spacing w:before="0" w:after="300" w:line="389" w:lineRule="exact"/>
        <w:ind w:left="0" w:right="0" w:firstLine="440"/>
        <w:jc w:val="both"/>
      </w:pPr>
      <w:bookmarkStart w:id="815" w:name="bookmark815"/>
      <w:bookmarkStart w:id="816" w:name="bookmark816"/>
      <w:bookmarkStart w:id="817" w:name="bookmark817"/>
      <w:bookmarkStart w:id="818" w:name="bookmark818"/>
      <w:r>
        <w:rPr>
          <w:color w:val="000000"/>
          <w:spacing w:val="0"/>
          <w:w w:val="100"/>
          <w:position w:val="0"/>
        </w:rPr>
        <w:t>1</w:t>
      </w:r>
      <w:bookmarkEnd w:id="817"/>
      <w:r>
        <w:rPr>
          <w:color w:val="000000"/>
          <w:spacing w:val="0"/>
          <w:w w:val="100"/>
          <w:position w:val="0"/>
        </w:rPr>
        <w:t>6、无形资产</w:t>
      </w:r>
      <w:bookmarkEnd w:id="815"/>
      <w:bookmarkEnd w:id="816"/>
      <w:bookmarkEnd w:id="818"/>
    </w:p>
    <w:p>
      <w:pPr>
        <w:pStyle w:val="Style44"/>
        <w:keepNext/>
        <w:keepLines/>
        <w:widowControl w:val="0"/>
        <w:numPr>
          <w:ilvl w:val="0"/>
          <w:numId w:val="41"/>
        </w:numPr>
        <w:shd w:val="clear" w:color="auto" w:fill="auto"/>
        <w:bidi w:val="0"/>
        <w:spacing w:before="0" w:after="300" w:line="389" w:lineRule="exact"/>
        <w:ind w:left="0" w:right="0" w:firstLine="440"/>
        <w:jc w:val="both"/>
      </w:pPr>
      <w:bookmarkStart w:id="815" w:name="bookmark815"/>
      <w:bookmarkStart w:id="816" w:name="bookmark816"/>
      <w:bookmarkStart w:id="819" w:name="bookmark819"/>
      <w:bookmarkStart w:id="820" w:name="bookmark820"/>
      <w:bookmarkEnd w:id="819"/>
      <w:r>
        <w:rPr>
          <w:color w:val="000000"/>
          <w:spacing w:val="0"/>
          <w:w w:val="100"/>
          <w:position w:val="0"/>
        </w:rPr>
        <w:t>无形资产的计价方法</w:t>
      </w:r>
      <w:bookmarkEnd w:id="815"/>
      <w:bookmarkEnd w:id="816"/>
      <w:bookmarkEnd w:id="820"/>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①公司取得无形资产时按成本进行初始计量；</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54"/>
        <w:keepNext w:val="0"/>
        <w:keepLines w:val="0"/>
        <w:widowControl w:val="0"/>
        <w:shd w:val="clear" w:color="auto" w:fill="auto"/>
        <w:bidi w:val="0"/>
        <w:spacing w:before="0" w:after="0" w:line="389" w:lineRule="exact"/>
        <w:ind w:left="0" w:right="0" w:firstLine="440"/>
        <w:jc w:val="both"/>
      </w:pPr>
      <w:r>
        <w:rPr>
          <w:b w:val="0"/>
          <w:bCs w:val="0"/>
          <w:color w:val="000000"/>
          <w:spacing w:val="0"/>
          <w:w w:val="100"/>
          <w:position w:val="0"/>
        </w:rPr>
        <w:t xml:space="preserve">内部自行开发的无形资产，其成本包括：开发该无形资产时耗用的材料、劳务成本、注册费、在开发 </w:t>
      </w:r>
      <w:r>
        <w:rPr>
          <w:b w:val="0"/>
          <w:bCs w:val="0"/>
          <w:color w:val="000000"/>
          <w:spacing w:val="0"/>
          <w:w w:val="100"/>
          <w:position w:val="0"/>
        </w:rPr>
        <w:t>过程中使用的其他专利权和特许权的摊销以及满足资本化条件的利息费用，以及为使该无形资产达到预定 用途前所发生的其他直接费用。</w:t>
      </w:r>
    </w:p>
    <w:p>
      <w:pPr>
        <w:pStyle w:val="Style54"/>
        <w:keepNext w:val="0"/>
        <w:keepLines w:val="0"/>
        <w:widowControl w:val="0"/>
        <w:shd w:val="clear" w:color="auto" w:fill="auto"/>
        <w:bidi w:val="0"/>
        <w:spacing w:before="0" w:after="0" w:line="384" w:lineRule="exact"/>
        <w:ind w:left="0" w:right="0" w:firstLine="440"/>
        <w:jc w:val="left"/>
      </w:pPr>
      <w:r>
        <w:rPr>
          <w:b w:val="0"/>
          <w:bCs w:val="0"/>
          <w:color w:val="000000"/>
          <w:spacing w:val="0"/>
          <w:w w:val="100"/>
          <w:position w:val="0"/>
        </w:rPr>
        <w:t>②后续计量</w:t>
      </w:r>
    </w:p>
    <w:p>
      <w:pPr>
        <w:pStyle w:val="Style54"/>
        <w:keepNext w:val="0"/>
        <w:keepLines w:val="0"/>
        <w:widowControl w:val="0"/>
        <w:shd w:val="clear" w:color="auto" w:fill="auto"/>
        <w:bidi w:val="0"/>
        <w:spacing w:before="0" w:after="0" w:line="384" w:lineRule="exact"/>
        <w:ind w:left="0" w:right="0" w:firstLine="440"/>
        <w:jc w:val="left"/>
      </w:pPr>
      <w:r>
        <w:rPr>
          <w:b w:val="0"/>
          <w:bCs w:val="0"/>
          <w:color w:val="000000"/>
          <w:spacing w:val="0"/>
          <w:w w:val="100"/>
          <w:position w:val="0"/>
        </w:rPr>
        <w:t>在取得无形资产时分析判断其使用寿命。</w:t>
      </w:r>
    </w:p>
    <w:p>
      <w:pPr>
        <w:pStyle w:val="Style54"/>
        <w:keepNext w:val="0"/>
        <w:keepLines w:val="0"/>
        <w:widowControl w:val="0"/>
        <w:shd w:val="clear" w:color="auto" w:fill="auto"/>
        <w:bidi w:val="0"/>
        <w:spacing w:before="0" w:after="460" w:line="384" w:lineRule="exact"/>
        <w:ind w:left="0" w:right="0" w:firstLine="440"/>
        <w:jc w:val="both"/>
      </w:pPr>
      <w:r>
        <w:rPr>
          <w:b w:val="0"/>
          <w:bCs w:val="0"/>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44"/>
        <w:keepNext/>
        <w:keepLines/>
        <w:widowControl w:val="0"/>
        <w:numPr>
          <w:ilvl w:val="0"/>
          <w:numId w:val="41"/>
        </w:numPr>
        <w:shd w:val="clear" w:color="auto" w:fill="auto"/>
        <w:bidi w:val="0"/>
        <w:spacing w:before="0" w:after="360" w:line="240" w:lineRule="auto"/>
        <w:ind w:left="0" w:right="0" w:firstLine="440"/>
        <w:jc w:val="both"/>
      </w:pPr>
      <w:bookmarkStart w:id="821" w:name="bookmark821"/>
      <w:bookmarkStart w:id="822" w:name="bookmark822"/>
      <w:bookmarkStart w:id="823" w:name="bookmark823"/>
      <w:bookmarkStart w:id="824" w:name="bookmark824"/>
      <w:bookmarkEnd w:id="823"/>
      <w:r>
        <w:rPr>
          <w:color w:val="000000"/>
          <w:spacing w:val="0"/>
          <w:w w:val="100"/>
          <w:position w:val="0"/>
        </w:rPr>
        <w:t>使用寿命有限的无形资产的使用寿命估计情况</w:t>
      </w:r>
      <w:bookmarkEnd w:id="821"/>
      <w:bookmarkEnd w:id="822"/>
      <w:bookmarkEnd w:id="824"/>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土地使用权证有效日期</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与该项无形资产有关的经济利益的预期实现方式</w:t>
            </w:r>
          </w:p>
        </w:tc>
      </w:tr>
    </w:tbl>
    <w:p>
      <w:pPr>
        <w:pStyle w:val="Style54"/>
        <w:keepNext w:val="0"/>
        <w:keepLines w:val="0"/>
        <w:widowControl w:val="0"/>
        <w:shd w:val="clear" w:color="auto" w:fill="auto"/>
        <w:bidi w:val="0"/>
        <w:spacing w:before="0" w:after="280" w:line="389" w:lineRule="exact"/>
        <w:ind w:left="440" w:right="0" w:firstLine="0"/>
        <w:jc w:val="left"/>
      </w:pPr>
      <w:r>
        <w:rPr>
          <w:b w:val="0"/>
          <w:bCs w:val="0"/>
          <w:color w:val="000000"/>
          <w:spacing w:val="0"/>
          <w:w w:val="100"/>
          <w:position w:val="0"/>
        </w:rPr>
        <w:t>每期末，对使用寿命有限的无形资产的使用寿命及摊销方法进行复核。 经复核，本年期末无形资产的使用寿命及摊销方法与以前估计未有不同。</w:t>
      </w:r>
    </w:p>
    <w:p>
      <w:pPr>
        <w:pStyle w:val="Style44"/>
        <w:keepNext/>
        <w:keepLines/>
        <w:widowControl w:val="0"/>
        <w:numPr>
          <w:ilvl w:val="0"/>
          <w:numId w:val="41"/>
        </w:numPr>
        <w:shd w:val="clear" w:color="auto" w:fill="auto"/>
        <w:tabs>
          <w:tab w:pos="880" w:val="left"/>
        </w:tabs>
        <w:bidi w:val="0"/>
        <w:spacing w:before="0" w:after="280" w:line="390" w:lineRule="exact"/>
        <w:ind w:left="0" w:right="0" w:firstLine="440"/>
        <w:jc w:val="left"/>
      </w:pPr>
      <w:bookmarkStart w:id="825" w:name="bookmark825"/>
      <w:bookmarkStart w:id="826" w:name="bookmark826"/>
      <w:bookmarkStart w:id="827" w:name="bookmark827"/>
      <w:bookmarkStart w:id="828" w:name="bookmark828"/>
      <w:bookmarkEnd w:id="827"/>
      <w:r>
        <w:rPr>
          <w:color w:val="000000"/>
          <w:spacing w:val="0"/>
          <w:w w:val="100"/>
          <w:position w:val="0"/>
        </w:rPr>
        <w:t>使用寿命不确定的无形资产的判断依据</w:t>
      </w:r>
      <w:bookmarkEnd w:id="825"/>
      <w:bookmarkEnd w:id="826"/>
      <w:bookmarkEnd w:id="828"/>
    </w:p>
    <w:p>
      <w:pPr>
        <w:pStyle w:val="Style54"/>
        <w:keepNext w:val="0"/>
        <w:keepLines w:val="0"/>
        <w:widowControl w:val="0"/>
        <w:shd w:val="clear" w:color="auto" w:fill="auto"/>
        <w:bidi w:val="0"/>
        <w:spacing w:before="0" w:after="280" w:line="390" w:lineRule="exact"/>
        <w:ind w:left="0" w:right="0" w:firstLine="440"/>
        <w:jc w:val="left"/>
      </w:pPr>
      <w:r>
        <w:rPr>
          <w:b w:val="0"/>
          <w:bCs w:val="0"/>
          <w:color w:val="000000"/>
          <w:spacing w:val="0"/>
          <w:w w:val="100"/>
          <w:position w:val="0"/>
        </w:rPr>
        <w:t>截至资产负债表日，本公司没有使用寿命不确定的无形资产。</w:t>
      </w:r>
    </w:p>
    <w:p>
      <w:pPr>
        <w:pStyle w:val="Style44"/>
        <w:keepNext/>
        <w:keepLines/>
        <w:widowControl w:val="0"/>
        <w:numPr>
          <w:ilvl w:val="0"/>
          <w:numId w:val="41"/>
        </w:numPr>
        <w:shd w:val="clear" w:color="auto" w:fill="auto"/>
        <w:tabs>
          <w:tab w:pos="880" w:val="left"/>
        </w:tabs>
        <w:bidi w:val="0"/>
        <w:spacing w:before="0" w:after="280" w:line="390" w:lineRule="exact"/>
        <w:ind w:left="0" w:right="0" w:firstLine="440"/>
        <w:jc w:val="both"/>
      </w:pPr>
      <w:bookmarkStart w:id="829" w:name="bookmark829"/>
      <w:bookmarkStart w:id="830" w:name="bookmark830"/>
      <w:bookmarkStart w:id="831" w:name="bookmark831"/>
      <w:bookmarkStart w:id="832" w:name="bookmark832"/>
      <w:bookmarkEnd w:id="831"/>
      <w:r>
        <w:rPr>
          <w:color w:val="000000"/>
          <w:spacing w:val="0"/>
          <w:w w:val="100"/>
          <w:position w:val="0"/>
        </w:rPr>
        <w:t>无形资产减值准备的计提</w:t>
      </w:r>
      <w:bookmarkEnd w:id="829"/>
      <w:bookmarkEnd w:id="830"/>
      <w:bookmarkEnd w:id="832"/>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对于使用寿命确定的无形资产，如有明显减值迹象的，期末进行减值测试。</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对于使用寿命不确定的无形资产，每期末进行减值测试。</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对无形资产进行减值测试，估计其可收回金额。有迹象表明一项无形资产可能发生减值的，公司以单 项无形资产为基础估计其可收回金额。公司难以对单项资产的可收回金额进行估计的，以该无形资产所属 的资产组为基础确定无形资产组的可收回金额。</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可收回金额根据无形资产的公允价值减去处置费用后的净额与无形资产预计未来现金流量的现值两 者之间较高者确定。</w:t>
      </w:r>
    </w:p>
    <w:p>
      <w:pPr>
        <w:pStyle w:val="Style54"/>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54"/>
        <w:keepNext w:val="0"/>
        <w:keepLines w:val="0"/>
        <w:widowControl w:val="0"/>
        <w:shd w:val="clear" w:color="auto" w:fill="auto"/>
        <w:bidi w:val="0"/>
        <w:spacing w:before="0" w:after="0" w:line="314" w:lineRule="exact"/>
        <w:ind w:left="0" w:right="0" w:firstLine="440"/>
        <w:jc w:val="both"/>
      </w:pPr>
      <w:r>
        <w:rPr>
          <w:b w:val="0"/>
          <w:bCs w:val="0"/>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54"/>
        <w:keepNext w:val="0"/>
        <w:keepLines w:val="0"/>
        <w:widowControl w:val="0"/>
        <w:shd w:val="clear" w:color="auto" w:fill="auto"/>
        <w:bidi w:val="0"/>
        <w:spacing w:before="0" w:after="280" w:line="314" w:lineRule="exact"/>
        <w:ind w:left="0" w:right="0" w:firstLine="440"/>
        <w:jc w:val="left"/>
      </w:pPr>
      <w:r>
        <w:rPr>
          <w:b w:val="0"/>
          <w:bCs w:val="0"/>
          <w:color w:val="000000"/>
          <w:spacing w:val="0"/>
          <w:w w:val="100"/>
          <w:position w:val="0"/>
        </w:rPr>
        <w:t>无形资产的减值损失一经确认，在以后会计期间不再转回。</w:t>
      </w:r>
    </w:p>
    <w:p>
      <w:pPr>
        <w:pStyle w:val="Style44"/>
        <w:keepNext/>
        <w:keepLines/>
        <w:widowControl w:val="0"/>
        <w:numPr>
          <w:ilvl w:val="0"/>
          <w:numId w:val="41"/>
        </w:numPr>
        <w:shd w:val="clear" w:color="auto" w:fill="auto"/>
        <w:tabs>
          <w:tab w:pos="880" w:val="left"/>
        </w:tabs>
        <w:bidi w:val="0"/>
        <w:spacing w:before="0" w:after="280" w:line="390" w:lineRule="exact"/>
        <w:ind w:left="0" w:right="0" w:firstLine="440"/>
        <w:jc w:val="left"/>
      </w:pPr>
      <w:bookmarkStart w:id="833" w:name="bookmark833"/>
      <w:bookmarkStart w:id="834" w:name="bookmark834"/>
      <w:bookmarkStart w:id="835" w:name="bookmark835"/>
      <w:bookmarkStart w:id="836" w:name="bookmark836"/>
      <w:bookmarkEnd w:id="835"/>
      <w:r>
        <w:rPr>
          <w:color w:val="000000"/>
          <w:spacing w:val="0"/>
          <w:w w:val="100"/>
          <w:position w:val="0"/>
        </w:rPr>
        <w:t>划分公司内部研究开发项目的研究阶段和开发阶段具体标准</w:t>
      </w:r>
      <w:bookmarkEnd w:id="833"/>
      <w:bookmarkEnd w:id="834"/>
      <w:bookmarkEnd w:id="836"/>
    </w:p>
    <w:p>
      <w:pPr>
        <w:pStyle w:val="Style54"/>
        <w:keepNext w:val="0"/>
        <w:keepLines w:val="0"/>
        <w:widowControl w:val="0"/>
        <w:shd w:val="clear" w:color="auto" w:fill="auto"/>
        <w:bidi w:val="0"/>
        <w:spacing w:before="0" w:after="0" w:line="390" w:lineRule="exact"/>
        <w:ind w:left="0" w:right="0" w:firstLine="440"/>
        <w:jc w:val="left"/>
      </w:pPr>
      <w:r>
        <w:rPr>
          <w:b w:val="0"/>
          <w:bCs w:val="0"/>
          <w:color w:val="000000"/>
          <w:spacing w:val="0"/>
          <w:w w:val="100"/>
          <w:position w:val="0"/>
        </w:rPr>
        <w:t>公司内部研究开发项目的支出分为研究阶段支出和开发阶段支出。</w:t>
      </w:r>
    </w:p>
    <w:p>
      <w:pPr>
        <w:pStyle w:val="Style54"/>
        <w:keepNext w:val="0"/>
        <w:keepLines w:val="0"/>
        <w:widowControl w:val="0"/>
        <w:shd w:val="clear" w:color="auto" w:fill="auto"/>
        <w:bidi w:val="0"/>
        <w:spacing w:before="0" w:after="280" w:line="390" w:lineRule="exact"/>
        <w:ind w:left="0" w:right="0" w:firstLine="440"/>
        <w:jc w:val="left"/>
      </w:pPr>
      <w:r>
        <w:rPr>
          <w:b w:val="0"/>
          <w:bCs w:val="0"/>
          <w:color w:val="000000"/>
          <w:spacing w:val="0"/>
          <w:w w:val="100"/>
          <w:position w:val="0"/>
        </w:rPr>
        <w:t>研究阶段：为获取并理解新的科学或技术知识等而进行的独创性的有计划调查、研究活动的阶段。</w:t>
      </w:r>
    </w:p>
    <w:p>
      <w:pPr>
        <w:pStyle w:val="Style54"/>
        <w:keepNext w:val="0"/>
        <w:keepLines w:val="0"/>
        <w:widowControl w:val="0"/>
        <w:shd w:val="clear" w:color="auto" w:fill="auto"/>
        <w:bidi w:val="0"/>
        <w:spacing w:before="0" w:after="280" w:line="394" w:lineRule="exact"/>
        <w:ind w:left="0" w:right="0" w:firstLine="420"/>
        <w:jc w:val="both"/>
      </w:pPr>
      <w:r>
        <w:rPr>
          <w:b w:val="0"/>
          <w:bCs w:val="0"/>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4"/>
        <w:keepNext/>
        <w:keepLines/>
        <w:widowControl w:val="0"/>
        <w:shd w:val="clear" w:color="auto" w:fill="auto"/>
        <w:bidi w:val="0"/>
        <w:spacing w:before="0" w:after="280" w:line="390" w:lineRule="exact"/>
        <w:ind w:left="0" w:right="0" w:firstLine="420"/>
        <w:jc w:val="both"/>
      </w:pPr>
      <w:bookmarkStart w:id="837" w:name="bookmark837"/>
      <w:bookmarkStart w:id="838" w:name="bookmark838"/>
      <w:bookmarkStart w:id="839" w:name="bookmark839"/>
      <w:r>
        <w:rPr>
          <w:color w:val="000000"/>
          <w:spacing w:val="0"/>
          <w:w w:val="100"/>
          <w:position w:val="0"/>
        </w:rPr>
        <w:t>⑹内部研究开发项目支出的核算</w:t>
      </w:r>
      <w:bookmarkEnd w:id="837"/>
      <w:bookmarkEnd w:id="838"/>
      <w:bookmarkEnd w:id="839"/>
    </w:p>
    <w:p>
      <w:pPr>
        <w:pStyle w:val="Style54"/>
        <w:keepNext w:val="0"/>
        <w:keepLines w:val="0"/>
        <w:widowControl w:val="0"/>
        <w:shd w:val="clear" w:color="auto" w:fill="auto"/>
        <w:bidi w:val="0"/>
        <w:spacing w:before="0" w:after="0" w:line="382" w:lineRule="exact"/>
        <w:ind w:left="0" w:right="0" w:firstLine="420"/>
        <w:jc w:val="left"/>
      </w:pPr>
      <w:r>
        <w:rPr>
          <w:b w:val="0"/>
          <w:bCs w:val="0"/>
          <w:color w:val="000000"/>
          <w:spacing w:val="0"/>
          <w:w w:val="100"/>
          <w:position w:val="0"/>
        </w:rPr>
        <w:t>内部研究开发项目开发阶段的支出，同时满足下列条件时确认为无形资产：</w:t>
      </w:r>
    </w:p>
    <w:p>
      <w:pPr>
        <w:pStyle w:val="Style54"/>
        <w:keepNext w:val="0"/>
        <w:keepLines w:val="0"/>
        <w:widowControl w:val="0"/>
        <w:numPr>
          <w:ilvl w:val="0"/>
          <w:numId w:val="43"/>
        </w:numPr>
        <w:shd w:val="clear" w:color="auto" w:fill="auto"/>
        <w:tabs>
          <w:tab w:pos="812" w:val="left"/>
        </w:tabs>
        <w:bidi w:val="0"/>
        <w:spacing w:before="0" w:after="0" w:line="382" w:lineRule="exact"/>
        <w:ind w:left="0" w:right="0" w:firstLine="420"/>
        <w:jc w:val="left"/>
      </w:pPr>
      <w:bookmarkStart w:id="840" w:name="bookmark840"/>
      <w:bookmarkEnd w:id="840"/>
      <w:r>
        <w:rPr>
          <w:b w:val="0"/>
          <w:bCs w:val="0"/>
          <w:color w:val="000000"/>
          <w:spacing w:val="0"/>
          <w:w w:val="100"/>
          <w:position w:val="0"/>
        </w:rPr>
        <w:t>完成该无形资产以使其能够使用或出售在技术上具有可行性；</w:t>
      </w:r>
    </w:p>
    <w:p>
      <w:pPr>
        <w:pStyle w:val="Style54"/>
        <w:keepNext w:val="0"/>
        <w:keepLines w:val="0"/>
        <w:widowControl w:val="0"/>
        <w:numPr>
          <w:ilvl w:val="0"/>
          <w:numId w:val="43"/>
        </w:numPr>
        <w:shd w:val="clear" w:color="auto" w:fill="auto"/>
        <w:tabs>
          <w:tab w:pos="817" w:val="left"/>
        </w:tabs>
        <w:bidi w:val="0"/>
        <w:spacing w:before="0" w:after="0" w:line="382" w:lineRule="exact"/>
        <w:ind w:left="0" w:right="0" w:firstLine="420"/>
        <w:jc w:val="left"/>
      </w:pPr>
      <w:bookmarkStart w:id="841" w:name="bookmark841"/>
      <w:bookmarkEnd w:id="841"/>
      <w:r>
        <w:rPr>
          <w:b w:val="0"/>
          <w:bCs w:val="0"/>
          <w:color w:val="000000"/>
          <w:spacing w:val="0"/>
          <w:w w:val="100"/>
          <w:position w:val="0"/>
        </w:rPr>
        <w:t>具有完成该无形资产并使用或出售的意图；</w:t>
      </w:r>
    </w:p>
    <w:p>
      <w:pPr>
        <w:pStyle w:val="Style54"/>
        <w:keepNext w:val="0"/>
        <w:keepLines w:val="0"/>
        <w:widowControl w:val="0"/>
        <w:numPr>
          <w:ilvl w:val="0"/>
          <w:numId w:val="43"/>
        </w:numPr>
        <w:shd w:val="clear" w:color="auto" w:fill="auto"/>
        <w:tabs>
          <w:tab w:pos="814" w:val="left"/>
        </w:tabs>
        <w:bidi w:val="0"/>
        <w:spacing w:before="0" w:after="0" w:line="382" w:lineRule="exact"/>
        <w:ind w:left="0" w:right="0" w:firstLine="420"/>
        <w:jc w:val="both"/>
      </w:pPr>
      <w:bookmarkStart w:id="842" w:name="bookmark842"/>
      <w:bookmarkEnd w:id="842"/>
      <w:r>
        <w:rPr>
          <w:b w:val="0"/>
          <w:bCs w:val="0"/>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54"/>
        <w:keepNext w:val="0"/>
        <w:keepLines w:val="0"/>
        <w:widowControl w:val="0"/>
        <w:numPr>
          <w:ilvl w:val="0"/>
          <w:numId w:val="43"/>
        </w:numPr>
        <w:shd w:val="clear" w:color="auto" w:fill="auto"/>
        <w:tabs>
          <w:tab w:pos="810" w:val="left"/>
        </w:tabs>
        <w:bidi w:val="0"/>
        <w:spacing w:before="0" w:after="0" w:line="382" w:lineRule="exact"/>
        <w:ind w:left="0" w:right="0" w:firstLine="420"/>
        <w:jc w:val="both"/>
      </w:pPr>
      <w:bookmarkStart w:id="843" w:name="bookmark843"/>
      <w:bookmarkEnd w:id="843"/>
      <w:r>
        <w:rPr>
          <w:b w:val="0"/>
          <w:bCs w:val="0"/>
          <w:color w:val="000000"/>
          <w:spacing w:val="0"/>
          <w:w w:val="100"/>
          <w:position w:val="0"/>
        </w:rPr>
        <w:t>有足够的技术、财务资源和其他资源支持，以完成该无形资产的开发，并有能力使用或出售该无形 资产；</w:t>
      </w:r>
    </w:p>
    <w:p>
      <w:pPr>
        <w:pStyle w:val="Style54"/>
        <w:keepNext w:val="0"/>
        <w:keepLines w:val="0"/>
        <w:widowControl w:val="0"/>
        <w:numPr>
          <w:ilvl w:val="0"/>
          <w:numId w:val="43"/>
        </w:numPr>
        <w:shd w:val="clear" w:color="auto" w:fill="auto"/>
        <w:tabs>
          <w:tab w:pos="817" w:val="left"/>
        </w:tabs>
        <w:bidi w:val="0"/>
        <w:spacing w:before="0" w:after="0" w:line="389" w:lineRule="exact"/>
        <w:ind w:left="0" w:right="0" w:firstLine="420"/>
        <w:jc w:val="left"/>
      </w:pPr>
      <w:bookmarkStart w:id="844" w:name="bookmark844"/>
      <w:bookmarkEnd w:id="844"/>
      <w:r>
        <w:rPr>
          <w:b w:val="0"/>
          <w:bCs w:val="0"/>
          <w:color w:val="000000"/>
          <w:spacing w:val="0"/>
          <w:w w:val="100"/>
          <w:position w:val="0"/>
        </w:rPr>
        <w:t>归属于该无形资产开发阶段的支出能够可靠地计量。</w:t>
      </w:r>
    </w:p>
    <w:p>
      <w:pPr>
        <w:pStyle w:val="Style54"/>
        <w:keepNext w:val="0"/>
        <w:keepLines w:val="0"/>
        <w:widowControl w:val="0"/>
        <w:shd w:val="clear" w:color="auto" w:fill="auto"/>
        <w:bidi w:val="0"/>
        <w:spacing w:before="0" w:after="280" w:line="389" w:lineRule="exact"/>
        <w:ind w:left="0" w:right="0" w:firstLine="420"/>
        <w:jc w:val="both"/>
      </w:pPr>
      <w:r>
        <w:rPr>
          <w:b w:val="0"/>
          <w:bCs w:val="0"/>
          <w:color w:val="000000"/>
          <w:spacing w:val="0"/>
          <w:w w:val="100"/>
          <w:position w:val="0"/>
        </w:rPr>
        <w:t>开发阶段的支出，若不满足上列条件的，于发生时计入当期损益。研究阶段的支出，在发生时计入当 期损益。</w:t>
      </w:r>
    </w:p>
    <w:p>
      <w:pPr>
        <w:pStyle w:val="Style44"/>
        <w:keepNext/>
        <w:keepLines/>
        <w:widowControl w:val="0"/>
        <w:shd w:val="clear" w:color="auto" w:fill="auto"/>
        <w:tabs>
          <w:tab w:pos="889" w:val="left"/>
        </w:tabs>
        <w:bidi w:val="0"/>
        <w:spacing w:before="0" w:after="280" w:line="390" w:lineRule="exact"/>
        <w:ind w:left="0" w:right="0" w:firstLine="420"/>
        <w:jc w:val="both"/>
      </w:pPr>
      <w:bookmarkStart w:id="845" w:name="bookmark845"/>
      <w:bookmarkStart w:id="846" w:name="bookmark846"/>
      <w:bookmarkStart w:id="847" w:name="bookmark847"/>
      <w:bookmarkStart w:id="848" w:name="bookmark848"/>
      <w:r>
        <w:rPr>
          <w:color w:val="000000"/>
          <w:spacing w:val="0"/>
          <w:w w:val="100"/>
          <w:position w:val="0"/>
        </w:rPr>
        <w:t>1</w:t>
      </w:r>
      <w:bookmarkEnd w:id="847"/>
      <w:r>
        <w:rPr>
          <w:color w:val="000000"/>
          <w:spacing w:val="0"/>
          <w:w w:val="100"/>
          <w:position w:val="0"/>
        </w:rPr>
        <w:t>7、</w:t>
        <w:tab/>
        <w:t>长期待摊费用</w:t>
      </w:r>
      <w:bookmarkEnd w:id="845"/>
      <w:bookmarkEnd w:id="846"/>
      <w:bookmarkEnd w:id="848"/>
    </w:p>
    <w:p>
      <w:pPr>
        <w:pStyle w:val="Style54"/>
        <w:keepNext w:val="0"/>
        <w:keepLines w:val="0"/>
        <w:widowControl w:val="0"/>
        <w:shd w:val="clear" w:color="auto" w:fill="auto"/>
        <w:bidi w:val="0"/>
        <w:spacing w:before="0" w:after="0" w:line="390" w:lineRule="exact"/>
        <w:ind w:left="0" w:right="0" w:firstLine="420"/>
        <w:jc w:val="left"/>
      </w:pPr>
      <w:r>
        <w:rPr>
          <w:b w:val="0"/>
          <w:bCs w:val="0"/>
          <w:color w:val="000000"/>
          <w:spacing w:val="0"/>
          <w:w w:val="100"/>
          <w:position w:val="0"/>
        </w:rPr>
        <w:t>长期待摊费用为已经发生但应由本期和以后各期负担的分摊期限在一年以上的各项费用。</w:t>
      </w:r>
    </w:p>
    <w:p>
      <w:pPr>
        <w:pStyle w:val="Style54"/>
        <w:keepNext w:val="0"/>
        <w:keepLines w:val="0"/>
        <w:widowControl w:val="0"/>
        <w:shd w:val="clear" w:color="auto" w:fill="auto"/>
        <w:bidi w:val="0"/>
        <w:spacing w:before="0" w:after="280" w:line="390" w:lineRule="exact"/>
        <w:ind w:left="0" w:right="0" w:firstLine="420"/>
        <w:jc w:val="both"/>
      </w:pPr>
      <w:r>
        <w:rPr>
          <w:b w:val="0"/>
          <w:bCs w:val="0"/>
          <w:color w:val="000000"/>
          <w:spacing w:val="0"/>
          <w:w w:val="100"/>
          <w:position w:val="0"/>
        </w:rPr>
        <w:t>长期待摊费用在受益期内平均摊销。</w:t>
      </w:r>
    </w:p>
    <w:p>
      <w:pPr>
        <w:pStyle w:val="Style44"/>
        <w:keepNext/>
        <w:keepLines/>
        <w:widowControl w:val="0"/>
        <w:shd w:val="clear" w:color="auto" w:fill="auto"/>
        <w:tabs>
          <w:tab w:pos="889" w:val="left"/>
        </w:tabs>
        <w:bidi w:val="0"/>
        <w:spacing w:before="0" w:after="280" w:line="390" w:lineRule="exact"/>
        <w:ind w:left="0" w:right="0" w:firstLine="420"/>
        <w:jc w:val="both"/>
      </w:pPr>
      <w:bookmarkStart w:id="849" w:name="bookmark849"/>
      <w:bookmarkStart w:id="850" w:name="bookmark850"/>
      <w:bookmarkStart w:id="851" w:name="bookmark851"/>
      <w:bookmarkStart w:id="852" w:name="bookmark852"/>
      <w:r>
        <w:rPr>
          <w:color w:val="000000"/>
          <w:spacing w:val="0"/>
          <w:w w:val="100"/>
          <w:position w:val="0"/>
        </w:rPr>
        <w:t>1</w:t>
      </w:r>
      <w:bookmarkEnd w:id="851"/>
      <w:r>
        <w:rPr>
          <w:color w:val="000000"/>
          <w:spacing w:val="0"/>
          <w:w w:val="100"/>
          <w:position w:val="0"/>
        </w:rPr>
        <w:t>8、</w:t>
        <w:tab/>
        <w:t>商誉</w:t>
      </w:r>
      <w:bookmarkEnd w:id="849"/>
      <w:bookmarkEnd w:id="850"/>
      <w:bookmarkEnd w:id="852"/>
    </w:p>
    <w:p>
      <w:pPr>
        <w:pStyle w:val="Style54"/>
        <w:keepNext w:val="0"/>
        <w:keepLines w:val="0"/>
        <w:widowControl w:val="0"/>
        <w:shd w:val="clear" w:color="auto" w:fill="auto"/>
        <w:bidi w:val="0"/>
        <w:spacing w:before="0" w:after="0" w:line="390" w:lineRule="exact"/>
        <w:ind w:left="0" w:right="0" w:firstLine="420"/>
        <w:jc w:val="both"/>
      </w:pPr>
      <w:r>
        <w:rPr>
          <w:b w:val="0"/>
          <w:bCs w:val="0"/>
          <w:color w:val="000000"/>
          <w:spacing w:val="0"/>
          <w:w w:val="100"/>
          <w:position w:val="0"/>
        </w:rPr>
        <w:t>因非同一控制下企业合并形成的商誉，其初始成本是合并成本大于合并中取得的被购买方可辨认净资 产公允价值份额的差额。</w:t>
      </w:r>
    </w:p>
    <w:p>
      <w:pPr>
        <w:pStyle w:val="Style54"/>
        <w:keepNext w:val="0"/>
        <w:keepLines w:val="0"/>
        <w:widowControl w:val="0"/>
        <w:shd w:val="clear" w:color="auto" w:fill="auto"/>
        <w:bidi w:val="0"/>
        <w:spacing w:before="0" w:after="0" w:line="390" w:lineRule="exact"/>
        <w:ind w:left="0" w:right="0" w:firstLine="420"/>
        <w:jc w:val="both"/>
      </w:pPr>
      <w:r>
        <w:rPr>
          <w:b w:val="0"/>
          <w:bCs w:val="0"/>
          <w:color w:val="000000"/>
          <w:spacing w:val="0"/>
          <w:w w:val="100"/>
          <w:position w:val="0"/>
        </w:rPr>
        <w:t>商誉在其相关资产组或资产组组合处置时予以转出，计入当期损益。</w:t>
      </w:r>
    </w:p>
    <w:p>
      <w:pPr>
        <w:pStyle w:val="Style54"/>
        <w:keepNext w:val="0"/>
        <w:keepLines w:val="0"/>
        <w:widowControl w:val="0"/>
        <w:shd w:val="clear" w:color="auto" w:fill="auto"/>
        <w:bidi w:val="0"/>
        <w:spacing w:before="0" w:after="0" w:line="390" w:lineRule="exact"/>
        <w:ind w:left="0" w:right="0" w:firstLine="420"/>
        <w:jc w:val="both"/>
      </w:pPr>
      <w:r>
        <w:rPr>
          <w:b w:val="0"/>
          <w:bCs w:val="0"/>
          <w:color w:val="000000"/>
          <w:spacing w:val="0"/>
          <w:w w:val="100"/>
          <w:position w:val="0"/>
        </w:rPr>
        <w:t>本公司对商誉不摊销，商誉至少在每年年度终了进行减值测试。</w:t>
      </w:r>
    </w:p>
    <w:p>
      <w:pPr>
        <w:pStyle w:val="Style54"/>
        <w:keepNext w:val="0"/>
        <w:keepLines w:val="0"/>
        <w:widowControl w:val="0"/>
        <w:shd w:val="clear" w:color="auto" w:fill="auto"/>
        <w:bidi w:val="0"/>
        <w:spacing w:before="0" w:after="0" w:line="390" w:lineRule="exact"/>
        <w:ind w:left="0" w:right="0" w:firstLine="420"/>
        <w:jc w:val="both"/>
      </w:pPr>
      <w:r>
        <w:rPr>
          <w:b w:val="0"/>
          <w:bCs w:val="0"/>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54"/>
        <w:keepNext w:val="0"/>
        <w:keepLines w:val="0"/>
        <w:widowControl w:val="0"/>
        <w:shd w:val="clear" w:color="auto" w:fill="auto"/>
        <w:bidi w:val="0"/>
        <w:spacing w:before="0" w:after="280" w:line="390" w:lineRule="exact"/>
        <w:ind w:left="0" w:right="0" w:firstLine="420"/>
        <w:jc w:val="both"/>
      </w:pPr>
      <w:r>
        <w:rPr>
          <w:b w:val="0"/>
          <w:bCs w:val="0"/>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54"/>
        <w:keepNext w:val="0"/>
        <w:keepLines w:val="0"/>
        <w:widowControl w:val="0"/>
        <w:shd w:val="clear" w:color="auto" w:fill="auto"/>
        <w:bidi w:val="0"/>
        <w:spacing w:before="0" w:after="280" w:line="389" w:lineRule="exact"/>
        <w:ind w:left="0" w:right="0" w:firstLine="360"/>
        <w:jc w:val="both"/>
      </w:pPr>
      <w:r>
        <w:rPr>
          <w:b w:val="0"/>
          <w:bCs w:val="0"/>
          <w:color w:val="000000"/>
          <w:spacing w:val="0"/>
          <w:w w:val="100"/>
          <w:position w:val="0"/>
        </w:rPr>
        <w:t>商誉减值损失在发生时计入当期损益，且在以后会计期间不予转回。</w:t>
      </w:r>
    </w:p>
    <w:p>
      <w:pPr>
        <w:pStyle w:val="Style44"/>
        <w:keepNext/>
        <w:keepLines/>
        <w:widowControl w:val="0"/>
        <w:shd w:val="clear" w:color="auto" w:fill="auto"/>
        <w:bidi w:val="0"/>
        <w:spacing w:before="0" w:after="280" w:line="389" w:lineRule="exact"/>
        <w:ind w:left="0" w:right="0" w:firstLine="360"/>
        <w:jc w:val="both"/>
      </w:pPr>
      <w:bookmarkStart w:id="853" w:name="bookmark853"/>
      <w:bookmarkStart w:id="854" w:name="bookmark854"/>
      <w:bookmarkStart w:id="855" w:name="bookmark855"/>
      <w:r>
        <w:rPr>
          <w:color w:val="000000"/>
          <w:spacing w:val="0"/>
          <w:w w:val="100"/>
          <w:position w:val="0"/>
        </w:rPr>
        <w:t>19、收入</w:t>
      </w:r>
      <w:bookmarkEnd w:id="853"/>
      <w:bookmarkEnd w:id="854"/>
      <w:bookmarkEnd w:id="855"/>
    </w:p>
    <w:p>
      <w:pPr>
        <w:pStyle w:val="Style44"/>
        <w:keepNext/>
        <w:keepLines/>
        <w:widowControl w:val="0"/>
        <w:numPr>
          <w:ilvl w:val="0"/>
          <w:numId w:val="45"/>
        </w:numPr>
        <w:shd w:val="clear" w:color="auto" w:fill="auto"/>
        <w:tabs>
          <w:tab w:pos="800" w:val="left"/>
        </w:tabs>
        <w:bidi w:val="0"/>
        <w:spacing w:before="0" w:after="280" w:line="389" w:lineRule="exact"/>
        <w:ind w:left="0" w:right="0" w:firstLine="360"/>
        <w:jc w:val="both"/>
      </w:pPr>
      <w:bookmarkStart w:id="853" w:name="bookmark853"/>
      <w:bookmarkStart w:id="854" w:name="bookmark854"/>
      <w:bookmarkStart w:id="856" w:name="bookmark856"/>
      <w:bookmarkStart w:id="857" w:name="bookmark857"/>
      <w:bookmarkEnd w:id="856"/>
      <w:r>
        <w:rPr>
          <w:color w:val="000000"/>
          <w:spacing w:val="0"/>
          <w:w w:val="100"/>
          <w:position w:val="0"/>
        </w:rPr>
        <w:t>销售商品收入确认时间的具体判断标准</w:t>
      </w:r>
      <w:bookmarkEnd w:id="853"/>
      <w:bookmarkEnd w:id="854"/>
      <w:bookmarkEnd w:id="857"/>
    </w:p>
    <w:p>
      <w:pPr>
        <w:pStyle w:val="Style54"/>
        <w:keepNext w:val="0"/>
        <w:keepLines w:val="0"/>
        <w:widowControl w:val="0"/>
        <w:numPr>
          <w:ilvl w:val="0"/>
          <w:numId w:val="47"/>
        </w:numPr>
        <w:shd w:val="clear" w:color="auto" w:fill="auto"/>
        <w:tabs>
          <w:tab w:pos="752" w:val="left"/>
        </w:tabs>
        <w:bidi w:val="0"/>
        <w:spacing w:before="0" w:after="0" w:line="389" w:lineRule="exact"/>
        <w:ind w:left="0" w:right="0" w:firstLine="360"/>
        <w:jc w:val="both"/>
      </w:pPr>
      <w:bookmarkStart w:id="858" w:name="bookmark858"/>
      <w:bookmarkEnd w:id="858"/>
      <w:r>
        <w:rPr>
          <w:b w:val="0"/>
          <w:bCs w:val="0"/>
          <w:color w:val="000000"/>
          <w:spacing w:val="0"/>
          <w:w w:val="100"/>
          <w:position w:val="0"/>
        </w:rPr>
        <w:t>销售商品收入确认和计量的总体原则</w:t>
      </w:r>
    </w:p>
    <w:p>
      <w:pPr>
        <w:pStyle w:val="Style54"/>
        <w:keepNext w:val="0"/>
        <w:keepLines w:val="0"/>
        <w:widowControl w:val="0"/>
        <w:shd w:val="clear" w:color="auto" w:fill="auto"/>
        <w:bidi w:val="0"/>
        <w:spacing w:before="0" w:after="0" w:line="391" w:lineRule="exact"/>
        <w:ind w:left="0" w:right="0" w:firstLine="420"/>
        <w:jc w:val="both"/>
      </w:pPr>
      <w:r>
        <w:rPr>
          <w:b w:val="0"/>
          <w:bCs w:val="0"/>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54"/>
        <w:keepNext w:val="0"/>
        <w:keepLines w:val="0"/>
        <w:widowControl w:val="0"/>
        <w:numPr>
          <w:ilvl w:val="0"/>
          <w:numId w:val="47"/>
        </w:numPr>
        <w:shd w:val="clear" w:color="auto" w:fill="auto"/>
        <w:tabs>
          <w:tab w:pos="817" w:val="left"/>
        </w:tabs>
        <w:bidi w:val="0"/>
        <w:spacing w:before="0" w:after="0" w:line="389" w:lineRule="exact"/>
        <w:ind w:left="0" w:right="0" w:firstLine="420"/>
        <w:jc w:val="both"/>
      </w:pPr>
      <w:bookmarkStart w:id="859" w:name="bookmark859"/>
      <w:bookmarkEnd w:id="859"/>
      <w:r>
        <w:rPr>
          <w:b w:val="0"/>
          <w:bCs w:val="0"/>
          <w:color w:val="000000"/>
          <w:spacing w:val="0"/>
          <w:w w:val="100"/>
          <w:position w:val="0"/>
        </w:rPr>
        <w:t>本公司销售商品收入确认的确认标准及收入确认时间的具体判断标准</w:t>
      </w:r>
    </w:p>
    <w:p>
      <w:pPr>
        <w:pStyle w:val="Style54"/>
        <w:keepNext w:val="0"/>
        <w:keepLines w:val="0"/>
        <w:widowControl w:val="0"/>
        <w:shd w:val="clear" w:color="auto" w:fill="auto"/>
        <w:bidi w:val="0"/>
        <w:spacing w:before="0" w:after="0" w:line="389" w:lineRule="exact"/>
        <w:ind w:left="0" w:right="0" w:firstLine="420"/>
        <w:jc w:val="both"/>
      </w:pPr>
      <w:r>
        <w:rPr>
          <w:b w:val="0"/>
          <w:bCs w:val="0"/>
          <w:color w:val="000000"/>
          <w:spacing w:val="0"/>
          <w:w w:val="100"/>
          <w:position w:val="0"/>
        </w:rPr>
        <w:t>考虑公司相关业务流程，本公司货币自动处理设备的销售收入以取得购买方确认后的到货签收表作为 收入确认的时点。</w:t>
      </w:r>
    </w:p>
    <w:p>
      <w:pPr>
        <w:pStyle w:val="Style54"/>
        <w:keepNext w:val="0"/>
        <w:keepLines w:val="0"/>
        <w:widowControl w:val="0"/>
        <w:shd w:val="clear" w:color="auto" w:fill="auto"/>
        <w:bidi w:val="0"/>
        <w:spacing w:before="0" w:after="280" w:line="392" w:lineRule="exact"/>
        <w:ind w:left="0" w:right="0" w:firstLine="420"/>
        <w:jc w:val="both"/>
      </w:pPr>
      <w:r>
        <w:rPr>
          <w:b w:val="0"/>
          <w:bCs w:val="0"/>
          <w:color w:val="000000"/>
          <w:spacing w:val="0"/>
          <w:w w:val="100"/>
          <w:position w:val="0"/>
        </w:rPr>
        <w:t>本公司销售房产，在房屋完工并验收合格，签订了销售合同，并办理完成商品房实物移交手续时，确 认收入的实现。对公司已通知买方在规定时间内办理商品房实物移交手续，而买方未在规定时间内办理完 成商品房实物移交手续且无正当理由的，在其他条件符合的情况下，公司在通知所规定的时限结束后即确 认收入的实现。</w:t>
      </w:r>
    </w:p>
    <w:p>
      <w:pPr>
        <w:pStyle w:val="Style44"/>
        <w:keepNext/>
        <w:keepLines/>
        <w:widowControl w:val="0"/>
        <w:numPr>
          <w:ilvl w:val="0"/>
          <w:numId w:val="45"/>
        </w:numPr>
        <w:shd w:val="clear" w:color="auto" w:fill="auto"/>
        <w:tabs>
          <w:tab w:pos="800" w:val="left"/>
        </w:tabs>
        <w:bidi w:val="0"/>
        <w:spacing w:before="0" w:after="280" w:line="389" w:lineRule="exact"/>
        <w:ind w:left="0" w:right="0" w:firstLine="360"/>
        <w:jc w:val="both"/>
      </w:pPr>
      <w:bookmarkStart w:id="860" w:name="bookmark860"/>
      <w:bookmarkStart w:id="861" w:name="bookmark861"/>
      <w:bookmarkStart w:id="862" w:name="bookmark862"/>
      <w:bookmarkStart w:id="863" w:name="bookmark863"/>
      <w:bookmarkEnd w:id="862"/>
      <w:r>
        <w:rPr>
          <w:color w:val="000000"/>
          <w:spacing w:val="0"/>
          <w:w w:val="100"/>
          <w:position w:val="0"/>
        </w:rPr>
        <w:t>让渡资产使用权收入的确认和计量原则</w:t>
      </w:r>
      <w:bookmarkEnd w:id="860"/>
      <w:bookmarkEnd w:id="861"/>
      <w:bookmarkEnd w:id="863"/>
    </w:p>
    <w:p>
      <w:pPr>
        <w:pStyle w:val="Style54"/>
        <w:keepNext w:val="0"/>
        <w:keepLines w:val="0"/>
        <w:widowControl w:val="0"/>
        <w:shd w:val="clear" w:color="auto" w:fill="auto"/>
        <w:bidi w:val="0"/>
        <w:spacing w:before="0" w:after="0" w:line="350" w:lineRule="exact"/>
        <w:ind w:left="0" w:right="0" w:firstLine="360"/>
        <w:jc w:val="both"/>
      </w:pPr>
      <w:r>
        <w:rPr>
          <w:b w:val="0"/>
          <w:bCs w:val="0"/>
          <w:color w:val="000000"/>
          <w:spacing w:val="0"/>
          <w:w w:val="100"/>
          <w:position w:val="0"/>
        </w:rPr>
        <w:t>①让渡资产使用权收入确认和计量的总体原则</w:t>
      </w:r>
    </w:p>
    <w:p>
      <w:pPr>
        <w:pStyle w:val="Style54"/>
        <w:keepNext w:val="0"/>
        <w:keepLines w:val="0"/>
        <w:widowControl w:val="0"/>
        <w:shd w:val="clear" w:color="auto" w:fill="auto"/>
        <w:bidi w:val="0"/>
        <w:spacing w:before="0" w:after="0" w:line="350" w:lineRule="exact"/>
        <w:ind w:left="0" w:right="0" w:firstLine="420"/>
        <w:jc w:val="both"/>
      </w:pPr>
      <w:r>
        <w:rPr>
          <w:b w:val="0"/>
          <w:bCs w:val="0"/>
          <w:color w:val="000000"/>
          <w:spacing w:val="0"/>
          <w:w w:val="100"/>
          <w:position w:val="0"/>
        </w:rPr>
        <w:t>与交易相关的经济利益很可能流入企业，收入的金额能够可靠地计量时。分别下列情况确定让渡资产 使用权收入金额：</w:t>
      </w:r>
    </w:p>
    <w:p>
      <w:pPr>
        <w:pStyle w:val="Style54"/>
        <w:keepNext w:val="0"/>
        <w:keepLines w:val="0"/>
        <w:widowControl w:val="0"/>
        <w:shd w:val="clear" w:color="auto" w:fill="auto"/>
        <w:bidi w:val="0"/>
        <w:spacing w:before="0" w:after="0" w:line="350" w:lineRule="exact"/>
        <w:ind w:left="0" w:right="0" w:firstLine="360"/>
        <w:jc w:val="both"/>
      </w:pPr>
      <w:r>
        <w:rPr>
          <w:b w:val="0"/>
          <w:bCs w:val="0"/>
          <w:color w:val="000000"/>
          <w:spacing w:val="0"/>
          <w:w w:val="100"/>
          <w:position w:val="0"/>
        </w:rPr>
        <w:t>利息收入金额，按照他人使用本企业货币资金的时间和实际利率计算确定。</w:t>
      </w:r>
    </w:p>
    <w:p>
      <w:pPr>
        <w:pStyle w:val="Style54"/>
        <w:keepNext w:val="0"/>
        <w:keepLines w:val="0"/>
        <w:widowControl w:val="0"/>
        <w:shd w:val="clear" w:color="auto" w:fill="auto"/>
        <w:bidi w:val="0"/>
        <w:spacing w:before="0" w:after="0" w:line="350" w:lineRule="exact"/>
        <w:ind w:left="0" w:right="0" w:firstLine="360"/>
        <w:jc w:val="both"/>
      </w:pPr>
      <w:r>
        <w:rPr>
          <w:b w:val="0"/>
          <w:bCs w:val="0"/>
          <w:color w:val="000000"/>
          <w:spacing w:val="0"/>
          <w:w w:val="100"/>
          <w:position w:val="0"/>
        </w:rPr>
        <w:t>使用费收入金额，按照有关合同或协议约定的收费时间和方法计算确定。</w:t>
      </w:r>
    </w:p>
    <w:p>
      <w:pPr>
        <w:pStyle w:val="Style54"/>
        <w:keepNext w:val="0"/>
        <w:keepLines w:val="0"/>
        <w:widowControl w:val="0"/>
        <w:shd w:val="clear" w:color="auto" w:fill="auto"/>
        <w:bidi w:val="0"/>
        <w:spacing w:before="0" w:after="0" w:line="350" w:lineRule="exact"/>
        <w:ind w:left="0" w:right="0" w:firstLine="360"/>
        <w:jc w:val="both"/>
      </w:pPr>
      <w:r>
        <w:rPr>
          <w:b w:val="0"/>
          <w:bCs w:val="0"/>
          <w:color w:val="000000"/>
          <w:spacing w:val="0"/>
          <w:w w:val="100"/>
          <w:position w:val="0"/>
        </w:rPr>
        <w:t>②本公司确认让渡资产使用权收入的依据</w:t>
      </w:r>
    </w:p>
    <w:p>
      <w:pPr>
        <w:pStyle w:val="Style54"/>
        <w:keepNext w:val="0"/>
        <w:keepLines w:val="0"/>
        <w:widowControl w:val="0"/>
        <w:shd w:val="clear" w:color="auto" w:fill="auto"/>
        <w:bidi w:val="0"/>
        <w:spacing w:before="0" w:after="0" w:line="350" w:lineRule="exact"/>
        <w:ind w:left="0" w:right="0" w:firstLine="420"/>
        <w:jc w:val="both"/>
      </w:pPr>
      <w:r>
        <w:rPr>
          <w:b w:val="0"/>
          <w:bCs w:val="0"/>
          <w:color w:val="000000"/>
          <w:spacing w:val="0"/>
          <w:w w:val="100"/>
          <w:position w:val="0"/>
        </w:rPr>
        <w:t>ATM</w:t>
      </w:r>
      <w:r>
        <w:rPr>
          <w:b w:val="0"/>
          <w:bCs w:val="0"/>
          <w:color w:val="000000"/>
          <w:spacing w:val="0"/>
          <w:w w:val="100"/>
          <w:position w:val="0"/>
        </w:rPr>
        <w:t>服务收入金额，按照收入的金额能够可靠地计量；相关的经济利益很可能流入企业时确认收入。 考虑服务的特殊性，收入确认时点为公司已提供服务、接受服务方已确认所提供的服务。</w:t>
      </w:r>
    </w:p>
    <w:p>
      <w:pPr>
        <w:pStyle w:val="Style54"/>
        <w:keepNext w:val="0"/>
        <w:keepLines w:val="0"/>
        <w:widowControl w:val="0"/>
        <w:shd w:val="clear" w:color="auto" w:fill="auto"/>
        <w:bidi w:val="0"/>
        <w:spacing w:before="0" w:after="280" w:line="350" w:lineRule="exact"/>
        <w:ind w:left="0" w:right="0" w:firstLine="360"/>
        <w:jc w:val="both"/>
      </w:pPr>
      <w:r>
        <w:rPr>
          <w:b w:val="0"/>
          <w:bCs w:val="0"/>
          <w:color w:val="000000"/>
          <w:spacing w:val="0"/>
          <w:w w:val="100"/>
          <w:position w:val="0"/>
        </w:rPr>
        <w:t>经营收入金额，按照有关合同或协议约定的收费时间和方法计算确定。</w:t>
      </w:r>
    </w:p>
    <w:p>
      <w:pPr>
        <w:pStyle w:val="Style44"/>
        <w:keepNext/>
        <w:keepLines/>
        <w:widowControl w:val="0"/>
        <w:shd w:val="clear" w:color="auto" w:fill="auto"/>
        <w:bidi w:val="0"/>
        <w:spacing w:before="0" w:after="280" w:line="389" w:lineRule="exact"/>
        <w:ind w:left="0" w:right="0" w:firstLine="360"/>
        <w:jc w:val="both"/>
      </w:pPr>
      <w:bookmarkStart w:id="864" w:name="bookmark864"/>
      <w:bookmarkStart w:id="865" w:name="bookmark865"/>
      <w:bookmarkStart w:id="866" w:name="bookmark866"/>
      <w:r>
        <w:rPr>
          <w:color w:val="000000"/>
          <w:spacing w:val="0"/>
          <w:w w:val="100"/>
          <w:position w:val="0"/>
        </w:rPr>
        <w:t>(3 )确认提供劳务收入的依据</w:t>
      </w:r>
      <w:bookmarkEnd w:id="864"/>
      <w:bookmarkEnd w:id="865"/>
      <w:bookmarkEnd w:id="866"/>
    </w:p>
    <w:p>
      <w:pPr>
        <w:pStyle w:val="Style54"/>
        <w:keepNext w:val="0"/>
        <w:keepLines w:val="0"/>
        <w:widowControl w:val="0"/>
        <w:shd w:val="clear" w:color="auto" w:fill="auto"/>
        <w:bidi w:val="0"/>
        <w:spacing w:before="0" w:after="280" w:line="394" w:lineRule="exact"/>
        <w:ind w:left="0" w:right="0" w:firstLine="420"/>
        <w:jc w:val="both"/>
      </w:pPr>
      <w:r>
        <w:rPr>
          <w:b w:val="0"/>
          <w:bCs w:val="0"/>
          <w:color w:val="000000"/>
          <w:spacing w:val="0"/>
          <w:w w:val="100"/>
          <w:position w:val="0"/>
        </w:rPr>
        <w:t>本公司在物业管理服务已经提供，与物业管理服务相关的经济利益能够流入企业，与物业管理服务相 关的成本能够可靠计量时，确认物业管理收入的实现。</w:t>
      </w:r>
    </w:p>
    <w:p>
      <w:pPr>
        <w:pStyle w:val="Style44"/>
        <w:keepNext/>
        <w:keepLines/>
        <w:widowControl w:val="0"/>
        <w:shd w:val="clear" w:color="auto" w:fill="auto"/>
        <w:tabs>
          <w:tab w:pos="923" w:val="left"/>
        </w:tabs>
        <w:bidi w:val="0"/>
        <w:spacing w:before="0" w:after="460" w:line="390" w:lineRule="exact"/>
        <w:ind w:left="0" w:right="0" w:firstLine="440"/>
        <w:jc w:val="both"/>
      </w:pPr>
      <w:bookmarkStart w:id="867" w:name="bookmark867"/>
      <w:bookmarkStart w:id="868" w:name="bookmark868"/>
      <w:bookmarkStart w:id="869" w:name="bookmark869"/>
      <w:bookmarkStart w:id="870" w:name="bookmark870"/>
      <w:r>
        <w:rPr>
          <w:color w:val="000000"/>
          <w:spacing w:val="0"/>
          <w:w w:val="100"/>
          <w:position w:val="0"/>
        </w:rPr>
        <w:t>2</w:t>
      </w:r>
      <w:bookmarkEnd w:id="869"/>
      <w:r>
        <w:rPr>
          <w:color w:val="000000"/>
          <w:spacing w:val="0"/>
          <w:w w:val="100"/>
          <w:position w:val="0"/>
        </w:rPr>
        <w:t>0、</w:t>
        <w:tab/>
        <w:t>政府补助</w:t>
      </w:r>
      <w:bookmarkEnd w:id="867"/>
      <w:bookmarkEnd w:id="868"/>
      <w:bookmarkEnd w:id="870"/>
    </w:p>
    <w:p>
      <w:pPr>
        <w:pStyle w:val="Style54"/>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(1)类型</w:t>
      </w:r>
    </w:p>
    <w:p>
      <w:pPr>
        <w:pStyle w:val="Style54"/>
        <w:keepNext w:val="0"/>
        <w:keepLines w:val="0"/>
        <w:widowControl w:val="0"/>
        <w:shd w:val="clear" w:color="auto" w:fill="auto"/>
        <w:bidi w:val="0"/>
        <w:spacing w:before="0" w:after="280" w:line="389" w:lineRule="exact"/>
        <w:ind w:left="0" w:right="0" w:firstLine="440"/>
        <w:jc w:val="both"/>
      </w:pPr>
      <w:r>
        <w:rPr>
          <w:b w:val="0"/>
          <w:bCs w:val="0"/>
          <w:color w:val="000000"/>
          <w:spacing w:val="0"/>
          <w:w w:val="100"/>
          <w:position w:val="0"/>
        </w:rPr>
        <w:t>政府补助，是本公司从政府无偿取得的货币性资产与非货币性资产。分为与资产相关的政府补助和与 收益相关的政府补助。</w:t>
      </w:r>
    </w:p>
    <w:p>
      <w:pPr>
        <w:pStyle w:val="Style44"/>
        <w:keepNext/>
        <w:keepLines/>
        <w:widowControl w:val="0"/>
        <w:shd w:val="clear" w:color="auto" w:fill="auto"/>
        <w:bidi w:val="0"/>
        <w:spacing w:before="0" w:after="280" w:line="390" w:lineRule="exact"/>
        <w:ind w:left="0" w:right="0" w:firstLine="440"/>
        <w:jc w:val="left"/>
      </w:pPr>
      <w:bookmarkStart w:id="871" w:name="bookmark871"/>
      <w:bookmarkStart w:id="872" w:name="bookmark872"/>
      <w:bookmarkStart w:id="873" w:name="bookmark873"/>
      <w:r>
        <w:rPr>
          <w:color w:val="000000"/>
          <w:spacing w:val="0"/>
          <w:w w:val="100"/>
          <w:position w:val="0"/>
        </w:rPr>
        <w:t>(2 )会计政策</w:t>
      </w:r>
      <w:bookmarkEnd w:id="871"/>
      <w:bookmarkEnd w:id="872"/>
      <w:bookmarkEnd w:id="873"/>
    </w:p>
    <w:p>
      <w:pPr>
        <w:pStyle w:val="Style44"/>
        <w:keepNext/>
        <w:keepLines/>
        <w:widowControl w:val="0"/>
        <w:numPr>
          <w:ilvl w:val="0"/>
          <w:numId w:val="49"/>
        </w:numPr>
        <w:shd w:val="clear" w:color="auto" w:fill="auto"/>
        <w:tabs>
          <w:tab w:pos="846" w:val="left"/>
        </w:tabs>
        <w:bidi w:val="0"/>
        <w:spacing w:before="0" w:after="0" w:line="390" w:lineRule="exact"/>
        <w:ind w:left="0" w:right="0" w:firstLine="440"/>
        <w:jc w:val="left"/>
      </w:pPr>
      <w:bookmarkStart w:id="871" w:name="bookmark871"/>
      <w:bookmarkStart w:id="872" w:name="bookmark872"/>
      <w:bookmarkStart w:id="874" w:name="bookmark874"/>
      <w:bookmarkStart w:id="875" w:name="bookmark875"/>
      <w:bookmarkEnd w:id="874"/>
      <w:r>
        <w:rPr>
          <w:color w:val="000000"/>
          <w:spacing w:val="0"/>
          <w:w w:val="100"/>
          <w:position w:val="0"/>
        </w:rPr>
        <w:t>区分与资产相关政府补助和与收益相关政府补助的具体标准。</w:t>
      </w:r>
      <w:bookmarkEnd w:id="871"/>
      <w:bookmarkEnd w:id="872"/>
      <w:bookmarkEnd w:id="875"/>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与资产相关的政府补助，是指企业取得的、用于购建或以其他方式形成长期资产的政府补助，包括购 买固定资产或无形资产的财政拨款、固定资产专项借款的财政贴息等。与收益相关的政府补助，是指除与 资产相关的政府补助之外的政府补助。</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本公司将政府补助划分为与资产相关的具体标准为：本公司取得的政府补助用于购建或以其他方式形 成长期资产的作为与资产相关的政府补助。</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本公司将政府补助划分为与收益相关的具体标准为：除与资产相关的政府补助之外的政府补助，作为 与收益相关的政府补助。</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对于政府文件未明确规定补助对象的，本公司将该政府补助划分为与资产相关或与收益相关的判断依 据为：对于政府文件未明确规定补助对象的，能够形成长期资产的，与资产价值相对应的政府补助部分作 为与资产相关的政府补助，其余部分作为与收益相关的政府补助；难以区分的，将政府补助整体作为与收 益相关的政府补助。</w:t>
      </w:r>
    </w:p>
    <w:p>
      <w:pPr>
        <w:pStyle w:val="Style54"/>
        <w:keepNext w:val="0"/>
        <w:keepLines w:val="0"/>
        <w:widowControl w:val="0"/>
        <w:numPr>
          <w:ilvl w:val="0"/>
          <w:numId w:val="49"/>
        </w:numPr>
        <w:shd w:val="clear" w:color="auto" w:fill="auto"/>
        <w:tabs>
          <w:tab w:pos="846" w:val="left"/>
        </w:tabs>
        <w:bidi w:val="0"/>
        <w:spacing w:before="0" w:after="0" w:line="390" w:lineRule="exact"/>
        <w:ind w:left="0" w:right="0" w:firstLine="440"/>
        <w:jc w:val="both"/>
      </w:pPr>
      <w:bookmarkStart w:id="876" w:name="bookmark876"/>
      <w:bookmarkEnd w:id="876"/>
      <w:r>
        <w:rPr>
          <w:color w:val="000000"/>
          <w:spacing w:val="0"/>
          <w:w w:val="100"/>
          <w:position w:val="0"/>
        </w:rPr>
        <w:t>会计处理</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与资产相关的政府补助，确认为递延收益，按照所建造或购买的资产使用年限分期计入营业外收入； 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54"/>
        <w:keepNext w:val="0"/>
        <w:keepLines w:val="0"/>
        <w:widowControl w:val="0"/>
        <w:numPr>
          <w:ilvl w:val="0"/>
          <w:numId w:val="49"/>
        </w:numPr>
        <w:shd w:val="clear" w:color="auto" w:fill="auto"/>
        <w:tabs>
          <w:tab w:pos="846" w:val="left"/>
        </w:tabs>
        <w:bidi w:val="0"/>
        <w:spacing w:before="0" w:after="0" w:line="390" w:lineRule="exact"/>
        <w:ind w:left="0" w:right="0" w:firstLine="440"/>
        <w:jc w:val="both"/>
      </w:pPr>
      <w:bookmarkStart w:id="877" w:name="bookmark877"/>
      <w:bookmarkEnd w:id="877"/>
      <w:r>
        <w:rPr>
          <w:color w:val="000000"/>
          <w:spacing w:val="0"/>
          <w:w w:val="100"/>
          <w:position w:val="0"/>
        </w:rPr>
        <w:t>确认时点</w:t>
      </w:r>
    </w:p>
    <w:p>
      <w:pPr>
        <w:pStyle w:val="Style54"/>
        <w:keepNext w:val="0"/>
        <w:keepLines w:val="0"/>
        <w:widowControl w:val="0"/>
        <w:shd w:val="clear" w:color="auto" w:fill="auto"/>
        <w:bidi w:val="0"/>
        <w:spacing w:before="0" w:after="280" w:line="390" w:lineRule="exact"/>
        <w:ind w:left="0" w:right="0" w:firstLine="440"/>
        <w:jc w:val="both"/>
      </w:pPr>
      <w:r>
        <w:rPr>
          <w:b w:val="0"/>
          <w:bCs w:val="0"/>
          <w:color w:val="000000"/>
          <w:spacing w:val="0"/>
          <w:w w:val="100"/>
          <w:position w:val="0"/>
        </w:rPr>
        <w:t>与资产相关的政府补助，在收到政府补助时确认为递延收益，并在所建造或购买的资产投入使用后， 在相关资产使用期限内平均分配，计入当期损益。与收益相关的政府补助，如果用于补偿已发生的相关费 用或损失，则在收到时计入当期损益；如果用于补偿以后期间的相关费用或损失，则在收到时计入递延收 益，于费用确认期间计入当期损益。</w:t>
      </w:r>
    </w:p>
    <w:p>
      <w:pPr>
        <w:pStyle w:val="Style44"/>
        <w:keepNext/>
        <w:keepLines/>
        <w:widowControl w:val="0"/>
        <w:shd w:val="clear" w:color="auto" w:fill="auto"/>
        <w:tabs>
          <w:tab w:pos="923" w:val="left"/>
        </w:tabs>
        <w:bidi w:val="0"/>
        <w:spacing w:before="0" w:after="280" w:line="390" w:lineRule="exact"/>
        <w:ind w:left="0" w:right="0" w:firstLine="440"/>
        <w:jc w:val="both"/>
      </w:pPr>
      <w:bookmarkStart w:id="878" w:name="bookmark878"/>
      <w:bookmarkStart w:id="879" w:name="bookmark879"/>
      <w:bookmarkStart w:id="880" w:name="bookmark880"/>
      <w:bookmarkStart w:id="881" w:name="bookmark881"/>
      <w:r>
        <w:rPr>
          <w:color w:val="000000"/>
          <w:spacing w:val="0"/>
          <w:w w:val="100"/>
          <w:position w:val="0"/>
        </w:rPr>
        <w:t>2</w:t>
      </w:r>
      <w:bookmarkEnd w:id="880"/>
      <w:r>
        <w:rPr>
          <w:color w:val="000000"/>
          <w:spacing w:val="0"/>
          <w:w w:val="100"/>
          <w:position w:val="0"/>
        </w:rPr>
        <w:t>1、</w:t>
        <w:tab/>
        <w:t>递延所得税资产和递延所得税负债</w:t>
      </w:r>
      <w:bookmarkEnd w:id="878"/>
      <w:bookmarkEnd w:id="879"/>
      <w:bookmarkEnd w:id="881"/>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对于可抵扣暂时性差异确认递延所得税资产，以未来期间很可能取得的用来抵扣可抵扣暂时性差异的 应纳税所得额为限。</w:t>
      </w:r>
    </w:p>
    <w:p>
      <w:pPr>
        <w:pStyle w:val="Style54"/>
        <w:keepNext w:val="0"/>
        <w:keepLines w:val="0"/>
        <w:widowControl w:val="0"/>
        <w:shd w:val="clear" w:color="auto" w:fill="auto"/>
        <w:bidi w:val="0"/>
        <w:spacing w:before="0" w:after="280" w:line="390" w:lineRule="exact"/>
        <w:ind w:left="0" w:right="0" w:firstLine="440"/>
        <w:jc w:val="both"/>
      </w:pPr>
      <w:r>
        <w:rPr>
          <w:b w:val="0"/>
          <w:bCs w:val="0"/>
          <w:color w:val="000000"/>
          <w:spacing w:val="0"/>
          <w:w w:val="100"/>
          <w:position w:val="0"/>
        </w:rPr>
        <w:t>对于应纳税暂时性差异，除特殊情况外，确认递延所得税负债。</w:t>
      </w:r>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54"/>
        <w:keepNext w:val="0"/>
        <w:keepLines w:val="0"/>
        <w:widowControl w:val="0"/>
        <w:shd w:val="clear" w:color="auto" w:fill="auto"/>
        <w:bidi w:val="0"/>
        <w:spacing w:before="0" w:after="0" w:line="398" w:lineRule="exact"/>
        <w:ind w:left="0" w:right="0" w:firstLine="440"/>
        <w:jc w:val="both"/>
      </w:pPr>
      <w:r>
        <w:rPr>
          <w:b w:val="0"/>
          <w:bCs w:val="0"/>
          <w:color w:val="000000"/>
          <w:spacing w:val="0"/>
          <w:w w:val="100"/>
          <w:position w:val="0"/>
        </w:rPr>
        <w:t>当拥有以净额结算的法定权利，且意图以净额结算或取得资产、清偿负债同时进行时，本公司当期所 得税资产及当期所得税负债以抵销后的净额列报。</w:t>
      </w:r>
    </w:p>
    <w:p>
      <w:pPr>
        <w:pStyle w:val="Style54"/>
        <w:keepNext w:val="0"/>
        <w:keepLines w:val="0"/>
        <w:widowControl w:val="0"/>
        <w:shd w:val="clear" w:color="auto" w:fill="auto"/>
        <w:bidi w:val="0"/>
        <w:spacing w:before="0" w:after="280" w:line="392" w:lineRule="exact"/>
        <w:ind w:left="0" w:right="0" w:firstLine="440"/>
        <w:jc w:val="both"/>
      </w:pPr>
      <w:r>
        <w:rPr>
          <w:b w:val="0"/>
          <w:bCs w:val="0"/>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债或是同时取得资产、清偿负债时，本公司递延所得税资产及递延所得税负债以抵销后的净额列报。</w:t>
      </w:r>
    </w:p>
    <w:p>
      <w:pPr>
        <w:pStyle w:val="Style44"/>
        <w:keepNext/>
        <w:keepLines/>
        <w:widowControl w:val="0"/>
        <w:shd w:val="clear" w:color="auto" w:fill="auto"/>
        <w:tabs>
          <w:tab w:pos="923" w:val="left"/>
        </w:tabs>
        <w:bidi w:val="0"/>
        <w:spacing w:before="0" w:after="280" w:line="394" w:lineRule="exact"/>
        <w:ind w:left="0" w:right="0" w:firstLine="440"/>
        <w:jc w:val="both"/>
      </w:pPr>
      <w:bookmarkStart w:id="882" w:name="bookmark882"/>
      <w:bookmarkStart w:id="883" w:name="bookmark883"/>
      <w:bookmarkStart w:id="884" w:name="bookmark884"/>
      <w:bookmarkStart w:id="885" w:name="bookmark885"/>
      <w:r>
        <w:rPr>
          <w:color w:val="000000"/>
          <w:spacing w:val="0"/>
          <w:w w:val="100"/>
          <w:position w:val="0"/>
        </w:rPr>
        <w:t>2</w:t>
      </w:r>
      <w:bookmarkEnd w:id="884"/>
      <w:r>
        <w:rPr>
          <w:color w:val="000000"/>
          <w:spacing w:val="0"/>
          <w:w w:val="100"/>
          <w:position w:val="0"/>
        </w:rPr>
        <w:t>2、</w:t>
        <w:tab/>
        <w:t>经营租赁</w:t>
      </w:r>
      <w:bookmarkEnd w:id="882"/>
      <w:bookmarkEnd w:id="883"/>
      <w:bookmarkEnd w:id="885"/>
    </w:p>
    <w:p>
      <w:pPr>
        <w:pStyle w:val="Style54"/>
        <w:keepNext w:val="0"/>
        <w:keepLines w:val="0"/>
        <w:widowControl w:val="0"/>
        <w:numPr>
          <w:ilvl w:val="0"/>
          <w:numId w:val="51"/>
        </w:numPr>
        <w:shd w:val="clear" w:color="auto" w:fill="auto"/>
        <w:tabs>
          <w:tab w:pos="872" w:val="left"/>
        </w:tabs>
        <w:bidi w:val="0"/>
        <w:spacing w:before="0" w:after="0" w:line="394" w:lineRule="exact"/>
        <w:ind w:left="0" w:right="0" w:firstLine="440"/>
        <w:jc w:val="both"/>
      </w:pPr>
      <w:bookmarkStart w:id="886" w:name="bookmark886"/>
      <w:bookmarkEnd w:id="886"/>
      <w:r>
        <w:rPr>
          <w:b w:val="0"/>
          <w:bCs w:val="0"/>
          <w:color w:val="000000"/>
          <w:spacing w:val="0"/>
          <w:w w:val="100"/>
          <w:position w:val="0"/>
        </w:rPr>
        <w:t>公司租入资产所支付的租赁费，在不扣除免租期的整个租赁期内，按直线法进行分摊，计入当期 费用。公司支付的与租赁交易相关的初始直接费用，计入当期费用。</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4"/>
        <w:keepNext w:val="0"/>
        <w:keepLines w:val="0"/>
        <w:widowControl w:val="0"/>
        <w:numPr>
          <w:ilvl w:val="0"/>
          <w:numId w:val="51"/>
        </w:numPr>
        <w:shd w:val="clear" w:color="auto" w:fill="auto"/>
        <w:tabs>
          <w:tab w:pos="882" w:val="left"/>
        </w:tabs>
        <w:bidi w:val="0"/>
        <w:spacing w:before="0" w:after="0" w:line="394" w:lineRule="exact"/>
        <w:ind w:left="0" w:right="0" w:firstLine="440"/>
        <w:jc w:val="both"/>
      </w:pPr>
      <w:bookmarkStart w:id="887" w:name="bookmark887"/>
      <w:bookmarkEnd w:id="887"/>
      <w:r>
        <w:rPr>
          <w:b w:val="0"/>
          <w:bCs w:val="0"/>
          <w:color w:val="000000"/>
          <w:spacing w:val="0"/>
          <w:w w:val="100"/>
          <w:position w:val="0"/>
        </w:rPr>
        <w:t>公司出租资产所收取的租赁费，在不扣除免租期的整个租赁期内，按直线法进行分摊，确认为租 赁收入。公司支付的与租赁交易相关的初始直接费用，计入当期费用；如金额较大的，则予以资本化，在 整个租赁期间内按照与租赁收入确认相同的基础分期计入当期收益。</w:t>
      </w:r>
    </w:p>
    <w:p>
      <w:pPr>
        <w:pStyle w:val="Style54"/>
        <w:keepNext w:val="0"/>
        <w:keepLines w:val="0"/>
        <w:widowControl w:val="0"/>
        <w:shd w:val="clear" w:color="auto" w:fill="auto"/>
        <w:bidi w:val="0"/>
        <w:spacing w:before="0" w:after="280" w:line="394" w:lineRule="exact"/>
        <w:ind w:left="0" w:right="0" w:firstLine="440"/>
        <w:jc w:val="both"/>
      </w:pPr>
      <w:r>
        <w:rPr>
          <w:b w:val="0"/>
          <w:bCs w:val="0"/>
          <w:color w:val="000000"/>
          <w:spacing w:val="0"/>
          <w:w w:val="100"/>
          <w:position w:val="0"/>
        </w:rPr>
        <w:t>公司承担了应由承租方承担的与租赁相关的费用时，公司将该部分费用从租金收入总额中扣除，按扣 除后的租金费用在租赁期内分配。</w:t>
      </w:r>
    </w:p>
    <w:p>
      <w:pPr>
        <w:pStyle w:val="Style44"/>
        <w:keepNext/>
        <w:keepLines/>
        <w:widowControl w:val="0"/>
        <w:shd w:val="clear" w:color="auto" w:fill="auto"/>
        <w:tabs>
          <w:tab w:pos="923" w:val="left"/>
        </w:tabs>
        <w:bidi w:val="0"/>
        <w:spacing w:before="0" w:after="280" w:line="394" w:lineRule="exact"/>
        <w:ind w:left="0" w:right="0" w:firstLine="440"/>
        <w:jc w:val="both"/>
      </w:pPr>
      <w:bookmarkStart w:id="888" w:name="bookmark888"/>
      <w:bookmarkStart w:id="889" w:name="bookmark889"/>
      <w:bookmarkStart w:id="890" w:name="bookmark890"/>
      <w:bookmarkStart w:id="891" w:name="bookmark891"/>
      <w:r>
        <w:rPr>
          <w:color w:val="000000"/>
          <w:spacing w:val="0"/>
          <w:w w:val="100"/>
          <w:position w:val="0"/>
        </w:rPr>
        <w:t>2</w:t>
      </w:r>
      <w:bookmarkEnd w:id="890"/>
      <w:r>
        <w:rPr>
          <w:color w:val="000000"/>
          <w:spacing w:val="0"/>
          <w:w w:val="100"/>
          <w:position w:val="0"/>
        </w:rPr>
        <w:t>3、</w:t>
        <w:tab/>
        <w:t>主要会计政策、会计估计的变更</w:t>
      </w:r>
      <w:bookmarkEnd w:id="888"/>
      <w:bookmarkEnd w:id="889"/>
      <w:bookmarkEnd w:id="891"/>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本报告期主要会计政策、会计估计是否变更</w:t>
      </w:r>
    </w:p>
    <w:p>
      <w:pPr>
        <w:pStyle w:val="Style54"/>
        <w:keepNext w:val="0"/>
        <w:keepLines w:val="0"/>
        <w:widowControl w:val="0"/>
        <w:shd w:val="clear" w:color="auto" w:fill="auto"/>
        <w:bidi w:val="0"/>
        <w:spacing w:before="0" w:after="280" w:line="394" w:lineRule="exact"/>
        <w:ind w:left="0" w:right="0" w:firstLine="440"/>
        <w:jc w:val="both"/>
      </w:pPr>
      <w:r>
        <w:rPr>
          <w:b w:val="0"/>
          <w:bCs w:val="0"/>
          <w:color w:val="000000"/>
          <w:spacing w:val="0"/>
          <w:w w:val="100"/>
          <w:position w:val="0"/>
        </w:rPr>
        <w:t>□</w:t>
      </w:r>
      <w:r>
        <w:rPr>
          <w:b w:val="0"/>
          <w:bCs w:val="0"/>
          <w:color w:val="000000"/>
          <w:spacing w:val="0"/>
          <w:w w:val="100"/>
          <w:position w:val="0"/>
        </w:rPr>
        <w:t>是V否</w:t>
      </w:r>
    </w:p>
    <w:p>
      <w:pPr>
        <w:pStyle w:val="Style54"/>
        <w:keepNext w:val="0"/>
        <w:keepLines w:val="0"/>
        <w:widowControl w:val="0"/>
        <w:numPr>
          <w:ilvl w:val="0"/>
          <w:numId w:val="53"/>
        </w:numPr>
        <w:shd w:val="clear" w:color="auto" w:fill="auto"/>
        <w:tabs>
          <w:tab w:pos="880" w:val="left"/>
        </w:tabs>
        <w:bidi w:val="0"/>
        <w:spacing w:before="0" w:after="280" w:line="394" w:lineRule="exact"/>
        <w:ind w:left="0" w:right="0" w:firstLine="440"/>
        <w:jc w:val="both"/>
      </w:pPr>
      <w:bookmarkStart w:id="892" w:name="bookmark892"/>
      <w:bookmarkEnd w:id="892"/>
      <w:r>
        <w:rPr>
          <w:color w:val="000000"/>
          <w:spacing w:val="0"/>
          <w:w w:val="100"/>
          <w:position w:val="0"/>
        </w:rPr>
        <w:t>会计政策变更</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本报告期主要会计政策是否变更</w:t>
      </w:r>
    </w:p>
    <w:p>
      <w:pPr>
        <w:pStyle w:val="Style54"/>
        <w:keepNext w:val="0"/>
        <w:keepLines w:val="0"/>
        <w:widowControl w:val="0"/>
        <w:shd w:val="clear" w:color="auto" w:fill="auto"/>
        <w:bidi w:val="0"/>
        <w:spacing w:before="0" w:after="280" w:line="394" w:lineRule="exact"/>
        <w:ind w:left="0" w:right="0" w:firstLine="440"/>
        <w:jc w:val="both"/>
      </w:pPr>
      <w:r>
        <w:rPr>
          <w:b w:val="0"/>
          <w:bCs w:val="0"/>
          <w:color w:val="000000"/>
          <w:spacing w:val="0"/>
          <w:w w:val="100"/>
          <w:position w:val="0"/>
        </w:rPr>
        <w:t>□</w:t>
      </w:r>
      <w:r>
        <w:rPr>
          <w:b w:val="0"/>
          <w:bCs w:val="0"/>
          <w:color w:val="000000"/>
          <w:spacing w:val="0"/>
          <w:w w:val="100"/>
          <w:position w:val="0"/>
        </w:rPr>
        <w:t>是V否</w:t>
      </w:r>
    </w:p>
    <w:p>
      <w:pPr>
        <w:pStyle w:val="Style54"/>
        <w:keepNext w:val="0"/>
        <w:keepLines w:val="0"/>
        <w:widowControl w:val="0"/>
        <w:numPr>
          <w:ilvl w:val="0"/>
          <w:numId w:val="53"/>
        </w:numPr>
        <w:shd w:val="clear" w:color="auto" w:fill="auto"/>
        <w:tabs>
          <w:tab w:pos="880" w:val="left"/>
        </w:tabs>
        <w:bidi w:val="0"/>
        <w:spacing w:before="0" w:after="280" w:line="394" w:lineRule="exact"/>
        <w:ind w:left="0" w:right="0" w:firstLine="440"/>
        <w:jc w:val="both"/>
      </w:pPr>
      <w:bookmarkStart w:id="893" w:name="bookmark893"/>
      <w:bookmarkEnd w:id="893"/>
      <w:r>
        <w:rPr>
          <w:color w:val="000000"/>
          <w:spacing w:val="0"/>
          <w:w w:val="100"/>
          <w:position w:val="0"/>
        </w:rPr>
        <w:t>会计估计变更</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本报告期主要会计估计是否变更</w:t>
      </w:r>
    </w:p>
    <w:p>
      <w:pPr>
        <w:pStyle w:val="Style54"/>
        <w:keepNext w:val="0"/>
        <w:keepLines w:val="0"/>
        <w:widowControl w:val="0"/>
        <w:shd w:val="clear" w:color="auto" w:fill="auto"/>
        <w:bidi w:val="0"/>
        <w:spacing w:before="0" w:after="280" w:line="394" w:lineRule="exact"/>
        <w:ind w:left="0" w:right="0" w:firstLine="440"/>
        <w:jc w:val="both"/>
      </w:pPr>
      <w:r>
        <w:rPr>
          <w:b w:val="0"/>
          <w:bCs w:val="0"/>
          <w:color w:val="000000"/>
          <w:spacing w:val="0"/>
          <w:w w:val="100"/>
          <w:position w:val="0"/>
        </w:rPr>
        <w:t>□</w:t>
      </w:r>
      <w:r>
        <w:rPr>
          <w:b w:val="0"/>
          <w:bCs w:val="0"/>
          <w:color w:val="000000"/>
          <w:spacing w:val="0"/>
          <w:w w:val="100"/>
          <w:position w:val="0"/>
        </w:rPr>
        <w:t>是V否</w:t>
      </w:r>
    </w:p>
    <w:p>
      <w:pPr>
        <w:pStyle w:val="Style44"/>
        <w:keepNext/>
        <w:keepLines/>
        <w:widowControl w:val="0"/>
        <w:shd w:val="clear" w:color="auto" w:fill="auto"/>
        <w:bidi w:val="0"/>
        <w:spacing w:before="0" w:after="260" w:line="427" w:lineRule="exact"/>
        <w:ind w:left="0" w:right="0" w:firstLine="420"/>
        <w:jc w:val="left"/>
      </w:pPr>
      <w:bookmarkStart w:id="894" w:name="bookmark894"/>
      <w:bookmarkStart w:id="895" w:name="bookmark895"/>
      <w:bookmarkStart w:id="896" w:name="bookmark896"/>
      <w:bookmarkStart w:id="897" w:name="bookmark897"/>
      <w:r>
        <w:rPr>
          <w:color w:val="000000"/>
          <w:spacing w:val="0"/>
          <w:w w:val="100"/>
          <w:position w:val="0"/>
        </w:rPr>
        <w:t>2</w:t>
      </w:r>
      <w:bookmarkEnd w:id="896"/>
      <w:r>
        <w:rPr>
          <w:color w:val="000000"/>
          <w:spacing w:val="0"/>
          <w:w w:val="100"/>
          <w:position w:val="0"/>
        </w:rPr>
        <w:t>4、前期会计差错更正</w:t>
      </w:r>
      <w:bookmarkEnd w:id="894"/>
      <w:bookmarkEnd w:id="895"/>
      <w:bookmarkEnd w:id="897"/>
    </w:p>
    <w:p>
      <w:pPr>
        <w:pStyle w:val="Style54"/>
        <w:keepNext w:val="0"/>
        <w:keepLines w:val="0"/>
        <w:widowControl w:val="0"/>
        <w:shd w:val="clear" w:color="auto" w:fill="auto"/>
        <w:bidi w:val="0"/>
        <w:spacing w:before="0" w:after="0" w:line="427" w:lineRule="exact"/>
        <w:ind w:left="0" w:right="0" w:firstLine="420"/>
        <w:jc w:val="left"/>
      </w:pPr>
      <w:r>
        <w:rPr>
          <w:b w:val="0"/>
          <w:bCs w:val="0"/>
          <w:color w:val="000000"/>
          <w:spacing w:val="0"/>
          <w:w w:val="100"/>
          <w:position w:val="0"/>
        </w:rPr>
        <w:t>本报告期是否发现前期会计差错</w:t>
      </w:r>
    </w:p>
    <w:p>
      <w:pPr>
        <w:pStyle w:val="Style54"/>
        <w:keepNext w:val="0"/>
        <w:keepLines w:val="0"/>
        <w:widowControl w:val="0"/>
        <w:shd w:val="clear" w:color="auto" w:fill="auto"/>
        <w:bidi w:val="0"/>
        <w:spacing w:before="0" w:after="260" w:line="427" w:lineRule="exact"/>
        <w:ind w:left="0" w:right="0" w:firstLine="420"/>
        <w:jc w:val="left"/>
      </w:pPr>
      <w:r>
        <w:rPr>
          <w:b w:val="0"/>
          <w:bCs w:val="0"/>
          <w:color w:val="000000"/>
          <w:spacing w:val="0"/>
          <w:w w:val="100"/>
          <w:position w:val="0"/>
        </w:rPr>
        <w:t>□</w:t>
      </w:r>
      <w:r>
        <w:rPr>
          <w:b w:val="0"/>
          <w:bCs w:val="0"/>
          <w:color w:val="000000"/>
          <w:spacing w:val="0"/>
          <w:w w:val="100"/>
          <w:position w:val="0"/>
        </w:rPr>
        <w:t>是V否</w:t>
      </w:r>
    </w:p>
    <w:p>
      <w:pPr>
        <w:pStyle w:val="Style44"/>
        <w:keepNext/>
        <w:keepLines/>
        <w:widowControl w:val="0"/>
        <w:numPr>
          <w:ilvl w:val="0"/>
          <w:numId w:val="55"/>
        </w:numPr>
        <w:shd w:val="clear" w:color="auto" w:fill="auto"/>
        <w:tabs>
          <w:tab w:pos="860" w:val="left"/>
        </w:tabs>
        <w:bidi w:val="0"/>
        <w:spacing w:before="0" w:after="260" w:line="427" w:lineRule="exact"/>
        <w:ind w:left="0" w:right="0" w:firstLine="420"/>
        <w:jc w:val="left"/>
      </w:pPr>
      <w:bookmarkStart w:id="898" w:name="bookmark898"/>
      <w:bookmarkStart w:id="899" w:name="bookmark899"/>
      <w:bookmarkStart w:id="900" w:name="bookmark900"/>
      <w:bookmarkStart w:id="901" w:name="bookmark901"/>
      <w:bookmarkEnd w:id="900"/>
      <w:r>
        <w:rPr>
          <w:color w:val="000000"/>
          <w:spacing w:val="0"/>
          <w:w w:val="100"/>
          <w:position w:val="0"/>
        </w:rPr>
        <w:t>追溯重述法</w:t>
      </w:r>
      <w:bookmarkEnd w:id="898"/>
      <w:bookmarkEnd w:id="899"/>
      <w:bookmarkEnd w:id="901"/>
    </w:p>
    <w:p>
      <w:pPr>
        <w:pStyle w:val="Style54"/>
        <w:keepNext w:val="0"/>
        <w:keepLines w:val="0"/>
        <w:widowControl w:val="0"/>
        <w:shd w:val="clear" w:color="auto" w:fill="auto"/>
        <w:bidi w:val="0"/>
        <w:spacing w:before="0" w:after="260" w:line="422" w:lineRule="exact"/>
        <w:ind w:left="420" w:right="0" w:firstLine="0"/>
        <w:jc w:val="left"/>
      </w:pPr>
      <w:r>
        <w:rPr>
          <w:b w:val="0"/>
          <w:bCs w:val="0"/>
          <w:color w:val="000000"/>
          <w:spacing w:val="0"/>
          <w:w w:val="100"/>
          <w:position w:val="0"/>
        </w:rPr>
        <w:t xml:space="preserve">本报告期是否发现采用追溯重述法的前期会计差错 </w:t>
      </w:r>
      <w:r>
        <w:rPr>
          <w:b w:val="0"/>
          <w:bCs w:val="0"/>
          <w:color w:val="000000"/>
          <w:spacing w:val="0"/>
          <w:w w:val="100"/>
          <w:position w:val="0"/>
        </w:rPr>
        <w:t>□</w:t>
      </w:r>
      <w:r>
        <w:rPr>
          <w:b w:val="0"/>
          <w:bCs w:val="0"/>
          <w:color w:val="000000"/>
          <w:spacing w:val="0"/>
          <w:w w:val="100"/>
          <w:position w:val="0"/>
        </w:rPr>
        <w:t>是V否</w:t>
      </w:r>
    </w:p>
    <w:p>
      <w:pPr>
        <w:pStyle w:val="Style44"/>
        <w:keepNext/>
        <w:keepLines/>
        <w:widowControl w:val="0"/>
        <w:numPr>
          <w:ilvl w:val="0"/>
          <w:numId w:val="55"/>
        </w:numPr>
        <w:shd w:val="clear" w:color="auto" w:fill="auto"/>
        <w:tabs>
          <w:tab w:pos="860" w:val="left"/>
        </w:tabs>
        <w:bidi w:val="0"/>
        <w:spacing w:before="0" w:after="260" w:line="427" w:lineRule="exact"/>
        <w:ind w:left="0" w:right="0" w:firstLine="420"/>
        <w:jc w:val="left"/>
      </w:pPr>
      <w:bookmarkStart w:id="902" w:name="bookmark902"/>
      <w:bookmarkStart w:id="903" w:name="bookmark903"/>
      <w:bookmarkStart w:id="904" w:name="bookmark904"/>
      <w:bookmarkStart w:id="905" w:name="bookmark905"/>
      <w:bookmarkEnd w:id="904"/>
      <w:r>
        <w:rPr>
          <w:color w:val="000000"/>
          <w:spacing w:val="0"/>
          <w:w w:val="100"/>
          <w:position w:val="0"/>
        </w:rPr>
        <w:t>未来适用法</w:t>
      </w:r>
      <w:bookmarkEnd w:id="902"/>
      <w:bookmarkEnd w:id="903"/>
      <w:bookmarkEnd w:id="905"/>
    </w:p>
    <w:p>
      <w:pPr>
        <w:pStyle w:val="Style54"/>
        <w:keepNext w:val="0"/>
        <w:keepLines w:val="0"/>
        <w:widowControl w:val="0"/>
        <w:shd w:val="clear" w:color="auto" w:fill="auto"/>
        <w:bidi w:val="0"/>
        <w:spacing w:before="0" w:after="380" w:line="432" w:lineRule="exact"/>
        <w:ind w:left="420" w:right="0" w:firstLine="0"/>
        <w:jc w:val="left"/>
      </w:pPr>
      <w:r>
        <w:rPr>
          <w:b w:val="0"/>
          <w:bCs w:val="0"/>
          <w:color w:val="000000"/>
          <w:spacing w:val="0"/>
          <w:w w:val="100"/>
          <w:position w:val="0"/>
        </w:rPr>
        <w:t xml:space="preserve">本报告期是否发现采用未来适用法的前期会计差错 </w:t>
      </w:r>
      <w:r>
        <w:rPr>
          <w:b w:val="0"/>
          <w:bCs w:val="0"/>
          <w:color w:val="000000"/>
          <w:spacing w:val="0"/>
          <w:w w:val="100"/>
          <w:position w:val="0"/>
        </w:rPr>
        <w:t>□</w:t>
      </w:r>
      <w:r>
        <w:rPr>
          <w:b w:val="0"/>
          <w:bCs w:val="0"/>
          <w:color w:val="000000"/>
          <w:spacing w:val="0"/>
          <w:w w:val="100"/>
          <w:position w:val="0"/>
        </w:rPr>
        <w:t>是V否</w:t>
      </w:r>
    </w:p>
    <w:p>
      <w:pPr>
        <w:pStyle w:val="Style31"/>
        <w:keepNext/>
        <w:keepLines/>
        <w:widowControl w:val="0"/>
        <w:shd w:val="clear" w:color="auto" w:fill="auto"/>
        <w:bidi w:val="0"/>
        <w:spacing w:before="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sz w:val="24"/>
          <w:szCs w:val="24"/>
        </w:rPr>
        <w:t>五</w:t>
      </w:r>
      <w:bookmarkEnd w:id="908"/>
      <w:r>
        <w:rPr>
          <w:color w:val="000000"/>
          <w:spacing w:val="0"/>
          <w:w w:val="100"/>
          <w:position w:val="0"/>
          <w:sz w:val="24"/>
          <w:szCs w:val="24"/>
        </w:rPr>
        <w:t>、税项</w:t>
      </w:r>
      <w:bookmarkEnd w:id="906"/>
      <w:bookmarkEnd w:id="907"/>
      <w:bookmarkEnd w:id="909"/>
    </w:p>
    <w:p>
      <w:pPr>
        <w:pStyle w:val="Style44"/>
        <w:keepNext/>
        <w:keepLines/>
        <w:widowControl w:val="0"/>
        <w:shd w:val="clear" w:color="auto" w:fill="auto"/>
        <w:bidi w:val="0"/>
        <w:spacing w:before="0" w:after="320" w:line="240" w:lineRule="auto"/>
        <w:ind w:left="0" w:right="0" w:firstLine="42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color w:val="000000"/>
          <w:spacing w:val="0"/>
          <w:w w:val="100"/>
          <w:position w:val="0"/>
        </w:rPr>
        <w:t>、公司主要税种和税率</w:t>
      </w:r>
      <w:bookmarkEnd w:id="910"/>
      <w:bookmarkEnd w:id="911"/>
      <w:bookmarkEnd w:id="913"/>
    </w:p>
    <w:tbl>
      <w:tblPr>
        <w:tblOverlap w:val="never"/>
        <w:jc w:val="center"/>
        <w:tblLayout w:type="fixed"/>
      </w:tblPr>
      <w:tblGrid>
        <w:gridCol w:w="3518"/>
        <w:gridCol w:w="3998"/>
        <w:gridCol w:w="20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按税法规定计算的销售货物和应税劳务收入为基 础计算销项税额，在扣除当期允许抵扣的进项税额 后，差额部分为应交增值税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按应税营业收入计征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按实际缴纳的营业税、增值税及消费税计征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按应税营业收入计征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广东</w:t>
            </w:r>
            <w:r>
              <w:rPr>
                <w:color w:val="000000"/>
                <w:spacing w:val="0"/>
                <w:w w:val="100"/>
                <w:position w:val="0"/>
              </w:rPr>
              <w:t>0.10%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广州广电运通金融电子股份有限公司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bl>
    <w:p>
      <w:pPr>
        <w:widowControl w:val="0"/>
        <w:spacing w:line="1" w:lineRule="exact"/>
      </w:pPr>
    </w:p>
    <w:tbl>
      <w:tblPr>
        <w:tblOverlap w:val="never"/>
        <w:jc w:val="center"/>
        <w:tblLayout w:type="fixed"/>
      </w:tblPr>
      <w:tblGrid>
        <w:gridCol w:w="3518"/>
        <w:gridCol w:w="3998"/>
        <w:gridCol w:w="2064"/>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赣州中联环保科技开发有限公司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赣州龙源环保产业经营管理有限公司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赣州中联电镀原料配送经营服务有限公司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天津市福龙源环保科技开发有限公司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深圳鹏通金融服务有限公司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江苏保通金融外包服务有限公司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石家庄市银通金融服务有限公司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上海欣辰通金融电子科技有限公司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GRGBanking Equipment(HK) Co.,Limited</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w:t>
            </w:r>
          </w:p>
        </w:tc>
      </w:tr>
    </w:tbl>
    <w:p>
      <w:pPr>
        <w:widowControl w:val="0"/>
        <w:spacing w:after="199" w:line="1" w:lineRule="exact"/>
      </w:pPr>
    </w:p>
    <w:p>
      <w:pPr>
        <w:pStyle w:val="Style44"/>
        <w:keepNext/>
        <w:keepLines/>
        <w:widowControl w:val="0"/>
        <w:shd w:val="clear" w:color="auto" w:fill="auto"/>
        <w:bidi w:val="0"/>
        <w:spacing w:before="0" w:after="320" w:line="388" w:lineRule="exact"/>
        <w:ind w:left="0" w:right="0" w:firstLine="440"/>
        <w:jc w:val="left"/>
      </w:pPr>
      <w:bookmarkStart w:id="914" w:name="bookmark914"/>
      <w:bookmarkStart w:id="915" w:name="bookmark915"/>
      <w:bookmarkStart w:id="916" w:name="bookmark916"/>
      <w:bookmarkStart w:id="917" w:name="bookmark917"/>
      <w:r>
        <w:rPr>
          <w:color w:val="000000"/>
          <w:spacing w:val="0"/>
          <w:w w:val="100"/>
          <w:position w:val="0"/>
        </w:rPr>
        <w:t>2</w:t>
      </w:r>
      <w:bookmarkEnd w:id="916"/>
      <w:r>
        <w:rPr>
          <w:color w:val="000000"/>
          <w:spacing w:val="0"/>
          <w:w w:val="100"/>
          <w:position w:val="0"/>
        </w:rPr>
        <w:t>、税收优惠及批文</w:t>
      </w:r>
      <w:bookmarkEnd w:id="914"/>
      <w:bookmarkEnd w:id="915"/>
      <w:bookmarkEnd w:id="917"/>
    </w:p>
    <w:p>
      <w:pPr>
        <w:pStyle w:val="Style44"/>
        <w:keepNext/>
        <w:keepLines/>
        <w:widowControl w:val="0"/>
        <w:numPr>
          <w:ilvl w:val="0"/>
          <w:numId w:val="57"/>
        </w:numPr>
        <w:shd w:val="clear" w:color="auto" w:fill="auto"/>
        <w:tabs>
          <w:tab w:pos="880" w:val="left"/>
        </w:tabs>
        <w:bidi w:val="0"/>
        <w:spacing w:before="0" w:after="0" w:line="388" w:lineRule="exact"/>
        <w:ind w:left="0" w:right="0" w:firstLine="440"/>
        <w:jc w:val="left"/>
      </w:pPr>
      <w:bookmarkStart w:id="914" w:name="bookmark914"/>
      <w:bookmarkStart w:id="915" w:name="bookmark915"/>
      <w:bookmarkStart w:id="918" w:name="bookmark918"/>
      <w:bookmarkStart w:id="919" w:name="bookmark919"/>
      <w:bookmarkEnd w:id="918"/>
      <w:r>
        <w:rPr>
          <w:color w:val="000000"/>
          <w:spacing w:val="0"/>
          <w:w w:val="100"/>
          <w:position w:val="0"/>
        </w:rPr>
        <w:t>增值税：</w:t>
      </w:r>
      <w:bookmarkEnd w:id="914"/>
      <w:bookmarkEnd w:id="915"/>
      <w:bookmarkEnd w:id="919"/>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根据“财税。号”文《关于软件产品增值税政策的通知》的规定，增值税一般纳税人销售其 自行开发生产的软件产品，按17%税率征收增值税后，对其增值税实际税负超过3%的部分实行即征即退政 策。</w:t>
      </w:r>
    </w:p>
    <w:p>
      <w:pPr>
        <w:pStyle w:val="Style54"/>
        <w:keepNext w:val="0"/>
        <w:keepLines w:val="0"/>
        <w:widowControl w:val="0"/>
        <w:numPr>
          <w:ilvl w:val="0"/>
          <w:numId w:val="57"/>
        </w:numPr>
        <w:shd w:val="clear" w:color="auto" w:fill="auto"/>
        <w:tabs>
          <w:tab w:pos="880" w:val="left"/>
        </w:tabs>
        <w:bidi w:val="0"/>
        <w:spacing w:before="0" w:after="0" w:line="388" w:lineRule="exact"/>
        <w:ind w:left="0" w:right="0" w:firstLine="440"/>
        <w:jc w:val="left"/>
      </w:pPr>
      <w:bookmarkStart w:id="920" w:name="bookmark920"/>
      <w:bookmarkEnd w:id="920"/>
      <w:r>
        <w:rPr>
          <w:color w:val="000000"/>
          <w:spacing w:val="0"/>
          <w:w w:val="100"/>
          <w:position w:val="0"/>
        </w:rPr>
        <w:t>企业所得税：</w:t>
      </w:r>
    </w:p>
    <w:p>
      <w:pPr>
        <w:pStyle w:val="Style54"/>
        <w:keepNext w:val="0"/>
        <w:keepLines w:val="0"/>
        <w:widowControl w:val="0"/>
        <w:numPr>
          <w:ilvl w:val="0"/>
          <w:numId w:val="59"/>
        </w:numPr>
        <w:shd w:val="clear" w:color="auto" w:fill="auto"/>
        <w:tabs>
          <w:tab w:pos="819" w:val="left"/>
        </w:tabs>
        <w:bidi w:val="0"/>
        <w:spacing w:before="0" w:after="0" w:line="388" w:lineRule="exact"/>
        <w:ind w:left="0" w:right="0" w:firstLine="440"/>
        <w:jc w:val="both"/>
      </w:pPr>
      <w:bookmarkStart w:id="921" w:name="bookmark921"/>
      <w:bookmarkEnd w:id="921"/>
      <w:r>
        <w:rPr>
          <w:b w:val="0"/>
          <w:bCs w:val="0"/>
          <w:color w:val="000000"/>
          <w:spacing w:val="0"/>
          <w:w w:val="100"/>
          <w:position w:val="0"/>
        </w:rPr>
        <w:t>广州广电运通金融电子股份有限公司于2013年12月取得中华人民共和国国家发展和改革委员会等 单位颁发的编号为</w:t>
      </w:r>
      <w:r>
        <w:rPr>
          <w:b w:val="0"/>
          <w:bCs w:val="0"/>
          <w:color w:val="000000"/>
          <w:spacing w:val="0"/>
          <w:w w:val="100"/>
          <w:position w:val="0"/>
        </w:rPr>
        <w:t>R-2013-100</w:t>
      </w:r>
      <w:r>
        <w:rPr>
          <w:b w:val="0"/>
          <w:bCs w:val="0"/>
          <w:color w:val="000000"/>
          <w:spacing w:val="0"/>
          <w:w w:val="100"/>
          <w:position w:val="0"/>
        </w:rPr>
        <w:t>号的《国家规划布局内重点软件企业证书》。2013年度至2014年度企业所得 税减按10%计缴。</w:t>
      </w:r>
    </w:p>
    <w:p>
      <w:pPr>
        <w:pStyle w:val="Style54"/>
        <w:keepNext w:val="0"/>
        <w:keepLines w:val="0"/>
        <w:widowControl w:val="0"/>
        <w:numPr>
          <w:ilvl w:val="0"/>
          <w:numId w:val="59"/>
        </w:numPr>
        <w:shd w:val="clear" w:color="auto" w:fill="auto"/>
        <w:tabs>
          <w:tab w:pos="805" w:val="left"/>
        </w:tabs>
        <w:bidi w:val="0"/>
        <w:spacing w:before="0" w:after="0" w:line="388" w:lineRule="exact"/>
        <w:ind w:left="0" w:right="0" w:firstLine="440"/>
        <w:jc w:val="both"/>
      </w:pPr>
      <w:bookmarkStart w:id="922" w:name="bookmark922"/>
      <w:bookmarkEnd w:id="922"/>
      <w:r>
        <w:rPr>
          <w:b w:val="0"/>
          <w:bCs w:val="0"/>
          <w:color w:val="000000"/>
          <w:spacing w:val="0"/>
          <w:w w:val="100"/>
          <w:position w:val="0"/>
        </w:rPr>
        <w:t>深圳广电银通金融电子科技有限公司于2012年9月12日取得深圳市科技创新委员会等单位颁发的编 号为</w:t>
      </w:r>
      <w:r>
        <w:rPr>
          <w:b w:val="0"/>
          <w:bCs w:val="0"/>
          <w:color w:val="000000"/>
          <w:spacing w:val="0"/>
          <w:w w:val="100"/>
          <w:position w:val="0"/>
        </w:rPr>
        <w:t>GF201244200134</w:t>
      </w:r>
      <w:r>
        <w:rPr>
          <w:b w:val="0"/>
          <w:bCs w:val="0"/>
          <w:color w:val="000000"/>
          <w:spacing w:val="0"/>
          <w:w w:val="100"/>
          <w:position w:val="0"/>
        </w:rPr>
        <w:t>号的《高新技术企业证书》。2012年度至2014年度企业所得税减按15%计缴。</w:t>
      </w:r>
    </w:p>
    <w:p>
      <w:pPr>
        <w:pStyle w:val="Style54"/>
        <w:keepNext w:val="0"/>
        <w:keepLines w:val="0"/>
        <w:widowControl w:val="0"/>
        <w:numPr>
          <w:ilvl w:val="0"/>
          <w:numId w:val="59"/>
        </w:numPr>
        <w:shd w:val="clear" w:color="auto" w:fill="auto"/>
        <w:tabs>
          <w:tab w:pos="814" w:val="left"/>
        </w:tabs>
        <w:bidi w:val="0"/>
        <w:spacing w:before="0" w:after="100" w:line="388" w:lineRule="exact"/>
        <w:ind w:left="0" w:right="0" w:firstLine="440"/>
        <w:jc w:val="both"/>
        <w:sectPr>
          <w:headerReference w:type="default" r:id="rId21"/>
          <w:footerReference w:type="default" r:id="rId22"/>
          <w:footnotePr>
            <w:pos w:val="pageBottom"/>
            <w:numFmt w:val="decimal"/>
            <w:numRestart w:val="continuous"/>
          </w:footnotePr>
          <w:pgSz w:w="11900" w:h="16840"/>
          <w:pgMar w:top="1311" w:right="1045" w:bottom="1460" w:left="1072" w:header="0" w:footer="3" w:gutter="0"/>
          <w:cols w:space="720"/>
          <w:noEndnote/>
          <w:rtlGutter w:val="0"/>
          <w:docGrid w:linePitch="360"/>
        </w:sectPr>
      </w:pPr>
      <w:bookmarkStart w:id="923" w:name="bookmark923"/>
      <w:bookmarkEnd w:id="923"/>
      <w:r>
        <w:rPr>
          <w:b w:val="0"/>
          <w:bCs w:val="0"/>
          <w:color w:val="000000"/>
          <w:spacing w:val="0"/>
          <w:w w:val="100"/>
          <w:position w:val="0"/>
        </w:rPr>
        <w:t>广州穗通金融服务有限公司于2011年取得编号为</w:t>
      </w:r>
      <w:r>
        <w:rPr>
          <w:b w:val="0"/>
          <w:bCs w:val="0"/>
          <w:color w:val="000000"/>
          <w:spacing w:val="0"/>
          <w:w w:val="100"/>
          <w:position w:val="0"/>
        </w:rPr>
        <w:t>GR201144000517</w:t>
      </w:r>
      <w:r>
        <w:rPr>
          <w:b w:val="0"/>
          <w:bCs w:val="0"/>
          <w:color w:val="000000"/>
          <w:spacing w:val="0"/>
          <w:w w:val="100"/>
          <w:position w:val="0"/>
        </w:rPr>
        <w:t>号的《高新技术企业证书》。2011 年度至2013年度企业所得税减按15%计缴。</w:t>
      </w:r>
    </w:p>
    <w:p>
      <w:pPr>
        <w:pStyle w:val="Style31"/>
        <w:keepNext/>
        <w:keepLines/>
        <w:widowControl w:val="0"/>
        <w:shd w:val="clear" w:color="auto" w:fill="auto"/>
        <w:bidi w:val="0"/>
        <w:spacing w:before="0" w:after="300" w:line="240" w:lineRule="auto"/>
        <w:ind w:left="0" w:right="0" w:firstLine="280"/>
        <w:jc w:val="left"/>
      </w:pPr>
      <w:bookmarkStart w:id="924" w:name="bookmark924"/>
      <w:bookmarkStart w:id="925" w:name="bookmark925"/>
      <w:bookmarkStart w:id="926" w:name="bookmark926"/>
      <w:bookmarkStart w:id="927" w:name="bookmark927"/>
      <w:r>
        <w:rPr>
          <w:color w:val="000000"/>
          <w:spacing w:val="0"/>
          <w:w w:val="100"/>
          <w:position w:val="0"/>
          <w:sz w:val="24"/>
          <w:szCs w:val="24"/>
        </w:rPr>
        <w:t>六</w:t>
      </w:r>
      <w:bookmarkEnd w:id="926"/>
      <w:r>
        <w:rPr>
          <w:color w:val="000000"/>
          <w:spacing w:val="0"/>
          <w:w w:val="100"/>
          <w:position w:val="0"/>
          <w:sz w:val="24"/>
          <w:szCs w:val="24"/>
        </w:rPr>
        <w:t>、企业合并及合并财务报表</w:t>
      </w:r>
      <w:bookmarkEnd w:id="924"/>
      <w:bookmarkEnd w:id="925"/>
      <w:bookmarkEnd w:id="927"/>
    </w:p>
    <w:p>
      <w:pPr>
        <w:pStyle w:val="Style31"/>
        <w:keepNext/>
        <w:keepLines/>
        <w:widowControl w:val="0"/>
        <w:shd w:val="clear" w:color="auto" w:fill="auto"/>
        <w:bidi w:val="0"/>
        <w:spacing w:before="0" w:after="300" w:line="240" w:lineRule="auto"/>
        <w:ind w:left="0" w:right="0" w:firstLine="700"/>
        <w:jc w:val="left"/>
      </w:pPr>
      <w:bookmarkStart w:id="924" w:name="bookmark924"/>
      <w:bookmarkStart w:id="925" w:name="bookmark925"/>
      <w:bookmarkStart w:id="928" w:name="bookmark92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、子公司情况</w:t>
      </w:r>
      <w:bookmarkEnd w:id="924"/>
      <w:bookmarkEnd w:id="925"/>
      <w:bookmarkEnd w:id="928"/>
    </w:p>
    <w:p>
      <w:pPr>
        <w:pStyle w:val="Style44"/>
        <w:keepNext/>
        <w:keepLines/>
        <w:widowControl w:val="0"/>
        <w:numPr>
          <w:ilvl w:val="0"/>
          <w:numId w:val="61"/>
        </w:numPr>
        <w:shd w:val="clear" w:color="auto" w:fill="auto"/>
        <w:bidi w:val="0"/>
        <w:spacing w:before="0" w:after="360" w:line="240" w:lineRule="auto"/>
        <w:ind w:left="0" w:right="0" w:firstLine="700"/>
        <w:jc w:val="left"/>
      </w:pPr>
      <w:bookmarkStart w:id="929" w:name="bookmark929"/>
      <w:bookmarkStart w:id="930" w:name="bookmark930"/>
      <w:bookmarkStart w:id="931" w:name="bookmark931"/>
      <w:bookmarkStart w:id="932" w:name="bookmark932"/>
      <w:bookmarkEnd w:id="931"/>
      <w:r>
        <w:rPr>
          <w:color w:val="000000"/>
          <w:spacing w:val="0"/>
          <w:w w:val="100"/>
          <w:position w:val="0"/>
        </w:rPr>
        <w:t>通过设立或投资等方式取得的子公司</w:t>
      </w:r>
      <w:bookmarkEnd w:id="929"/>
      <w:bookmarkEnd w:id="930"/>
      <w:bookmarkEnd w:id="932"/>
    </w:p>
    <w:p>
      <w:pPr>
        <w:pStyle w:val="Style33"/>
        <w:keepNext w:val="0"/>
        <w:keepLines w:val="0"/>
        <w:widowControl w:val="0"/>
        <w:shd w:val="clear" w:color="auto" w:fill="auto"/>
        <w:bidi w:val="0"/>
        <w:spacing w:before="0" w:after="0" w:line="240" w:lineRule="auto"/>
        <w:ind w:left="13421" w:right="0" w:firstLine="0"/>
        <w:jc w:val="left"/>
      </w:pPr>
      <w:r>
        <w:rPr>
          <w:color w:val="000000"/>
          <w:spacing w:val="0"/>
          <w:w w:val="100"/>
          <w:position w:val="0"/>
        </w:rPr>
        <w:t>单位：元</w:t>
      </w:r>
    </w:p>
    <w:tbl>
      <w:tblPr>
        <w:tblOverlap w:val="never"/>
        <w:jc w:val="center"/>
        <w:tblLayout w:type="fixed"/>
      </w:tblPr>
      <w:tblGrid>
        <w:gridCol w:w="974"/>
        <w:gridCol w:w="682"/>
        <w:gridCol w:w="686"/>
        <w:gridCol w:w="682"/>
        <w:gridCol w:w="1234"/>
        <w:gridCol w:w="3686"/>
        <w:gridCol w:w="1416"/>
        <w:gridCol w:w="710"/>
        <w:gridCol w:w="566"/>
        <w:gridCol w:w="566"/>
        <w:gridCol w:w="427"/>
        <w:gridCol w:w="1133"/>
        <w:gridCol w:w="710"/>
        <w:gridCol w:w="1286"/>
      </w:tblGrid>
      <w:tr>
        <w:trPr>
          <w:trHeight w:val="289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子公司全称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期末实际投资额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持股 比例 </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合并</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少数股东权 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从母公司所有 者权益冲减子 公司少数股东 分担的本期亏 损超过少数股 东在该子公司 年初所有者权 益中所享有份 额后的余额</w:t>
            </w:r>
          </w:p>
        </w:tc>
      </w:tr>
      <w:tr>
        <w:trPr>
          <w:trHeight w:val="10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广州穗通金 融服务有限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控股子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受银行委托对自动柜员机进行维护及管理，对 现金及有价证券提供清分处理服务等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31,791,618.09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深圳鹏通金 融服务有限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的控股 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提供对银行柜员机进行日常运行及管理服务， 现金及有价证券的清分处理服务等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2,746,487.79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江苏保通金 融外包服务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的全资 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提供对银行柜员机进行日常运行及管理服务， 现金及有价证券的清分处理服务等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石家庄市银 通金融服务 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的控股 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石家庄</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提供对银行柜员机进行日常运行及管理服务， 现金及有价证券的清分处理服务等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1,530,000.00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746,411.29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74"/>
        <w:gridCol w:w="682"/>
        <w:gridCol w:w="686"/>
        <w:gridCol w:w="682"/>
        <w:gridCol w:w="1234"/>
        <w:gridCol w:w="3686"/>
        <w:gridCol w:w="1416"/>
        <w:gridCol w:w="710"/>
        <w:gridCol w:w="566"/>
        <w:gridCol w:w="566"/>
        <w:gridCol w:w="427"/>
        <w:gridCol w:w="1133"/>
        <w:gridCol w:w="710"/>
        <w:gridCol w:w="1286"/>
      </w:tblGrid>
      <w:tr>
        <w:trPr>
          <w:trHeight w:val="199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广州广电银 通金融电子 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研发、生产经营金融电子设备；计算机软件开 发，计算机系统集成，计算机设备、金融电子 设备、办公设备、税控设备的技术开发、技术 咨询、技术服务及租赁；货物及技术进出口； 接受合法委托对现金及有价证券提供清分处理 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上海欣辰通</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金融电子科</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 的子公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金融电子设备的研究、开发、生产；计算机系 统集成技术服务（计算机信息系统集成除外）； 在计算机软硬件、金融电子设备、办公设备、 税控设备领域内的技术开发、技术咨询、技术 服务；金融电子设备租赁；从事货物及技术的 进出口业务；对自动柜员机进行日常维护管理 及数据处理；接收金融机构委托从事金融业务 流程外包服务（清机、清分、票据录入、数据 处理等银行后台业务）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广州支点创 业投资有限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创业投资服务；代理其他创业投资企业等机构 或个人的创业投资业务；创业投资咨询业务； 为创业企业提供创业管理服务业务；参与设立 创业投资企业与创业投资管理顾问机构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8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广州中智融 通金融科技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研究、生产、销售、租赁：金融电子设备、货 币类自助设备、税务应用设备、计算机软硬件, 及相关的技术开发、技术咨询和技术服务；计 算机系统集成开发、销售及技术服务；接受合 法委托对纸币清分机提供日常维护与管理服 务、对现金及有价证券提供清分处理服务（涉 及金融服务的项目除外）；货物及技术进出口</w:t>
            </w:r>
          </w:p>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（法律、行政法规禁止的除外；法律、行政法 规限制的须取得许可后方可经营）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受金融企业委托从事非金融外包业务。计算机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74"/>
        <w:gridCol w:w="682"/>
        <w:gridCol w:w="686"/>
        <w:gridCol w:w="682"/>
        <w:gridCol w:w="1234"/>
        <w:gridCol w:w="3686"/>
        <w:gridCol w:w="1416"/>
        <w:gridCol w:w="710"/>
        <w:gridCol w:w="566"/>
        <w:gridCol w:w="566"/>
        <w:gridCol w:w="427"/>
        <w:gridCol w:w="1133"/>
        <w:gridCol w:w="710"/>
        <w:gridCol w:w="1286"/>
      </w:tblGrid>
      <w:tr>
        <w:trPr>
          <w:trHeight w:val="13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通金融服务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软硬机的开发、设计、制作、销售及技术服务; 计算机系统集成；网络软件及其设备的销售、 租赁、管理、技术服务；设计、制作、代理、 发布：国内外各类广告。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广州广电运 通信息科技 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软件和 信息技 术服务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集成电路设计；数据处理和存储服务；信息技 术咨询服务；信息系统集成服务；软件开发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宜昌宜通金 融服务有限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全资子 公司的 控股子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接受金融机构委托从事清机加钞、清分整点、 现金调缴、票据录入、数据处理、安全监控金 融业务流程外包服务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1,456,269.36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60" w:lineRule="auto"/>
              <w:ind w:left="0" w:right="0" w:firstLine="0"/>
              <w:jc w:val="left"/>
            </w:pPr>
            <w:r>
              <w:rPr>
                <w:color w:val="000000"/>
                <w:spacing w:val="0"/>
                <w:w w:val="100"/>
                <w:position w:val="0"/>
              </w:rPr>
              <w:t>GRG</w:t>
            </w:r>
          </w:p>
          <w:p>
            <w:pPr>
              <w:pStyle w:val="Style28"/>
              <w:keepNext w:val="0"/>
              <w:keepLines w:val="0"/>
              <w:widowControl w:val="0"/>
              <w:shd w:val="clear" w:color="auto" w:fill="auto"/>
              <w:bidi w:val="0"/>
              <w:spacing w:before="0" w:after="0" w:line="360" w:lineRule="auto"/>
              <w:ind w:left="0" w:right="0" w:firstLine="0"/>
              <w:jc w:val="left"/>
            </w:pPr>
            <w:r>
              <w:rPr>
                <w:color w:val="000000"/>
                <w:spacing w:val="0"/>
                <w:w w:val="100"/>
                <w:position w:val="0"/>
              </w:rPr>
              <w:t>Banking Equipment (HK) Co.,Limited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3,000,000.00 </w:t>
            </w:r>
            <w:r>
              <w:rPr>
                <w:rFonts w:ascii="SimSun" w:eastAsia="SimSun" w:hAnsi="SimSun" w:cs="SimSun"/>
                <w:color w:val="000000"/>
                <w:spacing w:val="0"/>
                <w:w w:val="100"/>
                <w:position w:val="0"/>
              </w:rPr>
              <w:t>美</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投资控股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3,000,000.00 </w:t>
            </w: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Hongkong</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Mexico,</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SA DE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墨西哥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300,000.00 </w:t>
            </w:r>
            <w:r>
              <w:rPr>
                <w:rFonts w:ascii="SimSun" w:eastAsia="SimSun" w:hAnsi="SimSun" w:cs="SimSun"/>
                <w:color w:val="000000"/>
                <w:spacing w:val="0"/>
                <w:w w:val="100"/>
                <w:position w:val="0"/>
              </w:rPr>
              <w:t>比</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300,000.00 </w:t>
            </w:r>
            <w:r>
              <w:rPr>
                <w:rFonts w:ascii="SimSun" w:eastAsia="SimSun" w:hAnsi="SimSun" w:cs="SimSun"/>
                <w:color w:val="000000"/>
                <w:spacing w:val="0"/>
                <w:w w:val="100"/>
                <w:position w:val="0"/>
              </w:rPr>
              <w:t>比索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Global ATM</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Parts</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Co.,Limited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20,000.00 </w:t>
            </w: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专注开展</w:t>
            </w:r>
            <w:r>
              <w:rPr>
                <w:color w:val="000000"/>
                <w:spacing w:val="0"/>
                <w:w w:val="100"/>
                <w:position w:val="0"/>
              </w:rPr>
              <w:t>ATM</w:t>
            </w:r>
            <w:r>
              <w:rPr>
                <w:rFonts w:ascii="SimSun" w:eastAsia="SimSun" w:hAnsi="SimSun" w:cs="SimSun"/>
                <w:color w:val="000000"/>
                <w:spacing w:val="0"/>
                <w:w w:val="100"/>
                <w:position w:val="0"/>
              </w:rPr>
              <w:t>备件等服务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20,000.00 </w:t>
            </w: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0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Turkiye</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Bankacilik</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Ekipmanlari</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子公司 的子公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土耳其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20,000.00 </w:t>
            </w:r>
            <w:r>
              <w:rPr>
                <w:rFonts w:ascii="SimSun" w:eastAsia="SimSun" w:hAnsi="SimSun" w:cs="SimSun"/>
                <w:color w:val="000000"/>
                <w:spacing w:val="0"/>
                <w:w w:val="100"/>
                <w:position w:val="0"/>
              </w:rPr>
              <w:t>里拉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20,000.00 </w:t>
            </w:r>
            <w:r>
              <w:rPr>
                <w:rFonts w:ascii="SimSun" w:eastAsia="SimSun" w:hAnsi="SimSun" w:cs="SimSun"/>
                <w:color w:val="000000"/>
                <w:spacing w:val="0"/>
                <w:w w:val="100"/>
                <w:position w:val="0"/>
              </w:rPr>
              <w:t>里拉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74"/>
        <w:gridCol w:w="682"/>
        <w:gridCol w:w="686"/>
        <w:gridCol w:w="682"/>
        <w:gridCol w:w="1234"/>
        <w:gridCol w:w="3686"/>
        <w:gridCol w:w="1416"/>
        <w:gridCol w:w="710"/>
        <w:gridCol w:w="566"/>
        <w:gridCol w:w="566"/>
        <w:gridCol w:w="427"/>
        <w:gridCol w:w="1133"/>
        <w:gridCol w:w="710"/>
        <w:gridCol w:w="1286"/>
      </w:tblGrid>
      <w:tr>
        <w:trPr>
          <w:trHeight w:val="394"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GRG</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Banking</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Equipment(</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HK) Europe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 的子公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立陶宛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10,000.00 </w:t>
            </w:r>
            <w:r>
              <w:rPr>
                <w:rFonts w:ascii="SimSun" w:eastAsia="SimSun" w:hAnsi="SimSun" w:cs="SimSun"/>
                <w:color w:val="000000"/>
                <w:spacing w:val="0"/>
                <w:w w:val="100"/>
                <w:position w:val="0"/>
              </w:rPr>
              <w:t>立特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10,000.00 </w:t>
            </w:r>
            <w:r>
              <w:rPr>
                <w:rFonts w:ascii="SimSun" w:eastAsia="SimSun" w:hAnsi="SimSun" w:cs="SimSun"/>
                <w:color w:val="000000"/>
                <w:spacing w:val="0"/>
                <w:w w:val="100"/>
                <w:position w:val="0"/>
              </w:rPr>
              <w:t>立特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7"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GRG</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Deutschland</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GmbH</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子公司 的子公 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德国</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商业及</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50,000.00 </w:t>
            </w: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50,000.00 </w:t>
            </w: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44"/>
        <w:keepNext/>
        <w:keepLines/>
        <w:widowControl w:val="0"/>
        <w:numPr>
          <w:ilvl w:val="0"/>
          <w:numId w:val="61"/>
        </w:numPr>
        <w:shd w:val="clear" w:color="auto" w:fill="auto"/>
        <w:bidi w:val="0"/>
        <w:spacing w:before="0" w:after="380" w:line="240" w:lineRule="auto"/>
        <w:ind w:left="0" w:right="0" w:firstLine="700"/>
        <w:jc w:val="left"/>
      </w:pPr>
      <w:bookmarkStart w:id="933" w:name="bookmark933"/>
      <w:bookmarkStart w:id="934" w:name="bookmark934"/>
      <w:bookmarkStart w:id="935" w:name="bookmark935"/>
      <w:bookmarkStart w:id="936" w:name="bookmark936"/>
      <w:bookmarkEnd w:id="935"/>
      <w:r>
        <w:rPr>
          <w:color w:val="000000"/>
          <w:spacing w:val="0"/>
          <w:w w:val="100"/>
          <w:position w:val="0"/>
        </w:rPr>
        <w:t>非同一控制下企业合并取得的子公司</w:t>
      </w:r>
      <w:bookmarkEnd w:id="933"/>
      <w:bookmarkEnd w:id="934"/>
      <w:bookmarkEnd w:id="936"/>
    </w:p>
    <w:p>
      <w:pPr>
        <w:pStyle w:val="Style33"/>
        <w:keepNext w:val="0"/>
        <w:keepLines w:val="0"/>
        <w:widowControl w:val="0"/>
        <w:shd w:val="clear" w:color="auto" w:fill="auto"/>
        <w:bidi w:val="0"/>
        <w:spacing w:before="0" w:after="0" w:line="240" w:lineRule="auto"/>
        <w:ind w:left="13421" w:right="0" w:firstLine="0"/>
        <w:jc w:val="left"/>
      </w:pPr>
      <w:r>
        <w:rPr>
          <w:color w:val="000000"/>
          <w:spacing w:val="0"/>
          <w:w w:val="100"/>
          <w:position w:val="0"/>
        </w:rPr>
        <w:t>单位：元</w:t>
      </w:r>
    </w:p>
    <w:tbl>
      <w:tblPr>
        <w:tblOverlap w:val="never"/>
        <w:jc w:val="center"/>
        <w:tblLayout w:type="fixed"/>
      </w:tblPr>
      <w:tblGrid>
        <w:gridCol w:w="974"/>
        <w:gridCol w:w="682"/>
        <w:gridCol w:w="686"/>
        <w:gridCol w:w="682"/>
        <w:gridCol w:w="1094"/>
        <w:gridCol w:w="3826"/>
        <w:gridCol w:w="1416"/>
        <w:gridCol w:w="710"/>
        <w:gridCol w:w="566"/>
        <w:gridCol w:w="566"/>
        <w:gridCol w:w="427"/>
        <w:gridCol w:w="1133"/>
        <w:gridCol w:w="710"/>
        <w:gridCol w:w="1286"/>
      </w:tblGrid>
      <w:tr>
        <w:trPr>
          <w:trHeight w:val="290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子公司全称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经营范围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期末实际投资额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 xml:space="preserve">持股 比例 </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表决 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是否</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合并</w:t>
            </w:r>
          </w:p>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报表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少数股东权 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center"/>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从母公司所有 者权益冲减子 公司少数股东 分担的本期亏 损超过少数股 东在该子公司 年初所有者权 益中所享有份 额后的余额</w:t>
            </w:r>
          </w:p>
        </w:tc>
      </w:tr>
      <w:tr>
        <w:trPr>
          <w:trHeight w:val="16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深圳广电银 通金融电子 科技有限公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全资子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研发、生产经营金融电子设备；计算机软件开发, 计算机系统集成，计算机设备、金融电子设备、 办公设备、税控设备的技术开发、技术咨询、技 术服务及租赁；货物及技术进出口；接受合法委 托对现金及有价证券提供清分处理服务。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96,479,295.26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9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广州市龙源 环保科技有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控股子</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环保处 理、房 地产开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279,400,000.0</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环境污染防治设备、环境检测设备生产技术的研 究、开发；环保设备、水处理设备及配件的设计、 研究、开发、技术转让、技术服务；污水处理技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150,971,193.64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98,536,538.66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74"/>
        <w:gridCol w:w="682"/>
        <w:gridCol w:w="686"/>
        <w:gridCol w:w="682"/>
        <w:gridCol w:w="1094"/>
        <w:gridCol w:w="3826"/>
        <w:gridCol w:w="1416"/>
        <w:gridCol w:w="710"/>
        <w:gridCol w:w="566"/>
        <w:gridCol w:w="566"/>
        <w:gridCol w:w="427"/>
        <w:gridCol w:w="1133"/>
        <w:gridCol w:w="710"/>
        <w:gridCol w:w="1286"/>
      </w:tblGrid>
      <w:tr>
        <w:trPr>
          <w:trHeight w:val="13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术、节能技术推广；环保设备、管道设备（压力 管道除外）的安装；房地产开发、物业管理、场 地出租；销售：环境污染防治设备、环境监测设 备、环保设备、水处理设备及配件。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天津市福龙 源环保科技 开发有限公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控股子 公司的 全资子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节能减排环保技术、废水处理技术的研发；自有 房屋租赁、销售；水污染处理；电镀设备安装； 物业管理服务。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赣州中联环 保科技开发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控股子 公司的 全资子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节能减排环保技术、废水处理技术的研究开发； 环保电镀工业厂房开发投资及厂房租赁、销售等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赣州龙源环 保产业经营 管理有限公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控股子 公司的 全资子 公司的 全资子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工业厂房管理；工业厂房租售；废水处理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97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赣州中联电 镀原料配送 经营服务有 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控股子 公司的 全资子 公司的 全资子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环保业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电镀材料（不含危险化学品）储存</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headerReference w:type="default" r:id="rId23"/>
          <w:footerReference w:type="default" r:id="rId24"/>
          <w:footnotePr>
            <w:pos w:val="pageBottom"/>
            <w:numFmt w:val="decimal"/>
            <w:numRestart w:val="continuous"/>
          </w:footnotePr>
          <w:pgSz w:w="16840" w:h="11900" w:orient="landscape"/>
          <w:pgMar w:top="1108" w:right="932" w:bottom="1216" w:left="1148" w:header="0" w:footer="3" w:gutter="0"/>
          <w:cols w:space="720"/>
          <w:noEndnote/>
          <w:rtlGutter w:val="0"/>
          <w:docGrid w:linePitch="360"/>
        </w:sectPr>
      </w:pPr>
    </w:p>
    <w:p>
      <w:pPr>
        <w:pStyle w:val="Style54"/>
        <w:keepNext w:val="0"/>
        <w:keepLines w:val="0"/>
        <w:widowControl w:val="0"/>
        <w:shd w:val="clear" w:color="auto" w:fill="auto"/>
        <w:bidi w:val="0"/>
        <w:spacing w:before="0" w:after="280" w:line="388" w:lineRule="exact"/>
        <w:ind w:left="0" w:right="0" w:firstLine="440"/>
        <w:jc w:val="left"/>
      </w:pPr>
      <w:r>
        <w:rPr>
          <w:color w:val="000000"/>
          <w:spacing w:val="0"/>
          <w:w w:val="100"/>
          <w:position w:val="0"/>
        </w:rPr>
        <w:t>2、合并范围发生变更的说明</w:t>
      </w:r>
    </w:p>
    <w:p>
      <w:pPr>
        <w:pStyle w:val="Style54"/>
        <w:keepNext w:val="0"/>
        <w:keepLines w:val="0"/>
        <w:widowControl w:val="0"/>
        <w:shd w:val="clear" w:color="auto" w:fill="auto"/>
        <w:bidi w:val="0"/>
        <w:spacing w:before="0" w:after="0" w:line="391" w:lineRule="exact"/>
        <w:ind w:left="0" w:right="0" w:firstLine="440"/>
        <w:jc w:val="left"/>
      </w:pPr>
      <w:r>
        <w:rPr>
          <w:b w:val="0"/>
          <w:bCs w:val="0"/>
          <w:color w:val="000000"/>
          <w:spacing w:val="0"/>
          <w:w w:val="100"/>
          <w:position w:val="0"/>
        </w:rPr>
        <w:t>与上期相比本期新增合并单位9家，原因为：本期新设立两家子公司，两家子公司的子公司，控股一 家子公司，相应控股四家子公司的子公司。</w:t>
      </w:r>
    </w:p>
    <w:p>
      <w:pPr>
        <w:pStyle w:val="Style54"/>
        <w:keepNext w:val="0"/>
        <w:keepLines w:val="0"/>
        <w:widowControl w:val="0"/>
        <w:shd w:val="clear" w:color="auto" w:fill="auto"/>
        <w:bidi w:val="0"/>
        <w:spacing w:before="0" w:after="0" w:line="391" w:lineRule="exact"/>
        <w:ind w:left="0" w:right="0" w:firstLine="440"/>
        <w:jc w:val="left"/>
      </w:pPr>
      <w:r>
        <w:rPr>
          <w:color w:val="000000"/>
          <w:spacing w:val="0"/>
          <w:w w:val="100"/>
          <w:position w:val="0"/>
        </w:rPr>
        <w:t>⑴广州广电汇通金融服务有限公司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广州广电汇通金融服务有限公司成立于2013年5月2日，注册资本及投资总额为人民币10,000万元，由 本公司全额出资人民币10,000万元，占股比100%。注册地址为广州市萝岗区科学城科林路9号。取得广州 市工商行政管理局签发注册号为440101000231409的企业法人营业执照，经营范围为：受金融企业委托从 事非金融外包业务。计算机软硬机的开发、设计、制作、销售及技术服务；计算机系统集成；网络软件及 其设备的销售、租赁、管理、技术服务；设计、制作、代理、发布：国内外各类广告。目前，本公司实际 出资10,000万元，公司已于2013年5月正式营运。</w:t>
      </w:r>
    </w:p>
    <w:p>
      <w:pPr>
        <w:pStyle w:val="Style54"/>
        <w:keepNext w:val="0"/>
        <w:keepLines w:val="0"/>
        <w:widowControl w:val="0"/>
        <w:shd w:val="clear" w:color="auto" w:fill="auto"/>
        <w:bidi w:val="0"/>
        <w:spacing w:before="0" w:after="0" w:line="391" w:lineRule="exact"/>
        <w:ind w:left="0" w:right="0" w:firstLine="440"/>
        <w:jc w:val="both"/>
      </w:pPr>
      <w:bookmarkStart w:id="937" w:name="bookmark937"/>
      <w:r>
        <w:rPr>
          <w:color w:val="000000"/>
          <w:spacing w:val="0"/>
          <w:w w:val="100"/>
          <w:position w:val="0"/>
        </w:rPr>
        <w:t>（</w:t>
      </w:r>
      <w:bookmarkEnd w:id="937"/>
      <w:r>
        <w:rPr>
          <w:color w:val="000000"/>
          <w:spacing w:val="0"/>
          <w:w w:val="100"/>
          <w:position w:val="0"/>
        </w:rPr>
        <w:t>2）广州广电运通信息科技有限公司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广州广电运通信息科技有限公司成立于2013年11月18日，注册资本及投资总额为人民币1,000万元， 由本公司全额出资人民币1,000万元，占股比100%。注册地址为广州高新技术产业开发区科学城科林路9号 研究院办公楼。取得广州市工商行政管理局经济技术开发区分局签发注册号为440108000079410的企业法 人营业执照，经营范围为：集成电路设计；数据处理和存储服务；信息技术咨询服务；信息系统集成服务; 软件开发。目前，本公司实际出资1,000万元，公司已于2013年11月正式营运。</w:t>
      </w:r>
    </w:p>
    <w:p>
      <w:pPr>
        <w:pStyle w:val="Style54"/>
        <w:keepNext w:val="0"/>
        <w:keepLines w:val="0"/>
        <w:widowControl w:val="0"/>
        <w:shd w:val="clear" w:color="auto" w:fill="auto"/>
        <w:bidi w:val="0"/>
        <w:spacing w:before="0" w:after="0" w:line="388" w:lineRule="exact"/>
        <w:ind w:left="0" w:right="0" w:firstLine="440"/>
        <w:jc w:val="both"/>
      </w:pPr>
      <w:r>
        <w:rPr>
          <w:color w:val="000000"/>
          <w:spacing w:val="0"/>
          <w:w w:val="100"/>
          <w:position w:val="0"/>
        </w:rPr>
        <w:t>⑶广州市龙源环保科技有限公司</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广州市龙源环保科技有限公司是（以下简称“龙源环保”）由李海花、秦婵、丘山和丘星初共同出资 组建，于2006年5月12日获准成立。注册资本人民币30万元。</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 xml:space="preserve">其后，龙源环保股权经过多次变更，在2011年11月本公司参股前，其注册资本为人民币11,140万元。 各股东的持股比例为：张伟询出资6, </w:t>
      </w:r>
      <w:r>
        <w:rPr>
          <w:b w:val="0"/>
          <w:bCs w:val="0"/>
          <w:color w:val="000000"/>
          <w:spacing w:val="0"/>
          <w:w w:val="100"/>
          <w:position w:val="0"/>
        </w:rPr>
        <w:t xml:space="preserve">600. </w:t>
      </w:r>
      <w:r>
        <w:rPr>
          <w:b w:val="0"/>
          <w:bCs w:val="0"/>
          <w:color w:val="000000"/>
          <w:spacing w:val="0"/>
          <w:w w:val="100"/>
          <w:position w:val="0"/>
        </w:rPr>
        <w:t>45万元，占注册资本的59.25%；方容波出资</w:t>
      </w:r>
      <w:r>
        <w:rPr>
          <w:b w:val="0"/>
          <w:bCs w:val="0"/>
          <w:color w:val="000000"/>
          <w:spacing w:val="0"/>
          <w:w w:val="100"/>
          <w:position w:val="0"/>
        </w:rPr>
        <w:t>1,810.25</w:t>
      </w:r>
      <w:r>
        <w:rPr>
          <w:b w:val="0"/>
          <w:bCs w:val="0"/>
          <w:color w:val="000000"/>
          <w:spacing w:val="0"/>
          <w:w w:val="100"/>
          <w:position w:val="0"/>
        </w:rPr>
        <w:t>万元，占 注册资本的16.25%；江健辉出资</w:t>
      </w:r>
      <w:r>
        <w:rPr>
          <w:b w:val="0"/>
          <w:bCs w:val="0"/>
          <w:color w:val="000000"/>
          <w:spacing w:val="0"/>
          <w:w w:val="100"/>
          <w:position w:val="0"/>
        </w:rPr>
        <w:t>1,810.25</w:t>
      </w:r>
      <w:r>
        <w:rPr>
          <w:b w:val="0"/>
          <w:bCs w:val="0"/>
          <w:color w:val="000000"/>
          <w:spacing w:val="0"/>
          <w:w w:val="100"/>
          <w:position w:val="0"/>
        </w:rPr>
        <w:t>万元，占注册资本的16.25%；谢志耀出资</w:t>
      </w:r>
      <w:r>
        <w:rPr>
          <w:b w:val="0"/>
          <w:bCs w:val="0"/>
          <w:color w:val="000000"/>
          <w:spacing w:val="0"/>
          <w:w w:val="100"/>
          <w:position w:val="0"/>
        </w:rPr>
        <w:t>919.05</w:t>
      </w:r>
      <w:r>
        <w:rPr>
          <w:b w:val="0"/>
          <w:bCs w:val="0"/>
          <w:color w:val="000000"/>
          <w:spacing w:val="0"/>
          <w:w w:val="100"/>
          <w:position w:val="0"/>
        </w:rPr>
        <w:t>万元，占注册 资本的8.25%。</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 xml:space="preserve">2011年11月，本公司与龙源环保原股东签订《广州市龙源环保科技有限公司投资协议》，本公司参股 投资龙源环保，由本公司向龙源环保投资人民币168,000,000元，其中认缴龙源环保注册资本 </w:t>
      </w:r>
      <w:r>
        <w:rPr>
          <w:b w:val="0"/>
          <w:bCs w:val="0"/>
          <w:color w:val="000000"/>
          <w:spacing w:val="0"/>
          <w:w w:val="100"/>
          <w:position w:val="0"/>
        </w:rPr>
        <w:t>107,031,373.00</w:t>
      </w:r>
      <w:r>
        <w:rPr>
          <w:b w:val="0"/>
          <w:bCs w:val="0"/>
          <w:color w:val="000000"/>
          <w:spacing w:val="0"/>
          <w:w w:val="100"/>
          <w:position w:val="0"/>
        </w:rPr>
        <w:t>元，占龙源环保49%的股权，溢价部分</w:t>
      </w:r>
      <w:r>
        <w:rPr>
          <w:b w:val="0"/>
          <w:bCs w:val="0"/>
          <w:color w:val="000000"/>
          <w:spacing w:val="0"/>
          <w:w w:val="100"/>
          <w:position w:val="0"/>
        </w:rPr>
        <w:t>60,968,627.00</w:t>
      </w:r>
      <w:r>
        <w:rPr>
          <w:b w:val="0"/>
          <w:bCs w:val="0"/>
          <w:color w:val="000000"/>
          <w:spacing w:val="0"/>
          <w:w w:val="100"/>
          <w:position w:val="0"/>
        </w:rPr>
        <w:t>元计入龙源环保资本公积金。</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本公司增资入股龙源环保时，经审计龙源环保的净资产为</w:t>
      </w:r>
      <w:r>
        <w:rPr>
          <w:b w:val="0"/>
          <w:bCs w:val="0"/>
          <w:color w:val="000000"/>
          <w:spacing w:val="0"/>
          <w:w w:val="100"/>
          <w:position w:val="0"/>
        </w:rPr>
        <w:t>107,343,937.4</w:t>
      </w:r>
      <w:r>
        <w:rPr>
          <w:b w:val="0"/>
          <w:bCs w:val="0"/>
          <w:color w:val="000000"/>
          <w:spacing w:val="0"/>
          <w:w w:val="100"/>
          <w:position w:val="0"/>
        </w:rPr>
        <w:t>2元，在以龙源环保原股东承 诺“赣州市水西稀土深加工表面精饰产业集控区项目、赣州市水西电镀产业园电镀原料仓储及配送经营项 目目前的设施和设备已达到设计标准日污水处理量4800吨电镀污水的要求，污水处理系统正常运营”等为 估值前提的情况下，龙源环保的净资产评估价值为</w:t>
      </w:r>
      <w:r>
        <w:rPr>
          <w:b w:val="0"/>
          <w:bCs w:val="0"/>
          <w:color w:val="000000"/>
          <w:spacing w:val="0"/>
          <w:w w:val="100"/>
          <w:position w:val="0"/>
        </w:rPr>
        <w:t>175,278,052.58</w:t>
      </w:r>
      <w:r>
        <w:rPr>
          <w:b w:val="0"/>
          <w:bCs w:val="0"/>
          <w:color w:val="000000"/>
          <w:spacing w:val="0"/>
          <w:w w:val="100"/>
          <w:position w:val="0"/>
        </w:rPr>
        <w:t xml:space="preserve">元（溢价67, 934, </w:t>
      </w:r>
      <w:r>
        <w:rPr>
          <w:b w:val="0"/>
          <w:bCs w:val="0"/>
          <w:color w:val="000000"/>
          <w:spacing w:val="0"/>
          <w:w w:val="100"/>
          <w:position w:val="0"/>
        </w:rPr>
        <w:t xml:space="preserve">115. </w:t>
      </w:r>
      <w:r>
        <w:rPr>
          <w:b w:val="0"/>
          <w:bCs w:val="0"/>
          <w:color w:val="000000"/>
          <w:spacing w:val="0"/>
          <w:w w:val="100"/>
          <w:position w:val="0"/>
        </w:rPr>
        <w:t>16元）。但原股 东承诺的估值前提至今均未达成，资产评估溢价的基础不存在，造成本公司投入的资金与所持的股权比例 不匹配。</w:t>
      </w:r>
    </w:p>
    <w:p>
      <w:pPr>
        <w:pStyle w:val="Style54"/>
        <w:keepNext w:val="0"/>
        <w:keepLines w:val="0"/>
        <w:widowControl w:val="0"/>
        <w:shd w:val="clear" w:color="auto" w:fill="auto"/>
        <w:bidi w:val="0"/>
        <w:spacing w:before="0" w:after="0" w:line="388" w:lineRule="exact"/>
        <w:ind w:left="0" w:right="0" w:firstLine="440"/>
        <w:jc w:val="both"/>
      </w:pPr>
      <w:r>
        <w:rPr>
          <w:b w:val="0"/>
          <w:bCs w:val="0"/>
          <w:color w:val="000000"/>
          <w:spacing w:val="0"/>
          <w:w w:val="100"/>
          <w:position w:val="0"/>
        </w:rPr>
        <w:t xml:space="preserve">为解决各股东投入和所持股权不对等的矛盾，理顺龙源环保的股权关系，促进龙源环保的健康发展， 各股东经友好协商，一致同意将龙源环保的资本公积60, 968, </w:t>
      </w:r>
      <w:r>
        <w:rPr>
          <w:b w:val="0"/>
          <w:bCs w:val="0"/>
          <w:color w:val="000000"/>
          <w:spacing w:val="0"/>
          <w:w w:val="100"/>
          <w:position w:val="0"/>
        </w:rPr>
        <w:t xml:space="preserve">627. </w:t>
      </w:r>
      <w:r>
        <w:rPr>
          <w:b w:val="0"/>
          <w:bCs w:val="0"/>
          <w:color w:val="000000"/>
          <w:spacing w:val="0"/>
          <w:w w:val="100"/>
          <w:position w:val="0"/>
        </w:rPr>
        <w:t xml:space="preserve">00元全部转为本公司增加投入的注册资 本。完成本次资本公积金转增资本后，龙源环保的注册资本总额由218, 431, </w:t>
      </w:r>
      <w:r>
        <w:rPr>
          <w:b w:val="0"/>
          <w:bCs w:val="0"/>
          <w:color w:val="000000"/>
          <w:spacing w:val="0"/>
          <w:w w:val="100"/>
          <w:position w:val="0"/>
        </w:rPr>
        <w:t xml:space="preserve">373. </w:t>
      </w:r>
      <w:r>
        <w:rPr>
          <w:b w:val="0"/>
          <w:bCs w:val="0"/>
          <w:color w:val="000000"/>
          <w:spacing w:val="0"/>
          <w:w w:val="100"/>
          <w:position w:val="0"/>
        </w:rPr>
        <w:t xml:space="preserve">00元增加到 </w:t>
      </w:r>
      <w:r>
        <w:rPr>
          <w:b w:val="0"/>
          <w:bCs w:val="0"/>
          <w:color w:val="000000"/>
          <w:spacing w:val="0"/>
          <w:w w:val="100"/>
          <w:position w:val="0"/>
        </w:rPr>
        <w:t>279,400,000.00</w:t>
      </w:r>
      <w:r>
        <w:rPr>
          <w:b w:val="0"/>
          <w:bCs w:val="0"/>
          <w:color w:val="000000"/>
          <w:spacing w:val="0"/>
          <w:w w:val="100"/>
          <w:position w:val="0"/>
        </w:rPr>
        <w:t>元；本公司持有的龙源环保注册资本金额由</w:t>
      </w:r>
      <w:r>
        <w:rPr>
          <w:b w:val="0"/>
          <w:bCs w:val="0"/>
          <w:color w:val="000000"/>
          <w:spacing w:val="0"/>
          <w:w w:val="100"/>
          <w:position w:val="0"/>
        </w:rPr>
        <w:t>107,031,373.00</w:t>
      </w:r>
      <w:r>
        <w:rPr>
          <w:b w:val="0"/>
          <w:bCs w:val="0"/>
          <w:color w:val="000000"/>
          <w:spacing w:val="0"/>
          <w:w w:val="100"/>
          <w:position w:val="0"/>
        </w:rPr>
        <w:t>元增加到</w:t>
      </w:r>
      <w:r>
        <w:rPr>
          <w:b w:val="0"/>
          <w:bCs w:val="0"/>
          <w:color w:val="000000"/>
          <w:spacing w:val="0"/>
          <w:w w:val="100"/>
          <w:position w:val="0"/>
        </w:rPr>
        <w:t xml:space="preserve">168,000,000. </w:t>
      </w:r>
      <w:r>
        <w:rPr>
          <w:b w:val="0"/>
          <w:bCs w:val="0"/>
          <w:color w:val="000000"/>
          <w:spacing w:val="0"/>
          <w:w w:val="100"/>
          <w:position w:val="0"/>
        </w:rPr>
        <w:t>00元， 持股比例由原49%增加到60.1%；原股东张伟询、方容波、江健辉、谢志耀四个自然人合计持有的注册资本 金额不变，为</w:t>
      </w:r>
      <w:r>
        <w:rPr>
          <w:b w:val="0"/>
          <w:bCs w:val="0"/>
          <w:color w:val="000000"/>
          <w:spacing w:val="0"/>
          <w:w w:val="100"/>
          <w:position w:val="0"/>
        </w:rPr>
        <w:t>111,400,000.00</w:t>
      </w:r>
      <w:r>
        <w:rPr>
          <w:b w:val="0"/>
          <w:bCs w:val="0"/>
          <w:color w:val="000000"/>
          <w:spacing w:val="0"/>
          <w:w w:val="100"/>
          <w:position w:val="0"/>
        </w:rPr>
        <w:t>元，持股比例由原51%变为39.9% (张伟询、方容波、江健辉、谢志耀为一致 行动人)。</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本次变更后，龙源环保由本公司的参股公司变为本公司的控股子公司，本公司于2013年8月31日将龙 源环保纳入公司合并报表范围。</w:t>
      </w:r>
    </w:p>
    <w:p>
      <w:pPr>
        <w:pStyle w:val="Style5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⑷赣州中联环保科技开发有限公司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赣州中联环保科技开发有限公司是广州南雅集团有限公司出资组建，于2008年4月18日获准成立。注 册资本人民币150万元。其后经多次股权变更，目前注册资本人民币1,000万元。股东的持股比例为：广州 市龙源环保科技有限公司出资1,000万元，占注册资本100%。本公司于2013年8月31日将龙源环保纳入公司 合并报表范围，相应的也将赣州中联环保科技开发有限公司纳入公司合并报表范围。</w:t>
      </w:r>
    </w:p>
    <w:p>
      <w:pPr>
        <w:pStyle w:val="Style5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(5 )赣州龙源环保产业经营管理有限公司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赣州龙源环保产业经营管理有限公司是赣州中联环保科技开发有限公司出资组建，于2009年6月3日获 准成立。注册资本人民币50万元，其中赣州中联环保科技开发有限公司出资50万元人民币，占注册资本 100%。本公司于2013年8月31日将赣州中联环保科技开发有限公司纳入公司合并报表范围，相应的也将赣 州龙源环保产业经营管理有限公司纳入公司合并报表范围。</w:t>
      </w:r>
    </w:p>
    <w:p>
      <w:pPr>
        <w:pStyle w:val="Style5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(6 )赣州中联电镀原料配送经营服务有限公司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赣州中联电镀原料配送经营服务有限公司是赣州中联环保科技开发有限公司出资组建，于2009年9月 22日获准成立。注册资本人民币100万元，其中赣州中联环保科技开发有限公司出资100万元人民币，占注 册资本100%。本公司于2013年8月31日将赣州中联环保科技开发有限公司纳入公司合并报表范围，相应的 也将赣州中联电镀原料配送经营服务有限公司纳入公司合并报表范围。</w:t>
      </w:r>
    </w:p>
    <w:p>
      <w:pPr>
        <w:pStyle w:val="Style54"/>
        <w:keepNext w:val="0"/>
        <w:keepLines w:val="0"/>
        <w:widowControl w:val="0"/>
        <w:shd w:val="clear" w:color="auto" w:fill="auto"/>
        <w:bidi w:val="0"/>
        <w:spacing w:before="0" w:after="0" w:line="391" w:lineRule="exact"/>
        <w:ind w:left="0" w:right="0" w:firstLine="440"/>
        <w:jc w:val="both"/>
      </w:pPr>
      <w:r>
        <w:rPr>
          <w:color w:val="000000"/>
          <w:spacing w:val="0"/>
          <w:w w:val="100"/>
          <w:position w:val="0"/>
        </w:rPr>
        <w:t>(7 )天津市福龙源环保科技开发有限公司</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天津市福龙源环保科技开发有限公司由广州市龙源环保科技有限公司出资组建，于2010年5月14日批 准成立。注册资本：1,500万元人民币，其中广州市龙源环保科技有限公司出资1,500万元人民币，持股比 例为100%。本公司于2013年8月31日将龙源环保纳入公司合并报表范围，相应的也将天津市福龙源环保科 技开发有限公司纳入公司合并报表范围。</w:t>
      </w:r>
    </w:p>
    <w:p>
      <w:pPr>
        <w:pStyle w:val="Style54"/>
        <w:keepNext w:val="0"/>
        <w:keepLines w:val="0"/>
        <w:widowControl w:val="0"/>
        <w:numPr>
          <w:ilvl w:val="0"/>
          <w:numId w:val="63"/>
        </w:numPr>
        <w:shd w:val="clear" w:color="auto" w:fill="auto"/>
        <w:tabs>
          <w:tab w:pos="829" w:val="left"/>
        </w:tabs>
        <w:bidi w:val="0"/>
        <w:spacing w:before="0" w:after="0" w:line="391" w:lineRule="exact"/>
        <w:ind w:left="0" w:right="0" w:firstLine="440"/>
        <w:jc w:val="both"/>
      </w:pPr>
      <w:bookmarkStart w:id="938" w:name="bookmark938"/>
      <w:bookmarkEnd w:id="938"/>
      <w:r>
        <w:rPr>
          <w:color w:val="000000"/>
          <w:spacing w:val="0"/>
          <w:w w:val="100"/>
          <w:position w:val="0"/>
        </w:rPr>
        <w:t>宜昌宜通金融服务有限公司</w:t>
      </w:r>
    </w:p>
    <w:p>
      <w:pPr>
        <w:pStyle w:val="Style54"/>
        <w:keepNext w:val="0"/>
        <w:keepLines w:val="0"/>
        <w:widowControl w:val="0"/>
        <w:shd w:val="clear" w:color="auto" w:fill="auto"/>
        <w:bidi w:val="0"/>
        <w:spacing w:before="0" w:after="140" w:line="391" w:lineRule="exact"/>
        <w:ind w:left="0" w:right="0" w:firstLine="440"/>
        <w:jc w:val="both"/>
      </w:pPr>
      <w:r>
        <w:rPr>
          <w:b w:val="0"/>
          <w:bCs w:val="0"/>
          <w:color w:val="000000"/>
          <w:spacing w:val="0"/>
          <w:w w:val="100"/>
          <w:position w:val="0"/>
        </w:rPr>
        <w:t>宜昌宜通金融服务有限公司成立于2013年8月7日，注册资本及投资总额为人民币300万元。其中本公 司的全资子公司深圳广电银通金融电子科技有限公司出资人民币153万元，占股比51%。注册地址为宜昌 市伍家岗区沿江大道218号江山多娇三期9-1-401。取得宜昌市工商行政管理局签发注册号为 4205000000181632的企业法人营业执照，经营范围为：接受金融机构委托从事清机加钞、清分整点、现金 调缴、票据录入、数据处理、安全监控金融业务流程外包服务。目前，深圳广电银通金融电子科技有限公 司实际出资153万元，公司已于2013年8月正式营运。</w:t>
      </w:r>
    </w:p>
    <w:p>
      <w:pPr>
        <w:pStyle w:val="Style54"/>
        <w:keepNext w:val="0"/>
        <w:keepLines w:val="0"/>
        <w:widowControl w:val="0"/>
        <w:numPr>
          <w:ilvl w:val="0"/>
          <w:numId w:val="63"/>
        </w:numPr>
        <w:shd w:val="clear" w:color="auto" w:fill="auto"/>
        <w:tabs>
          <w:tab w:pos="829" w:val="left"/>
        </w:tabs>
        <w:bidi w:val="0"/>
        <w:spacing w:before="0" w:after="0" w:line="240" w:lineRule="auto"/>
        <w:ind w:left="0" w:right="0" w:firstLine="440"/>
        <w:jc w:val="both"/>
      </w:pPr>
      <w:bookmarkStart w:id="939" w:name="bookmark939"/>
      <w:bookmarkEnd w:id="939"/>
      <w:r>
        <w:rPr>
          <w:color w:val="000000"/>
          <w:spacing w:val="0"/>
          <w:w w:val="100"/>
          <w:position w:val="0"/>
        </w:rPr>
        <w:t>GRG Deutschland GmbH</w:t>
      </w:r>
    </w:p>
    <w:p>
      <w:pPr>
        <w:pStyle w:val="Style54"/>
        <w:keepNext w:val="0"/>
        <w:keepLines w:val="0"/>
        <w:widowControl w:val="0"/>
        <w:shd w:val="clear" w:color="auto" w:fill="auto"/>
        <w:bidi w:val="0"/>
        <w:spacing w:before="0" w:after="80" w:line="391" w:lineRule="exact"/>
        <w:ind w:left="0" w:right="0" w:firstLine="440"/>
        <w:jc w:val="both"/>
      </w:pPr>
      <w:r>
        <w:rPr>
          <w:b w:val="0"/>
          <w:bCs w:val="0"/>
          <w:color w:val="000000"/>
          <w:spacing w:val="0"/>
          <w:w w:val="100"/>
          <w:position w:val="0"/>
        </w:rPr>
        <w:t>GRG Deutschland GmbH</w:t>
      </w:r>
      <w:r>
        <w:rPr>
          <w:b w:val="0"/>
          <w:bCs w:val="0"/>
          <w:color w:val="000000"/>
          <w:spacing w:val="0"/>
          <w:w w:val="100"/>
          <w:position w:val="0"/>
        </w:rPr>
        <w:t>成立于</w:t>
      </w:r>
      <w:r>
        <w:rPr>
          <w:b w:val="0"/>
          <w:bCs w:val="0"/>
          <w:color w:val="000000"/>
          <w:spacing w:val="0"/>
          <w:w w:val="100"/>
          <w:position w:val="0"/>
        </w:rPr>
        <w:t>2013</w:t>
      </w:r>
      <w:r>
        <w:rPr>
          <w:b w:val="0"/>
          <w:bCs w:val="0"/>
          <w:color w:val="000000"/>
          <w:spacing w:val="0"/>
          <w:w w:val="100"/>
          <w:position w:val="0"/>
        </w:rPr>
        <w:t>年</w:t>
      </w:r>
      <w:r>
        <w:rPr>
          <w:b w:val="0"/>
          <w:bCs w:val="0"/>
          <w:color w:val="000000"/>
          <w:spacing w:val="0"/>
          <w:w w:val="100"/>
          <w:position w:val="0"/>
        </w:rPr>
        <w:t>11</w:t>
      </w:r>
      <w:r>
        <w:rPr>
          <w:b w:val="0"/>
          <w:bCs w:val="0"/>
          <w:color w:val="000000"/>
          <w:spacing w:val="0"/>
          <w:w w:val="100"/>
          <w:position w:val="0"/>
        </w:rPr>
        <w:t>月</w:t>
      </w:r>
      <w:r>
        <w:rPr>
          <w:b w:val="0"/>
          <w:bCs w:val="0"/>
          <w:color w:val="000000"/>
          <w:spacing w:val="0"/>
          <w:w w:val="100"/>
          <w:position w:val="0"/>
        </w:rPr>
        <w:t>22</w:t>
      </w:r>
      <w:r>
        <w:rPr>
          <w:b w:val="0"/>
          <w:bCs w:val="0"/>
          <w:color w:val="000000"/>
          <w:spacing w:val="0"/>
          <w:w w:val="100"/>
          <w:position w:val="0"/>
        </w:rPr>
        <w:t>日，注册资本及投资总额为5万欧元，由本公司的全资子</w:t>
      </w:r>
    </w:p>
    <w:p>
      <w:pPr>
        <w:pStyle w:val="Style54"/>
        <w:keepNext w:val="0"/>
        <w:keepLines w:val="0"/>
        <w:widowControl w:val="0"/>
        <w:shd w:val="clear" w:color="auto" w:fill="auto"/>
        <w:bidi w:val="0"/>
        <w:spacing w:before="0" w:after="0" w:line="391" w:lineRule="exact"/>
        <w:ind w:left="0" w:right="0" w:firstLine="0"/>
        <w:jc w:val="left"/>
      </w:pPr>
      <w:r>
        <w:rPr>
          <w:b w:val="0"/>
          <w:bCs w:val="0"/>
          <w:color w:val="000000"/>
          <w:spacing w:val="0"/>
          <w:w w:val="100"/>
          <w:position w:val="0"/>
        </w:rPr>
        <w:t>公司</w:t>
      </w:r>
      <w:r>
        <w:rPr>
          <w:b w:val="0"/>
          <w:bCs w:val="0"/>
          <w:color w:val="000000"/>
          <w:spacing w:val="0"/>
          <w:w w:val="100"/>
          <w:position w:val="0"/>
        </w:rPr>
        <w:t>GRG Banking Equipment (HK) Co., Limited</w:t>
      </w:r>
      <w:r>
        <w:rPr>
          <w:b w:val="0"/>
          <w:bCs w:val="0"/>
          <w:color w:val="000000"/>
          <w:spacing w:val="0"/>
          <w:w w:val="100"/>
          <w:position w:val="0"/>
        </w:rPr>
        <w:t>全额出资欧元</w:t>
      </w:r>
      <w:r>
        <w:rPr>
          <w:b w:val="0"/>
          <w:bCs w:val="0"/>
          <w:color w:val="000000"/>
          <w:spacing w:val="0"/>
          <w:w w:val="100"/>
          <w:position w:val="0"/>
        </w:rPr>
        <w:t>5</w:t>
      </w:r>
      <w:r>
        <w:rPr>
          <w:b w:val="0"/>
          <w:bCs w:val="0"/>
          <w:color w:val="000000"/>
          <w:spacing w:val="0"/>
          <w:w w:val="100"/>
          <w:position w:val="0"/>
        </w:rPr>
        <w:t xml:space="preserve">万元，占股比100%。注册地址为 </w:t>
      </w:r>
      <w:r>
        <w:rPr>
          <w:b w:val="0"/>
          <w:bCs w:val="0"/>
          <w:color w:val="000000"/>
          <w:spacing w:val="0"/>
          <w:w w:val="100"/>
          <w:position w:val="0"/>
        </w:rPr>
        <w:t xml:space="preserve">Julius-Leber-StraBe. </w:t>
      </w:r>
      <w:r>
        <w:rPr>
          <w:b w:val="0"/>
          <w:bCs w:val="0"/>
          <w:color w:val="000000"/>
          <w:spacing w:val="0"/>
          <w:w w:val="100"/>
          <w:position w:val="0"/>
        </w:rPr>
        <w:t xml:space="preserve">28, 22765 </w:t>
      </w:r>
      <w:r>
        <w:rPr>
          <w:b w:val="0"/>
          <w:bCs w:val="0"/>
          <w:color w:val="000000"/>
          <w:spacing w:val="0"/>
          <w:w w:val="100"/>
          <w:position w:val="0"/>
        </w:rPr>
        <w:t>Hamburg, Germany</w:t>
      </w:r>
      <w:r>
        <w:rPr>
          <w:b w:val="0"/>
          <w:bCs w:val="0"/>
          <w:color w:val="000000"/>
          <w:spacing w:val="0"/>
          <w:w w:val="100"/>
          <w:position w:val="0"/>
          <w:vertAlign w:val="subscript"/>
        </w:rPr>
        <w:t>o</w:t>
      </w:r>
      <w:r>
        <w:rPr>
          <w:b w:val="0"/>
          <w:bCs w:val="0"/>
          <w:color w:val="000000"/>
          <w:spacing w:val="0"/>
          <w:w w:val="100"/>
          <w:position w:val="0"/>
        </w:rPr>
        <w:t>主要经营为柜员机销售与维修服务。目前，</w:t>
      </w:r>
      <w:r>
        <w:rPr>
          <w:b w:val="0"/>
          <w:bCs w:val="0"/>
          <w:color w:val="000000"/>
          <w:spacing w:val="0"/>
          <w:w w:val="100"/>
          <w:position w:val="0"/>
        </w:rPr>
        <w:t>GRG Banking Equipment (HK) Co., Limited</w:t>
      </w:r>
      <w:r>
        <w:rPr>
          <w:b w:val="0"/>
          <w:bCs w:val="0"/>
          <w:color w:val="000000"/>
          <w:spacing w:val="0"/>
          <w:w w:val="100"/>
          <w:position w:val="0"/>
        </w:rPr>
        <w:t>实际出资</w:t>
      </w:r>
      <w:r>
        <w:rPr>
          <w:b w:val="0"/>
          <w:bCs w:val="0"/>
          <w:color w:val="000000"/>
          <w:spacing w:val="0"/>
          <w:w w:val="100"/>
          <w:position w:val="0"/>
        </w:rPr>
        <w:t>5</w:t>
      </w:r>
      <w:r>
        <w:rPr>
          <w:b w:val="0"/>
          <w:bCs w:val="0"/>
          <w:color w:val="000000"/>
          <w:spacing w:val="0"/>
          <w:w w:val="100"/>
          <w:position w:val="0"/>
        </w:rPr>
        <w:t>万欧元，公司已于2013年12月正式营运。</w:t>
      </w:r>
    </w:p>
    <w:p>
      <w:pPr>
        <w:pStyle w:val="Style54"/>
        <w:keepNext w:val="0"/>
        <w:keepLines w:val="0"/>
        <w:widowControl w:val="0"/>
        <w:shd w:val="clear" w:color="auto" w:fill="auto"/>
        <w:bidi w:val="0"/>
        <w:spacing w:before="0" w:after="0" w:line="391" w:lineRule="exact"/>
        <w:ind w:left="0" w:right="0" w:firstLine="440"/>
        <w:jc w:val="left"/>
      </w:pPr>
      <w:r>
        <w:rPr>
          <w:b w:val="0"/>
          <w:bCs w:val="0"/>
          <w:color w:val="000000"/>
          <w:spacing w:val="0"/>
          <w:w w:val="100"/>
          <w:position w:val="0"/>
        </w:rPr>
        <w:t>与上年相比本年(期)减少合并单位1家，原因为：本期注销一家子公司。</w:t>
      </w:r>
    </w:p>
    <w:p>
      <w:pPr>
        <w:pStyle w:val="Style54"/>
        <w:keepNext w:val="0"/>
        <w:keepLines w:val="0"/>
        <w:widowControl w:val="0"/>
        <w:shd w:val="clear" w:color="auto" w:fill="auto"/>
        <w:bidi w:val="0"/>
        <w:spacing w:before="0" w:after="300" w:line="391" w:lineRule="exact"/>
        <w:ind w:left="0" w:right="0" w:firstLine="440"/>
        <w:jc w:val="left"/>
      </w:pPr>
      <w:r>
        <w:rPr>
          <w:b w:val="0"/>
          <w:bCs w:val="0"/>
          <w:color w:val="000000"/>
          <w:spacing w:val="0"/>
          <w:w w:val="100"/>
          <w:position w:val="0"/>
        </w:rPr>
        <w:t>天津市福龙源环保科技开发有限公司于2013年10月31日注销，故不再将其纳入合并范围。</w:t>
      </w:r>
    </w:p>
    <w:p>
      <w:pPr>
        <w:pStyle w:val="Style44"/>
        <w:keepNext/>
        <w:keepLines/>
        <w:widowControl w:val="0"/>
        <w:shd w:val="clear" w:color="auto" w:fill="auto"/>
        <w:bidi w:val="0"/>
        <w:spacing w:before="0" w:after="440" w:line="391" w:lineRule="exact"/>
        <w:ind w:left="0" w:right="0" w:firstLine="440"/>
        <w:jc w:val="left"/>
      </w:pPr>
      <w:bookmarkStart w:id="940" w:name="bookmark940"/>
      <w:bookmarkStart w:id="941" w:name="bookmark941"/>
      <w:bookmarkStart w:id="942" w:name="bookmark942"/>
      <w:bookmarkStart w:id="943" w:name="bookmark943"/>
      <w:r>
        <w:rPr>
          <w:color w:val="000000"/>
          <w:spacing w:val="0"/>
          <w:w w:val="100"/>
          <w:position w:val="0"/>
        </w:rPr>
        <w:t>3</w:t>
      </w:r>
      <w:bookmarkEnd w:id="942"/>
      <w:r>
        <w:rPr>
          <w:color w:val="000000"/>
          <w:spacing w:val="0"/>
          <w:w w:val="100"/>
          <w:position w:val="0"/>
        </w:rPr>
        <w:t>、报告期内新纳入合并范围的主体和报告期内不再纳入合并范围的主体</w:t>
      </w:r>
      <w:bookmarkEnd w:id="940"/>
      <w:bookmarkEnd w:id="941"/>
      <w:bookmarkEnd w:id="943"/>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)本期新纳入合并范围的子公司、特殊目的主体、通过受托经营或承租等方式形成控制权的经营实体</w:t>
      </w:r>
    </w:p>
    <w:p>
      <w:pPr>
        <w:pStyle w:val="Style33"/>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99,766,584.79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-233,415.21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9,925,882.02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-74,117.98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268,069,476.91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-3,285,286.50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赣州中联环保科技开发有限公司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-1,484,075.95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-6,689,837.93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赣州龙源环保产业经营管理有限公司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-8,475,919.56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-3,907,373.57</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赣州中联电镀原料配送经营服务有限公司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349,262.10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-637,306.06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2,971,978.29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-28,021.71</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Deutschland GmbH</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399,720.09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-21,407.52</w:t>
            </w:r>
          </w:p>
        </w:tc>
      </w:tr>
    </w:tbl>
    <w:p>
      <w:pPr>
        <w:pStyle w:val="Style33"/>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)本期不再纳入合并范围的子公司、特殊目的主体、通过受托经营或承租等方式形成控制权的经营实体 单位：元</w:t>
      </w:r>
    </w:p>
    <w:tbl>
      <w:tblPr>
        <w:tblOverlap w:val="never"/>
        <w:jc w:val="center"/>
        <w:tblLayout w:type="fixed"/>
      </w:tblPr>
      <w:tblGrid>
        <w:gridCol w:w="4075"/>
        <w:gridCol w:w="2851"/>
        <w:gridCol w:w="265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处置日净资产</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年初至处置日净利润</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天津市福龙源环保科技开发有限公司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both"/>
            </w:pPr>
            <w:r>
              <w:rPr>
                <w:color w:val="000000"/>
                <w:spacing w:val="0"/>
                <w:w w:val="100"/>
                <w:position w:val="0"/>
              </w:rPr>
              <w:t>13,492,883.45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-1,085.12</w:t>
            </w:r>
          </w:p>
        </w:tc>
      </w:tr>
    </w:tbl>
    <w:p>
      <w:pPr>
        <w:widowControl w:val="0"/>
        <w:spacing w:after="179" w:line="1" w:lineRule="exact"/>
      </w:pPr>
    </w:p>
    <w:p>
      <w:pPr>
        <w:pStyle w:val="Style44"/>
        <w:keepNext/>
        <w:keepLines/>
        <w:widowControl w:val="0"/>
        <w:shd w:val="clear" w:color="auto" w:fill="auto"/>
        <w:bidi w:val="0"/>
        <w:spacing w:before="0" w:after="240" w:line="390" w:lineRule="exact"/>
        <w:ind w:left="0" w:right="0" w:firstLine="44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4</w:t>
      </w:r>
      <w:bookmarkEnd w:id="946"/>
      <w:r>
        <w:rPr>
          <w:color w:val="000000"/>
          <w:spacing w:val="0"/>
          <w:w w:val="100"/>
          <w:position w:val="0"/>
        </w:rPr>
        <w:t>、报告期内发生的非同一控制下企业合并</w:t>
      </w:r>
      <w:bookmarkEnd w:id="944"/>
      <w:bookmarkEnd w:id="945"/>
      <w:bookmarkEnd w:id="947"/>
    </w:p>
    <w:p>
      <w:pPr>
        <w:pStyle w:val="Style54"/>
        <w:keepNext w:val="0"/>
        <w:keepLines w:val="0"/>
        <w:widowControl w:val="0"/>
        <w:shd w:val="clear" w:color="auto" w:fill="auto"/>
        <w:bidi w:val="0"/>
        <w:spacing w:before="0" w:after="0" w:line="390" w:lineRule="exact"/>
        <w:ind w:left="0" w:right="0" w:firstLine="440"/>
        <w:jc w:val="left"/>
      </w:pPr>
      <w:r>
        <w:rPr>
          <w:b w:val="0"/>
          <w:bCs w:val="0"/>
          <w:color w:val="000000"/>
          <w:spacing w:val="0"/>
          <w:w w:val="100"/>
          <w:position w:val="0"/>
        </w:rPr>
        <w:t>本期发生的非同一控制下企业合并的情况</w:t>
      </w:r>
    </w:p>
    <w:p>
      <w:pPr>
        <w:pStyle w:val="Style54"/>
        <w:keepNext w:val="0"/>
        <w:keepLines w:val="0"/>
        <w:widowControl w:val="0"/>
        <w:shd w:val="clear" w:color="auto" w:fill="auto"/>
        <w:bidi w:val="0"/>
        <w:spacing w:before="0" w:after="100" w:line="390" w:lineRule="exact"/>
        <w:ind w:left="0" w:right="0" w:firstLine="440"/>
        <w:jc w:val="both"/>
      </w:pPr>
      <w:r>
        <w:rPr>
          <w:b w:val="0"/>
          <w:bCs w:val="0"/>
          <w:color w:val="000000"/>
          <w:spacing w:val="0"/>
          <w:w w:val="100"/>
          <w:position w:val="0"/>
        </w:rPr>
        <w:t xml:space="preserve">2011年9月30日，本公司与龙源环保原股东签订《广州市龙源环保科技有限公司投资协议》，本公司 参股投资龙源环保，由本公司向龙源环保投资人民币168,000,000元，其中认缴龙源环保注册资本 </w:t>
      </w:r>
      <w:r>
        <w:rPr>
          <w:b w:val="0"/>
          <w:bCs w:val="0"/>
          <w:color w:val="000000"/>
          <w:spacing w:val="0"/>
          <w:w w:val="100"/>
          <w:position w:val="0"/>
        </w:rPr>
        <w:t>107,031,373.00</w:t>
      </w:r>
      <w:r>
        <w:rPr>
          <w:b w:val="0"/>
          <w:bCs w:val="0"/>
          <w:color w:val="000000"/>
          <w:spacing w:val="0"/>
          <w:w w:val="100"/>
          <w:position w:val="0"/>
        </w:rPr>
        <w:t>元，占龙源环保49%的股权，溢价部分</w:t>
      </w:r>
      <w:r>
        <w:rPr>
          <w:b w:val="0"/>
          <w:bCs w:val="0"/>
          <w:color w:val="000000"/>
          <w:spacing w:val="0"/>
          <w:w w:val="100"/>
          <w:position w:val="0"/>
        </w:rPr>
        <w:t>60,968,627.0</w:t>
      </w:r>
      <w:r>
        <w:rPr>
          <w:b w:val="0"/>
          <w:bCs w:val="0"/>
          <w:color w:val="000000"/>
          <w:spacing w:val="0"/>
          <w:w w:val="100"/>
          <w:position w:val="0"/>
        </w:rPr>
        <w:t xml:space="preserve">0元计入龙源环保资本公积金。2013年， 为解决各股东投入和所持股权不对等的矛盾，理顺龙源环保的股权关系，促进龙源环保的健康发展，各股 东经友好协商，一致同意将龙源环保的资本公积60, 968, </w:t>
      </w:r>
      <w:r>
        <w:rPr>
          <w:b w:val="0"/>
          <w:bCs w:val="0"/>
          <w:color w:val="000000"/>
          <w:spacing w:val="0"/>
          <w:w w:val="100"/>
          <w:position w:val="0"/>
        </w:rPr>
        <w:t xml:space="preserve">627. </w:t>
      </w:r>
      <w:r>
        <w:rPr>
          <w:b w:val="0"/>
          <w:bCs w:val="0"/>
          <w:color w:val="000000"/>
          <w:spacing w:val="0"/>
          <w:w w:val="100"/>
          <w:position w:val="0"/>
        </w:rPr>
        <w:t xml:space="preserve">00元全部转为本公司增加投入的注册资本。 完成本次资本公积金转增资本后，龙源环保的注册资本总额由218, 431, </w:t>
      </w:r>
      <w:r>
        <w:rPr>
          <w:b w:val="0"/>
          <w:bCs w:val="0"/>
          <w:color w:val="000000"/>
          <w:spacing w:val="0"/>
          <w:w w:val="100"/>
          <w:position w:val="0"/>
        </w:rPr>
        <w:t xml:space="preserve">373. </w:t>
      </w:r>
      <w:r>
        <w:rPr>
          <w:b w:val="0"/>
          <w:bCs w:val="0"/>
          <w:color w:val="000000"/>
          <w:spacing w:val="0"/>
          <w:w w:val="100"/>
          <w:position w:val="0"/>
        </w:rPr>
        <w:t xml:space="preserve">00元增加到279, 400, </w:t>
      </w:r>
      <w:r>
        <w:rPr>
          <w:b w:val="0"/>
          <w:bCs w:val="0"/>
          <w:color w:val="000000"/>
          <w:spacing w:val="0"/>
          <w:w w:val="100"/>
          <w:position w:val="0"/>
        </w:rPr>
        <w:t xml:space="preserve">000. </w:t>
      </w:r>
      <w:r>
        <w:rPr>
          <w:b w:val="0"/>
          <w:bCs w:val="0"/>
          <w:color w:val="000000"/>
          <w:spacing w:val="0"/>
          <w:w w:val="100"/>
          <w:position w:val="0"/>
        </w:rPr>
        <w:t>00 元；本公司持有的龙源环保注册资本金额由</w:t>
      </w:r>
      <w:r>
        <w:rPr>
          <w:b w:val="0"/>
          <w:bCs w:val="0"/>
          <w:color w:val="000000"/>
          <w:spacing w:val="0"/>
          <w:w w:val="100"/>
          <w:position w:val="0"/>
        </w:rPr>
        <w:t xml:space="preserve">107,031,373. </w:t>
      </w:r>
      <w:r>
        <w:rPr>
          <w:b w:val="0"/>
          <w:bCs w:val="0"/>
          <w:color w:val="000000"/>
          <w:spacing w:val="0"/>
          <w:w w:val="100"/>
          <w:position w:val="0"/>
        </w:rPr>
        <w:t>00元增加到</w:t>
      </w:r>
      <w:r>
        <w:rPr>
          <w:b w:val="0"/>
          <w:bCs w:val="0"/>
          <w:color w:val="000000"/>
          <w:spacing w:val="0"/>
          <w:w w:val="100"/>
          <w:position w:val="0"/>
        </w:rPr>
        <w:t>168,000,000.00</w:t>
      </w:r>
      <w:r>
        <w:rPr>
          <w:b w:val="0"/>
          <w:bCs w:val="0"/>
          <w:color w:val="000000"/>
          <w:spacing w:val="0"/>
          <w:w w:val="100"/>
          <w:position w:val="0"/>
        </w:rPr>
        <w:t>元，持股比例由原49% 增加到60.1%。2013年8月31日工商变更手续办理完毕。2013年8月31日本公司的投资成本为人民币 150,971,193.64元。</w:t>
      </w:r>
      <w:r>
        <w:br w:type="page"/>
      </w:r>
    </w:p>
    <w:p>
      <w:pPr>
        <w:pStyle w:val="Style54"/>
        <w:keepNext w:val="0"/>
        <w:keepLines w:val="0"/>
        <w:widowControl w:val="0"/>
        <w:shd w:val="clear" w:color="auto" w:fill="auto"/>
        <w:bidi w:val="0"/>
        <w:spacing w:before="0" w:after="60" w:line="370" w:lineRule="exact"/>
        <w:ind w:left="0" w:right="0" w:firstLine="440"/>
        <w:jc w:val="left"/>
      </w:pPr>
      <w:r>
        <w:rPr>
          <w:b w:val="0"/>
          <w:bCs w:val="0"/>
          <w:color w:val="000000"/>
          <w:spacing w:val="0"/>
          <w:w w:val="100"/>
          <w:position w:val="0"/>
        </w:rPr>
        <w:t>购买日的确定依据：工商变更手续办理完毕</w:t>
      </w:r>
    </w:p>
    <w:p>
      <w:pPr>
        <w:pStyle w:val="Style54"/>
        <w:keepNext w:val="0"/>
        <w:keepLines w:val="0"/>
        <w:widowControl w:val="0"/>
        <w:shd w:val="clear" w:color="auto" w:fill="auto"/>
        <w:bidi w:val="0"/>
        <w:spacing w:before="0" w:after="0" w:line="370" w:lineRule="exact"/>
        <w:ind w:left="0" w:right="0" w:firstLine="0"/>
        <w:jc w:val="left"/>
      </w:pPr>
      <w:r>
        <w:rPr>
          <w:b w:val="0"/>
          <w:bCs w:val="0"/>
          <w:color w:val="000000"/>
          <w:spacing w:val="0"/>
          <w:w w:val="100"/>
          <w:position w:val="0"/>
          <w:shd w:val="clear" w:color="auto" w:fill="FFFFFF"/>
        </w:rPr>
        <w:t>是否存在通过多次交易分步实现企业合并且在本报告期取得控制权的情形</w:t>
      </w:r>
    </w:p>
    <w:p>
      <w:pPr>
        <w:pStyle w:val="Style35"/>
        <w:keepNext w:val="0"/>
        <w:keepLines w:val="0"/>
        <w:widowControl w:val="0"/>
        <w:shd w:val="clear" w:color="auto" w:fill="auto"/>
        <w:bidi w:val="0"/>
        <w:spacing w:before="0" w:line="37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4"/>
        <w:gridCol w:w="739"/>
        <w:gridCol w:w="734"/>
        <w:gridCol w:w="734"/>
        <w:gridCol w:w="734"/>
        <w:gridCol w:w="739"/>
        <w:gridCol w:w="744"/>
      </w:tblGrid>
      <w:tr>
        <w:trPr>
          <w:trHeight w:val="3216"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被合并 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取得股</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权的取</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得时点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取得成 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取得比 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取得方 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取得控 制权的 时点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取得控 制权的 判断依 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购买日 之前原 持有股 权在购 买日的 账面价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购买日 之前原 持有股 权在购 买日的 公允价 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按照公 允价值 重新计 量所产 生的利 得或损 失的金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购买日 之前原 持有股 权在购 买日的 公允价 值的确 定方法 及主要 假设</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购买日 之前与 原持有 股权相 关的其 他综合 收益转 入投资 收益的 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027"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广州市 龙源环 保科技 有限公 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168,000,</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支付现</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工商变</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更手续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123,087,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协议变</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更股权</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办理完</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毕</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994.81</w:t>
            </w: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994.81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5</w:t>
      </w:r>
      <w:bookmarkEnd w:id="950"/>
      <w:r>
        <w:rPr>
          <w:color w:val="000000"/>
          <w:spacing w:val="0"/>
          <w:w w:val="100"/>
          <w:position w:val="0"/>
        </w:rPr>
        <w:t>、境外经营实体主要报表项目的折算汇率</w:t>
      </w:r>
      <w:bookmarkEnd w:id="948"/>
      <w:bookmarkEnd w:id="949"/>
      <w:bookmarkEnd w:id="951"/>
    </w:p>
    <w:p>
      <w:pPr>
        <w:pStyle w:val="Style54"/>
        <w:keepNext w:val="0"/>
        <w:keepLines w:val="0"/>
        <w:widowControl w:val="0"/>
        <w:shd w:val="clear" w:color="auto" w:fill="auto"/>
        <w:bidi w:val="0"/>
        <w:spacing w:before="0" w:after="60" w:line="389" w:lineRule="exact"/>
        <w:ind w:left="0" w:right="0" w:firstLine="440"/>
        <w:jc w:val="left"/>
      </w:pPr>
      <w:r>
        <w:rPr>
          <w:b w:val="0"/>
          <w:bCs w:val="0"/>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未分配利 润''项目外，其他项目采用发生时的即期汇率折算。利润表中的收入和费用项目，采用年度平均汇率折算。 按照上述折算产生的外币财务报表折算差额，在资产负债表所有者权益项目下单独列示。</w:t>
      </w:r>
    </w:p>
    <w:tbl>
      <w:tblPr>
        <w:tblOverlap w:val="never"/>
        <w:jc w:val="center"/>
        <w:tblLayout w:type="fixed"/>
      </w:tblPr>
      <w:tblGrid>
        <w:gridCol w:w="2429"/>
        <w:gridCol w:w="2270"/>
        <w:gridCol w:w="2410"/>
        <w:gridCol w:w="2419"/>
      </w:tblGrid>
      <w:tr>
        <w:trPr>
          <w:trHeight w:val="33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报表项目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兑换币种</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期初（上期）折算汇率</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期末（本期）折算汇率</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港币折人民币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0.8108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SimSun" w:eastAsia="SimSun" w:hAnsi="SimSun" w:cs="SimSun"/>
                <w:color w:val="000000"/>
                <w:spacing w:val="0"/>
                <w:w w:val="100"/>
                <w:position w:val="0"/>
              </w:rPr>
              <w:t>0.78623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港币折人民币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0.87002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SimSun" w:eastAsia="SimSun" w:hAnsi="SimSun" w:cs="SimSun"/>
                <w:color w:val="000000"/>
                <w:spacing w:val="0"/>
                <w:w w:val="100"/>
                <w:position w:val="0"/>
              </w:rPr>
              <w:t>0.87002</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港币折人民币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0.8108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SimSun" w:eastAsia="SimSun" w:hAnsi="SimSun" w:cs="SimSun"/>
                <w:color w:val="000000"/>
                <w:spacing w:val="0"/>
                <w:w w:val="100"/>
                <w:position w:val="0"/>
              </w:rPr>
              <w:t>0.78623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收入和费用项目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港币折人民币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0.81075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both"/>
            </w:pPr>
            <w:r>
              <w:rPr>
                <w:rFonts w:ascii="SimSun" w:eastAsia="SimSun" w:hAnsi="SimSun" w:cs="SimSun"/>
                <w:color w:val="000000"/>
                <w:spacing w:val="0"/>
                <w:w w:val="100"/>
                <w:position w:val="0"/>
              </w:rPr>
              <w:t>0.79852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澳元折港币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8.0988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6.9068</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墨西哥比索折港币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0.5953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0.5931</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墨西哥比索折港币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0.5906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0.5906</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收入和费用项目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墨西哥比索折港币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0.5905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0.6071</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土耳其里拉折港币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4.3260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3.6233</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土耳其里拉折港币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4.5487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4.5487</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收入和费用项目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土耳其里拉折港币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4.3111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4.0531</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立陶宛立特折港币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2.9674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3.0836</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立陶宛立特折港币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2.9673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2.9673</w:t>
            </w:r>
          </w:p>
        </w:tc>
      </w:tr>
    </w:tbl>
    <w:p>
      <w:pPr>
        <w:spacing w:lineRule="exact" w:line="1"/>
        <w:rPr>
          <w:sz w:val="2"/>
          <w:szCs w:val="2"/>
        </w:rPr>
      </w:pPr>
      <w:r>
        <w:br w:type="page"/>
      </w:r>
    </w:p>
    <w:tbl>
      <w:tblPr>
        <w:tblOverlap w:val="never"/>
        <w:jc w:val="center"/>
        <w:tblLayout w:type="fixed"/>
      </w:tblPr>
      <w:tblGrid>
        <w:gridCol w:w="2429"/>
        <w:gridCol w:w="2270"/>
        <w:gridCol w:w="2410"/>
        <w:gridCol w:w="2419"/>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收入和费用项目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立陶宛立特折港币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60" w:right="0" w:firstLine="0"/>
              <w:jc w:val="both"/>
            </w:pPr>
            <w:r>
              <w:rPr>
                <w:rFonts w:ascii="SimSun" w:eastAsia="SimSun" w:hAnsi="SimSun" w:cs="SimSun"/>
                <w:color w:val="000000"/>
                <w:spacing w:val="0"/>
                <w:w w:val="100"/>
                <w:position w:val="0"/>
              </w:rPr>
              <w:t>2.8503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2.9812</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资产和负债项目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10.7083</w:t>
            </w: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欧元折港币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10.5458</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收入和费用项目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欧元折港币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10.62705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sz w:val="24"/>
          <w:szCs w:val="24"/>
        </w:rPr>
        <w:t>七</w:t>
      </w:r>
      <w:bookmarkEnd w:id="954"/>
      <w:r>
        <w:rPr>
          <w:color w:val="000000"/>
          <w:spacing w:val="0"/>
          <w:w w:val="100"/>
          <w:position w:val="0"/>
          <w:sz w:val="24"/>
          <w:szCs w:val="24"/>
        </w:rPr>
        <w:t>、合并财务报表主要项目注释</w:t>
      </w:r>
      <w:bookmarkEnd w:id="952"/>
      <w:bookmarkEnd w:id="953"/>
      <w:bookmarkEnd w:id="955"/>
    </w:p>
    <w:p>
      <w:pPr>
        <w:pStyle w:val="Style54"/>
        <w:keepNext w:val="0"/>
        <w:keepLines w:val="0"/>
        <w:widowControl w:val="0"/>
        <w:shd w:val="clear" w:color="auto" w:fill="auto"/>
        <w:bidi w:val="0"/>
        <w:spacing w:before="0" w:after="380" w:line="240" w:lineRule="auto"/>
        <w:ind w:left="0" w:right="0" w:firstLine="560"/>
        <w:jc w:val="left"/>
      </w:pPr>
      <w:r>
        <w:rPr>
          <w:b w:val="0"/>
          <w:bCs w:val="0"/>
          <w:color w:val="000000"/>
          <w:spacing w:val="0"/>
          <w:w w:val="100"/>
          <w:position w:val="0"/>
        </w:rPr>
        <w:t>(以下金额单位若未特别注明者均为人民币元)</w:t>
      </w:r>
    </w:p>
    <w:p>
      <w:pPr>
        <w:pStyle w:val="Style44"/>
        <w:keepNext/>
        <w:keepLines/>
        <w:widowControl w:val="0"/>
        <w:shd w:val="clear" w:color="auto" w:fill="auto"/>
        <w:bidi w:val="0"/>
        <w:spacing w:before="0" w:after="320" w:line="240" w:lineRule="auto"/>
        <w:ind w:left="0" w:right="0" w:firstLine="440"/>
        <w:jc w:val="left"/>
      </w:pPr>
      <w:bookmarkStart w:id="956" w:name="bookmark956"/>
      <w:bookmarkStart w:id="957" w:name="bookmark957"/>
      <w:bookmarkStart w:id="958" w:name="bookmark958"/>
      <w:bookmarkStart w:id="959" w:name="bookmark959"/>
      <w:r>
        <w:rPr>
          <w:color w:val="000000"/>
          <w:spacing w:val="0"/>
          <w:w w:val="100"/>
          <w:position w:val="0"/>
        </w:rPr>
        <w:t>1</w:t>
      </w:r>
      <w:bookmarkEnd w:id="958"/>
      <w:r>
        <w:rPr>
          <w:color w:val="000000"/>
          <w:spacing w:val="0"/>
          <w:w w:val="100"/>
          <w:position w:val="0"/>
        </w:rPr>
        <w:t>、货币资金</w:t>
      </w:r>
      <w:bookmarkEnd w:id="956"/>
      <w:bookmarkEnd w:id="957"/>
      <w:bookmarkEnd w:id="959"/>
    </w:p>
    <w:tbl>
      <w:tblPr>
        <w:tblOverlap w:val="never"/>
        <w:jc w:val="center"/>
        <w:tblLayout w:type="fixed"/>
      </w:tblPr>
      <w:tblGrid>
        <w:gridCol w:w="2002"/>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折算率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人民币金额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1,652,827.61</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252,262.09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1,652,827.61</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218,390.03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6.2855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4,148.26</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400"/>
              <w:jc w:val="both"/>
            </w:pPr>
            <w:r>
              <w:rPr>
                <w:color w:val="000000"/>
                <w:spacing w:val="0"/>
                <w:w w:val="100"/>
                <w:position w:val="0"/>
              </w:rPr>
              <w:t>8.3176</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16.63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11,820.00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9,583.66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马来西亚令吉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9,964.00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2.0196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20,123.51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1,643,222,584.73</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2,003,287,772.25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1,615,213,666.64</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1,933,179,444.64</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3,446,693.97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6.0970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21,014,609.91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4,392,905.37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6.2855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27,610,517.52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731,222.55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8.4191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6,156,242.53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5,034,079.97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8.3176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41,871,389.54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452,079.49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0.7862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355,438.46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656,369.28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532,184.21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新加坡币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25,263.09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4.8052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121,393.65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1,652.52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5.1341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8,484.13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土耳其里拉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100,814.44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2.8487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287,194.85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10,025.73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3.5075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35,165.21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墨西哥比索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21,239.30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0.4663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9,903.82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2,791.02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0.4827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1,347.09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立陶苑立特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20,234.19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2.4244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49,056.47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20,465.53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2.4060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49,239.91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英镑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10.0523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1,644,875,412.34</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2,003,540,034.34</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40"/>
        <w:jc w:val="left"/>
      </w:pPr>
      <w:bookmarkStart w:id="960" w:name="bookmark960"/>
      <w:bookmarkStart w:id="961" w:name="bookmark961"/>
      <w:bookmarkStart w:id="962" w:name="bookmark962"/>
      <w:bookmarkStart w:id="963" w:name="bookmark963"/>
      <w:r>
        <w:rPr>
          <w:color w:val="000000"/>
          <w:spacing w:val="0"/>
          <w:w w:val="100"/>
          <w:position w:val="0"/>
        </w:rPr>
        <w:t>2</w:t>
      </w:r>
      <w:bookmarkEnd w:id="962"/>
      <w:r>
        <w:rPr>
          <w:color w:val="000000"/>
          <w:spacing w:val="0"/>
          <w:w w:val="100"/>
          <w:position w:val="0"/>
        </w:rPr>
        <w:t>、应收票据</w:t>
      </w:r>
      <w:bookmarkEnd w:id="960"/>
      <w:bookmarkEnd w:id="961"/>
      <w:bookmarkEnd w:id="963"/>
    </w:p>
    <w:p>
      <w:pPr>
        <w:pStyle w:val="Style44"/>
        <w:keepNext/>
        <w:keepLines/>
        <w:widowControl w:val="0"/>
        <w:numPr>
          <w:ilvl w:val="0"/>
          <w:numId w:val="65"/>
        </w:numPr>
        <w:shd w:val="clear" w:color="auto" w:fill="auto"/>
        <w:bidi w:val="0"/>
        <w:spacing w:before="0" w:after="320" w:line="240" w:lineRule="auto"/>
        <w:ind w:left="0" w:right="0" w:firstLine="440"/>
        <w:jc w:val="left"/>
      </w:pPr>
      <w:bookmarkStart w:id="960" w:name="bookmark960"/>
      <w:bookmarkStart w:id="961" w:name="bookmark961"/>
      <w:bookmarkStart w:id="964" w:name="bookmark964"/>
      <w:bookmarkStart w:id="965" w:name="bookmark965"/>
      <w:bookmarkEnd w:id="964"/>
      <w:r>
        <w:rPr>
          <w:color w:val="000000"/>
          <w:spacing w:val="0"/>
          <w:w w:val="100"/>
          <w:position w:val="0"/>
        </w:rPr>
        <w:t>应收票据的分类</w:t>
      </w:r>
      <w:bookmarkEnd w:id="960"/>
      <w:bookmarkEnd w:id="961"/>
      <w:bookmarkEnd w:id="965"/>
    </w:p>
    <w:tbl>
      <w:tblPr>
        <w:tblOverlap w:val="never"/>
        <w:jc w:val="center"/>
        <w:tblLayout w:type="fixed"/>
      </w:tblPr>
      <w:tblGrid>
        <w:gridCol w:w="3989"/>
        <w:gridCol w:w="2659"/>
        <w:gridCol w:w="293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1,987,100.00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1,987,100.00</w:t>
            </w:r>
          </w:p>
        </w:tc>
      </w:tr>
    </w:tbl>
    <w:p>
      <w:pPr>
        <w:spacing w:lineRule="exact" w:line="1"/>
        <w:rPr>
          <w:sz w:val="2"/>
          <w:szCs w:val="2"/>
        </w:rPr>
      </w:pPr>
      <w:r>
        <w:br w:type="page"/>
      </w:r>
    </w:p>
    <w:p>
      <w:pPr>
        <w:pStyle w:val="Style44"/>
        <w:keepNext/>
        <w:keepLines/>
        <w:widowControl w:val="0"/>
        <w:numPr>
          <w:ilvl w:val="0"/>
          <w:numId w:val="65"/>
        </w:numPr>
        <w:shd w:val="clear" w:color="auto" w:fill="auto"/>
        <w:tabs>
          <w:tab w:pos="860" w:val="left"/>
        </w:tabs>
        <w:bidi w:val="0"/>
        <w:spacing w:before="0" w:after="380" w:line="240" w:lineRule="auto"/>
        <w:ind w:left="0" w:right="0" w:firstLine="420"/>
        <w:jc w:val="left"/>
      </w:pPr>
      <w:bookmarkStart w:id="966" w:name="bookmark966"/>
      <w:bookmarkStart w:id="967" w:name="bookmark967"/>
      <w:bookmarkStart w:id="968" w:name="bookmark968"/>
      <w:bookmarkStart w:id="969" w:name="bookmark969"/>
      <w:bookmarkEnd w:id="968"/>
      <w:r>
        <w:rPr>
          <w:color w:val="000000"/>
          <w:spacing w:val="0"/>
          <w:w w:val="100"/>
          <w:position w:val="0"/>
        </w:rPr>
        <w:t>期末没有已质押的应收票据</w:t>
      </w:r>
      <w:bookmarkEnd w:id="966"/>
      <w:bookmarkEnd w:id="967"/>
      <w:bookmarkEnd w:id="969"/>
    </w:p>
    <w:p>
      <w:pPr>
        <w:pStyle w:val="Style44"/>
        <w:keepNext/>
        <w:keepLines/>
        <w:widowControl w:val="0"/>
        <w:numPr>
          <w:ilvl w:val="0"/>
          <w:numId w:val="65"/>
        </w:numPr>
        <w:shd w:val="clear" w:color="auto" w:fill="auto"/>
        <w:tabs>
          <w:tab w:pos="860" w:val="left"/>
        </w:tabs>
        <w:bidi w:val="0"/>
        <w:spacing w:before="0" w:after="340" w:line="240" w:lineRule="auto"/>
        <w:ind w:left="0" w:right="0" w:firstLine="420"/>
        <w:jc w:val="left"/>
      </w:pPr>
      <w:bookmarkStart w:id="966" w:name="bookmark966"/>
      <w:bookmarkStart w:id="967" w:name="bookmark967"/>
      <w:bookmarkStart w:id="970" w:name="bookmark970"/>
      <w:bookmarkStart w:id="971" w:name="bookmark971"/>
      <w:bookmarkEnd w:id="970"/>
      <w:r>
        <w:rPr>
          <w:color w:val="000000"/>
          <w:spacing w:val="0"/>
          <w:w w:val="100"/>
          <w:position w:val="0"/>
        </w:rPr>
        <w:t>期末没有因出票人无力履约而将票据转为应收账款的票据</w:t>
      </w:r>
      <w:bookmarkEnd w:id="966"/>
      <w:bookmarkEnd w:id="967"/>
      <w:bookmarkEnd w:id="971"/>
    </w:p>
    <w:p>
      <w:pPr>
        <w:pStyle w:val="Style44"/>
        <w:keepNext/>
        <w:keepLines/>
        <w:widowControl w:val="0"/>
        <w:numPr>
          <w:ilvl w:val="0"/>
          <w:numId w:val="65"/>
        </w:numPr>
        <w:shd w:val="clear" w:color="auto" w:fill="auto"/>
        <w:tabs>
          <w:tab w:pos="860" w:val="left"/>
        </w:tabs>
        <w:bidi w:val="0"/>
        <w:spacing w:before="0" w:after="340" w:line="240" w:lineRule="auto"/>
        <w:ind w:left="0" w:right="0" w:firstLine="420"/>
        <w:jc w:val="left"/>
      </w:pPr>
      <w:bookmarkStart w:id="966" w:name="bookmark966"/>
      <w:bookmarkStart w:id="967" w:name="bookmark967"/>
      <w:bookmarkStart w:id="972" w:name="bookmark972"/>
      <w:bookmarkStart w:id="973" w:name="bookmark973"/>
      <w:bookmarkEnd w:id="972"/>
      <w:r>
        <w:rPr>
          <w:color w:val="000000"/>
          <w:spacing w:val="0"/>
          <w:w w:val="100"/>
          <w:position w:val="0"/>
        </w:rPr>
        <w:t>公司已经背书给其他方但尚未到期的票据金额最大的前五项</w:t>
      </w:r>
      <w:bookmarkEnd w:id="966"/>
      <w:bookmarkEnd w:id="967"/>
      <w:bookmarkEnd w:id="973"/>
    </w:p>
    <w:tbl>
      <w:tblPr>
        <w:tblOverlap w:val="never"/>
        <w:jc w:val="center"/>
        <w:tblLayout w:type="fixed"/>
      </w:tblPr>
      <w:tblGrid>
        <w:gridCol w:w="1915"/>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1,111,830.40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6,111,830.40</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4"/>
        <w:keepNext/>
        <w:keepLines/>
        <w:widowControl w:val="0"/>
        <w:shd w:val="clear" w:color="auto" w:fill="auto"/>
        <w:bidi w:val="0"/>
        <w:spacing w:before="0" w:after="380" w:line="240" w:lineRule="auto"/>
        <w:ind w:left="0" w:right="0" w:firstLine="420"/>
        <w:jc w:val="both"/>
      </w:pPr>
      <w:bookmarkStart w:id="974" w:name="bookmark974"/>
      <w:bookmarkStart w:id="975" w:name="bookmark975"/>
      <w:bookmarkStart w:id="976" w:name="bookmark976"/>
      <w:bookmarkStart w:id="977" w:name="bookmark977"/>
      <w:r>
        <w:rPr>
          <w:color w:val="000000"/>
          <w:spacing w:val="0"/>
          <w:w w:val="100"/>
          <w:position w:val="0"/>
        </w:rPr>
        <w:t>3</w:t>
      </w:r>
      <w:bookmarkEnd w:id="976"/>
      <w:r>
        <w:rPr>
          <w:color w:val="000000"/>
          <w:spacing w:val="0"/>
          <w:w w:val="100"/>
          <w:position w:val="0"/>
        </w:rPr>
        <w:t>、应收账款</w:t>
      </w:r>
      <w:bookmarkEnd w:id="974"/>
      <w:bookmarkEnd w:id="975"/>
      <w:bookmarkEnd w:id="977"/>
    </w:p>
    <w:p>
      <w:pPr>
        <w:pStyle w:val="Style44"/>
        <w:keepNext/>
        <w:keepLines/>
        <w:widowControl w:val="0"/>
        <w:shd w:val="clear" w:color="auto" w:fill="auto"/>
        <w:bidi w:val="0"/>
        <w:spacing w:before="0" w:after="340" w:line="240" w:lineRule="auto"/>
        <w:ind w:left="0" w:right="0" w:firstLine="420"/>
        <w:jc w:val="left"/>
      </w:pPr>
      <w:bookmarkStart w:id="974" w:name="bookmark974"/>
      <w:bookmarkStart w:id="975" w:name="bookmark975"/>
      <w:bookmarkStart w:id="978" w:name="bookmark978"/>
      <w:r>
        <w:rPr>
          <w:color w:val="000000"/>
          <w:spacing w:val="0"/>
          <w:w w:val="100"/>
          <w:position w:val="0"/>
        </w:rPr>
        <w:t>⑴应收账款按种类披露</w:t>
      </w:r>
      <w:bookmarkEnd w:id="974"/>
      <w:bookmarkEnd w:id="975"/>
      <w:bookmarkEnd w:id="978"/>
    </w:p>
    <w:tbl>
      <w:tblPr>
        <w:tblOverlap w:val="never"/>
        <w:jc w:val="center"/>
        <w:tblLayout w:type="fixed"/>
      </w:tblPr>
      <w:tblGrid>
        <w:gridCol w:w="2002"/>
        <w:gridCol w:w="931"/>
        <w:gridCol w:w="926"/>
        <w:gridCol w:w="931"/>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729,997,62</w:t>
            </w:r>
          </w:p>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16,110,861.</w:t>
            </w:r>
          </w:p>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663,160,7</w:t>
            </w:r>
          </w:p>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18,897,788.6</w:t>
            </w:r>
          </w:p>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2.85%</w:t>
            </w: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729,997,62</w:t>
            </w:r>
          </w:p>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16,110,861.</w:t>
            </w:r>
          </w:p>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663,160,7</w:t>
            </w:r>
          </w:p>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18,897,788.6</w:t>
            </w:r>
          </w:p>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2.85%</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729,997,62</w:t>
            </w:r>
          </w:p>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7.36</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16,110,861.</w:t>
            </w:r>
          </w:p>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663,160,7</w:t>
            </w:r>
          </w:p>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89.89</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18,897,788.6</w:t>
            </w:r>
          </w:p>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应收账款种类的说明：详见本附注四、10。</w:t>
      </w: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期末没有单项金额重大并单项计提坏账准备的应收账款。</w:t>
      </w:r>
    </w:p>
    <w:p>
      <w:pPr>
        <w:pStyle w:val="Style54"/>
        <w:keepNext w:val="0"/>
        <w:keepLines w:val="0"/>
        <w:widowControl w:val="0"/>
        <w:shd w:val="clear" w:color="auto" w:fill="auto"/>
        <w:bidi w:val="0"/>
        <w:spacing w:before="0" w:after="100" w:line="240" w:lineRule="auto"/>
        <w:ind w:left="0" w:right="0" w:firstLine="420"/>
        <w:jc w:val="left"/>
      </w:pPr>
      <w:r>
        <w:rPr>
          <w:b w:val="0"/>
          <w:bCs w:val="0"/>
          <w:color w:val="000000"/>
          <w:spacing w:val="0"/>
          <w:w w:val="100"/>
          <w:position w:val="0"/>
        </w:rPr>
        <w:t>组合中，按账龄分析法计提坏账准备的应收账款</w:t>
      </w:r>
    </w:p>
    <w:tbl>
      <w:tblPr>
        <w:tblOverlap w:val="never"/>
        <w:jc w:val="center"/>
        <w:tblLayout w:type="fixed"/>
      </w:tblPr>
      <w:tblGrid>
        <w:gridCol w:w="1469"/>
        <w:gridCol w:w="2525"/>
        <w:gridCol w:w="1723"/>
        <w:gridCol w:w="2390"/>
        <w:gridCol w:w="1474"/>
      </w:tblGrid>
      <w:tr>
        <w:trPr>
          <w:trHeight w:val="408" w:hRule="exact"/>
        </w:trPr>
        <w:tc>
          <w:tcPr>
            <w:vMerge w:val="restart"/>
            <w:tcBorders>
              <w:top w:val="single" w:sz="4"/>
              <w:left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1469"/>
        <w:gridCol w:w="1594"/>
        <w:gridCol w:w="931"/>
        <w:gridCol w:w="1723"/>
        <w:gridCol w:w="1464"/>
        <w:gridCol w:w="926"/>
        <w:gridCol w:w="14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560,740,232.53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2,803,701.18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443,425,286.51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2,217,126.46</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560,740,232.53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76.82%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2,803,701.18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443,425,286.51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2,217,126.46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87,315,357.14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4,365,767.85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172,847,801.98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8,642,390.10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79,670,200.12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7,967,020.02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34,340,947.04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3,434,094.70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2,271,837.57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974,372.15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12,546,754.36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4,604,177.42</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1,177,145.67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353,143.70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8,371,186.30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2,511,355.89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946,926.90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473,463.45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4,165,493.06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2,082,746.53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147,765.00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147,765.00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10,075.00</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729,997,627.36</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16,110,861.20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663,160,789.89</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18,897,788.68</w:t>
            </w:r>
          </w:p>
        </w:tc>
      </w:tr>
    </w:tbl>
    <w:p>
      <w:pPr>
        <w:widowControl w:val="0"/>
        <w:spacing w:after="119" w:line="1" w:lineRule="exact"/>
      </w:pPr>
    </w:p>
    <w:p>
      <w:pPr>
        <w:pStyle w:val="Style54"/>
        <w:keepNext w:val="0"/>
        <w:keepLines w:val="0"/>
        <w:widowControl w:val="0"/>
        <w:shd w:val="clear" w:color="auto" w:fill="auto"/>
        <w:bidi w:val="0"/>
        <w:spacing w:before="0" w:after="360" w:line="240" w:lineRule="auto"/>
        <w:ind w:left="0" w:right="0" w:firstLine="420"/>
        <w:jc w:val="left"/>
      </w:pPr>
      <w:r>
        <w:rPr>
          <w:b w:val="0"/>
          <w:bCs w:val="0"/>
          <w:color w:val="000000"/>
          <w:spacing w:val="0"/>
          <w:w w:val="100"/>
          <w:position w:val="0"/>
        </w:rPr>
        <w:t>期末没有单项金额虽不重大但单项计提坏账准备的应收账款</w:t>
      </w:r>
    </w:p>
    <w:p>
      <w:pPr>
        <w:pStyle w:val="Style44"/>
        <w:keepNext/>
        <w:keepLines/>
        <w:widowControl w:val="0"/>
        <w:shd w:val="clear" w:color="auto" w:fill="auto"/>
        <w:bidi w:val="0"/>
        <w:spacing w:before="0" w:after="360" w:line="240" w:lineRule="auto"/>
        <w:ind w:left="0" w:right="0" w:firstLine="420"/>
        <w:jc w:val="left"/>
      </w:pPr>
      <w:bookmarkStart w:id="979" w:name="bookmark979"/>
      <w:bookmarkStart w:id="980" w:name="bookmark980"/>
      <w:bookmarkStart w:id="981" w:name="bookmark981"/>
      <w:r>
        <w:rPr>
          <w:color w:val="000000"/>
          <w:spacing w:val="0"/>
          <w:w w:val="100"/>
          <w:position w:val="0"/>
        </w:rPr>
        <w:t>(2)本期没有转回或收回的应收账款。</w:t>
      </w:r>
      <w:bookmarkEnd w:id="979"/>
      <w:bookmarkEnd w:id="980"/>
      <w:bookmarkEnd w:id="981"/>
    </w:p>
    <w:p>
      <w:pPr>
        <w:pStyle w:val="Style44"/>
        <w:keepNext/>
        <w:keepLines/>
        <w:widowControl w:val="0"/>
        <w:numPr>
          <w:ilvl w:val="0"/>
          <w:numId w:val="67"/>
        </w:numPr>
        <w:shd w:val="clear" w:color="auto" w:fill="auto"/>
        <w:bidi w:val="0"/>
        <w:spacing w:before="0" w:after="360" w:line="240" w:lineRule="auto"/>
        <w:ind w:left="0" w:right="0" w:firstLine="420"/>
        <w:jc w:val="left"/>
      </w:pPr>
      <w:bookmarkStart w:id="979" w:name="bookmark979"/>
      <w:bookmarkStart w:id="980" w:name="bookmark980"/>
      <w:bookmarkStart w:id="982" w:name="bookmark982"/>
      <w:bookmarkStart w:id="983" w:name="bookmark983"/>
      <w:bookmarkEnd w:id="982"/>
      <w:r>
        <w:rPr>
          <w:color w:val="000000"/>
          <w:spacing w:val="0"/>
          <w:w w:val="100"/>
          <w:position w:val="0"/>
        </w:rPr>
        <w:t>本报告期实际核销的应收账款情况</w:t>
      </w:r>
      <w:bookmarkEnd w:id="979"/>
      <w:bookmarkEnd w:id="980"/>
      <w:bookmarkEnd w:id="983"/>
    </w:p>
    <w:tbl>
      <w:tblPr>
        <w:tblOverlap w:val="never"/>
        <w:jc w:val="center"/>
        <w:tblLayout w:type="fixed"/>
      </w:tblPr>
      <w:tblGrid>
        <w:gridCol w:w="3403"/>
        <w:gridCol w:w="1560"/>
        <w:gridCol w:w="1560"/>
        <w:gridCol w:w="1416"/>
        <w:gridCol w:w="994"/>
        <w:gridCol w:w="648"/>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是否因 关联交 易产生</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延边农村商业银行股份有限公司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中国光大银行股份有限公司宁波分行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17,292.00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中国农业银行股份有限公司保定分行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105,300.00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中国农业银行股份有限公司北京市分行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16,543.50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中国农业银行股份有限公司广西壮族自治 区分行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25,733.07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中国农业银行股份有限公司湖北省分行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343,866.21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中国农业银行股份有限公司吉林省分行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50,425.26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中国农业银行股份有限公司江西省分行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25,489.00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中国农业银行股份有限公司辽宁省分行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21,942.74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中国农业银行股份有限公司内蒙古自治区 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rPr>
              <w:t>151,094.10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中国农业银行股份有限公司山西省分行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10,008.35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中国农业银行股份有限公司陕西省分行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8,833.40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中国农业银行股份有限公司呼和浩特市新 华桥支行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9,250.00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03"/>
        <w:gridCol w:w="1560"/>
        <w:gridCol w:w="1560"/>
        <w:gridCol w:w="1416"/>
        <w:gridCol w:w="994"/>
        <w:gridCol w:w="648"/>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中国银行股份有限公司西峡支行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3,640.00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中国银行股份有限公司西峡支行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460.00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中国银行股份有限公司哈尔滨动力支行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5,301.50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中国农业银行股份有限公司荔浦县支行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3,064.00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中国农业银行股份有限公司简阳市支行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516.00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中国农业银行股份有限公司简阳市支行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中国农业银行股份有限公司东莞分行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1,045.00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中国农业银行股份有限公司盘锦分行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884.00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中国建设银行股份有限公司郑州金水支行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中国农业银行股份有限公司淑浦县支行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562.54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惠州大亚湾三利实业装修有限公司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840.00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中国农业银行股份有限公司扶风支行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650.00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中国农业银行股份有限公司甘肃静宁县支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中国农业银行股份有限公司婺源县支行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428.00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中国农业银行股份有限公司昆明市西山区 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中国农业银行九江市分行九龙支行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中国农业银行股份有限公司瑞昌市支行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中国农业银行股份有限公司永州新田县支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辽宁恒成建筑装饰设计工程有限公司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120.00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中国农业银行营口分行太阳升营业所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中国银行股份有限公司乌兰浩特分行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1,742.00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中国银行股份有限公司海南省分行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1,328.00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中国农业银行股份有限公司舟曲支行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1,010.00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中国农业银行股份有限公司绵竹支行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中国农业银行股份有限公司淮北分行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pPr>
            <w:r>
              <w:rPr>
                <w:rFonts w:ascii="SimSun" w:eastAsia="SimSun" w:hAnsi="SimSun" w:cs="SimSun"/>
                <w:color w:val="000000"/>
                <w:spacing w:val="0"/>
                <w:w w:val="100"/>
                <w:position w:val="0"/>
              </w:rPr>
              <w:t>1,000.00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中国农业银行股份有限公司两当县支行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360.00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中国农业银行股份有限公司江西省分行营 业部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750.00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中国农业银行股份有限公司佛山市分行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312.55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中国银行股份有限公司安岳支行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121.54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中国邮政储蓄银行临夏县支行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rPr>
              <w:t>250.00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中国农业银行白云时代玫瑰园支行</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2013年12月31日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403"/>
        <w:gridCol w:w="1560"/>
        <w:gridCol w:w="1560"/>
        <w:gridCol w:w="1416"/>
        <w:gridCol w:w="994"/>
        <w:gridCol w:w="648"/>
      </w:tblGrid>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中国银行股份有限公司温州市分行平阳支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2,324.95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中国农业银行股份有限公司宁县支行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1,813.68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中国农业银行股份有限公司鞍山铁西支行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中国农业银行广州钟落潭支行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中国农业银行股份有限公司江苏省分行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中国农业银行股份有限公司楚雄分行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中国农业银行股份有限公司博白县支行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中国银行股份有限公司四川省分行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中国银行股份有限公司天津宝坻支行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宁夏银行股份有限公司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达州市商业银行股份有限公司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遂平县农村信用合作联社褚堂分社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International Acumen Ltd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1,956,692.17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"IT SERVICE RETAIL </w:t>
            </w:r>
            <w:r>
              <w:rPr>
                <w:color w:val="000000"/>
                <w:spacing w:val="0"/>
                <w:w w:val="100"/>
                <w:position w:val="0"/>
              </w:rPr>
              <w:t xml:space="preserve">&amp; </w:t>
            </w:r>
            <w:r>
              <w:rPr>
                <w:color w:val="000000"/>
                <w:spacing w:val="0"/>
                <w:w w:val="100"/>
                <w:position w:val="0"/>
              </w:rPr>
              <w:t>BANKING "CJS</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CO.</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26,841.91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Proveedora Y Arrendadora De Cajeros. S.A.</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De C.V.</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128,460.04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Your Global Money Ltd </w:t>
            </w:r>
            <w:r>
              <w:rPr>
                <w:rFonts w:ascii="SimSun" w:eastAsia="SimSun" w:hAnsi="SimSun" w:cs="SimSun"/>
                <w:color w:val="000000"/>
                <w:spacing w:val="0"/>
                <w:w w:val="100"/>
                <w:position w:val="0"/>
              </w:rPr>
              <w:t>(</w:t>
            </w:r>
            <w:r>
              <w:rPr>
                <w:color w:val="000000"/>
                <w:spacing w:val="0"/>
                <w:w w:val="100"/>
                <w:position w:val="0"/>
              </w:rPr>
              <w:t>HK</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2013年12月31日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29,094.41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2,974,786.70</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一</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984" w:name="bookmark984"/>
      <w:bookmarkStart w:id="985" w:name="bookmark985"/>
      <w:bookmarkStart w:id="986" w:name="bookmark986"/>
      <w:bookmarkStart w:id="987" w:name="bookmark987"/>
      <w:r>
        <w:rPr>
          <w:color w:val="000000"/>
          <w:spacing w:val="0"/>
          <w:w w:val="100"/>
          <w:position w:val="0"/>
        </w:rPr>
        <w:t>⑷</w:t>
      </w:r>
      <w:bookmarkEnd w:id="986"/>
      <w:r>
        <w:rPr>
          <w:color w:val="000000"/>
          <w:spacing w:val="0"/>
          <w:w w:val="100"/>
          <w:position w:val="0"/>
        </w:rPr>
        <w:t>期末应收账款中没有持本公司5%以上(含5%)表决权股份的股东单位欠款。</w:t>
      </w:r>
      <w:bookmarkEnd w:id="984"/>
      <w:bookmarkEnd w:id="985"/>
      <w:bookmarkEnd w:id="987"/>
    </w:p>
    <w:p>
      <w:pPr>
        <w:pStyle w:val="Style44"/>
        <w:keepNext/>
        <w:keepLines/>
        <w:widowControl w:val="0"/>
        <w:numPr>
          <w:ilvl w:val="0"/>
          <w:numId w:val="65"/>
        </w:numPr>
        <w:shd w:val="clear" w:color="auto" w:fill="auto"/>
        <w:bidi w:val="0"/>
        <w:spacing w:before="0" w:after="340" w:line="240" w:lineRule="auto"/>
        <w:ind w:left="0" w:right="0" w:firstLine="420"/>
        <w:jc w:val="left"/>
      </w:pPr>
      <w:bookmarkStart w:id="984" w:name="bookmark984"/>
      <w:bookmarkStart w:id="985" w:name="bookmark985"/>
      <w:bookmarkStart w:id="988" w:name="bookmark988"/>
      <w:bookmarkStart w:id="989" w:name="bookmark989"/>
      <w:bookmarkEnd w:id="988"/>
      <w:r>
        <w:rPr>
          <w:color w:val="000000"/>
          <w:spacing w:val="0"/>
          <w:w w:val="100"/>
          <w:position w:val="0"/>
        </w:rPr>
        <w:t>应收账款中金额前五名单位情况</w:t>
      </w:r>
      <w:bookmarkEnd w:id="984"/>
      <w:bookmarkEnd w:id="985"/>
      <w:bookmarkEnd w:id="989"/>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占应收账款总额的比例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80,021,135.80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55,719,206.91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32,033,512.94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24,143,637.27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17,616,115.91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209,533,608.83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28.70%</w:t>
            </w:r>
          </w:p>
        </w:tc>
      </w:tr>
    </w:tbl>
    <w:p>
      <w:pPr>
        <w:pStyle w:val="Style54"/>
        <w:keepNext w:val="0"/>
        <w:keepLines w:val="0"/>
        <w:widowControl w:val="0"/>
        <w:numPr>
          <w:ilvl w:val="0"/>
          <w:numId w:val="65"/>
        </w:numPr>
        <w:shd w:val="clear" w:color="auto" w:fill="auto"/>
        <w:bidi w:val="0"/>
        <w:spacing w:before="0" w:after="380" w:line="240" w:lineRule="auto"/>
        <w:ind w:left="0" w:right="0" w:firstLine="420"/>
        <w:jc w:val="both"/>
      </w:pPr>
      <w:bookmarkStart w:id="990" w:name="bookmark990"/>
      <w:bookmarkEnd w:id="990"/>
      <w:r>
        <w:rPr>
          <w:color w:val="000000"/>
          <w:spacing w:val="0"/>
          <w:w w:val="100"/>
          <w:position w:val="0"/>
        </w:rPr>
        <w:t>期末应收账款中没有应收关联方账款。</w:t>
      </w:r>
    </w:p>
    <w:p>
      <w:pPr>
        <w:pStyle w:val="Style54"/>
        <w:keepNext w:val="0"/>
        <w:keepLines w:val="0"/>
        <w:widowControl w:val="0"/>
        <w:numPr>
          <w:ilvl w:val="0"/>
          <w:numId w:val="65"/>
        </w:numPr>
        <w:shd w:val="clear" w:color="auto" w:fill="auto"/>
        <w:tabs>
          <w:tab w:pos="860" w:val="left"/>
        </w:tabs>
        <w:bidi w:val="0"/>
        <w:spacing w:before="0" w:after="380" w:line="240" w:lineRule="auto"/>
        <w:ind w:left="0" w:right="0" w:firstLine="420"/>
        <w:jc w:val="both"/>
      </w:pPr>
      <w:bookmarkStart w:id="991" w:name="bookmark991"/>
      <w:bookmarkEnd w:id="991"/>
      <w:r>
        <w:rPr>
          <w:color w:val="000000"/>
          <w:spacing w:val="0"/>
          <w:w w:val="100"/>
          <w:position w:val="0"/>
        </w:rPr>
        <w:t>本期没有因金融资产转移而终止确认的应收款项。</w:t>
      </w:r>
    </w:p>
    <w:p>
      <w:pPr>
        <w:pStyle w:val="Style54"/>
        <w:keepNext w:val="0"/>
        <w:keepLines w:val="0"/>
        <w:widowControl w:val="0"/>
        <w:numPr>
          <w:ilvl w:val="0"/>
          <w:numId w:val="65"/>
        </w:numPr>
        <w:shd w:val="clear" w:color="auto" w:fill="auto"/>
        <w:tabs>
          <w:tab w:pos="860" w:val="left"/>
        </w:tabs>
        <w:bidi w:val="0"/>
        <w:spacing w:before="0" w:after="380" w:line="240" w:lineRule="auto"/>
        <w:ind w:left="0" w:right="0" w:firstLine="420"/>
        <w:jc w:val="both"/>
      </w:pPr>
      <w:bookmarkStart w:id="992" w:name="bookmark992"/>
      <w:bookmarkEnd w:id="992"/>
      <w:r>
        <w:rPr>
          <w:color w:val="000000"/>
          <w:spacing w:val="0"/>
          <w:w w:val="100"/>
          <w:position w:val="0"/>
        </w:rPr>
        <w:t>本期没有未全部终止确认的被转移的应收账款。</w:t>
      </w:r>
    </w:p>
    <w:p>
      <w:pPr>
        <w:pStyle w:val="Style54"/>
        <w:keepNext w:val="0"/>
        <w:keepLines w:val="0"/>
        <w:widowControl w:val="0"/>
        <w:numPr>
          <w:ilvl w:val="0"/>
          <w:numId w:val="65"/>
        </w:numPr>
        <w:shd w:val="clear" w:color="auto" w:fill="auto"/>
        <w:tabs>
          <w:tab w:pos="860" w:val="left"/>
        </w:tabs>
        <w:bidi w:val="0"/>
        <w:spacing w:before="0" w:after="380" w:line="240" w:lineRule="auto"/>
        <w:ind w:left="0" w:right="0" w:firstLine="420"/>
        <w:jc w:val="both"/>
      </w:pPr>
      <w:bookmarkStart w:id="993" w:name="bookmark993"/>
      <w:bookmarkEnd w:id="993"/>
      <w:r>
        <w:rPr>
          <w:color w:val="000000"/>
          <w:spacing w:val="0"/>
          <w:w w:val="100"/>
          <w:position w:val="0"/>
        </w:rPr>
        <w:t>期末没有以应收款项为标的进行证券化的情况。</w:t>
      </w:r>
    </w:p>
    <w:p>
      <w:pPr>
        <w:pStyle w:val="Style54"/>
        <w:keepNext w:val="0"/>
        <w:keepLines w:val="0"/>
        <w:widowControl w:val="0"/>
        <w:shd w:val="clear" w:color="auto" w:fill="auto"/>
        <w:bidi w:val="0"/>
        <w:spacing w:before="0" w:after="380" w:line="240" w:lineRule="auto"/>
        <w:ind w:left="0" w:right="0" w:firstLine="420"/>
        <w:jc w:val="both"/>
      </w:pPr>
      <w:bookmarkStart w:id="994" w:name="bookmark994"/>
      <w:r>
        <w:rPr>
          <w:color w:val="000000"/>
          <w:spacing w:val="0"/>
          <w:w w:val="100"/>
          <w:position w:val="0"/>
        </w:rPr>
        <w:t>4</w:t>
      </w:r>
      <w:bookmarkEnd w:id="994"/>
      <w:r>
        <w:rPr>
          <w:color w:val="000000"/>
          <w:spacing w:val="0"/>
          <w:w w:val="100"/>
          <w:position w:val="0"/>
        </w:rPr>
        <w:t>、其他应收款</w:t>
      </w:r>
    </w:p>
    <w:p>
      <w:pPr>
        <w:pStyle w:val="Style54"/>
        <w:keepNext w:val="0"/>
        <w:keepLines w:val="0"/>
        <w:widowControl w:val="0"/>
        <w:numPr>
          <w:ilvl w:val="0"/>
          <w:numId w:val="69"/>
        </w:numPr>
        <w:shd w:val="clear" w:color="auto" w:fill="auto"/>
        <w:bidi w:val="0"/>
        <w:spacing w:before="0" w:after="320" w:line="240" w:lineRule="auto"/>
        <w:ind w:left="0" w:right="0" w:firstLine="420"/>
        <w:jc w:val="both"/>
      </w:pPr>
      <w:bookmarkStart w:id="995" w:name="bookmark995"/>
      <w:bookmarkEnd w:id="995"/>
      <w:r>
        <w:rPr>
          <w:color w:val="000000"/>
          <w:spacing w:val="0"/>
          <w:w w:val="100"/>
          <w:position w:val="0"/>
        </w:rPr>
        <w:t>其他应收款按种类披露</w:t>
      </w:r>
    </w:p>
    <w:tbl>
      <w:tblPr>
        <w:tblOverlap w:val="never"/>
        <w:jc w:val="center"/>
        <w:tblLayout w:type="fixed"/>
      </w:tblPr>
      <w:tblGrid>
        <w:gridCol w:w="1906"/>
        <w:gridCol w:w="1214"/>
        <w:gridCol w:w="634"/>
        <w:gridCol w:w="1061"/>
        <w:gridCol w:w="792"/>
        <w:gridCol w:w="1200"/>
        <w:gridCol w:w="782"/>
        <w:gridCol w:w="1190"/>
        <w:gridCol w:w="80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48,520,545.36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93.15%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1,835,074.93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32,452,446.42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499,373.12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应收补贴款组合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3,570,526.10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52,091,071.46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1,835,074.93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32,452,446.42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499,373.12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52,091,071.46</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1,835,074.93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32,452,446.42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499,373.12</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54"/>
        <w:keepNext w:val="0"/>
        <w:keepLines w:val="0"/>
        <w:widowControl w:val="0"/>
        <w:shd w:val="clear" w:color="auto" w:fill="auto"/>
        <w:bidi w:val="0"/>
        <w:spacing w:before="0" w:after="180" w:line="240" w:lineRule="auto"/>
        <w:ind w:left="0" w:right="0" w:firstLine="420"/>
        <w:jc w:val="both"/>
      </w:pPr>
      <w:r>
        <w:rPr>
          <w:b w:val="0"/>
          <w:bCs w:val="0"/>
          <w:color w:val="000000"/>
          <w:spacing w:val="0"/>
          <w:w w:val="100"/>
          <w:position w:val="0"/>
        </w:rPr>
        <w:t>其他应收款种类的说明：详见本附注四、10。</w:t>
      </w:r>
    </w:p>
    <w:p>
      <w:pPr>
        <w:pStyle w:val="Style54"/>
        <w:keepNext w:val="0"/>
        <w:keepLines w:val="0"/>
        <w:widowControl w:val="0"/>
        <w:shd w:val="clear" w:color="auto" w:fill="auto"/>
        <w:bidi w:val="0"/>
        <w:spacing w:before="0" w:after="180" w:line="240" w:lineRule="auto"/>
        <w:ind w:left="0" w:right="0" w:firstLine="420"/>
        <w:jc w:val="both"/>
      </w:pPr>
      <w:r>
        <w:rPr>
          <w:b w:val="0"/>
          <w:bCs w:val="0"/>
          <w:color w:val="000000"/>
          <w:spacing w:val="0"/>
          <w:w w:val="100"/>
          <w:position w:val="0"/>
        </w:rPr>
        <w:t>期末没有单项金额重大并单项计提坏账准备的其他应收款。</w:t>
      </w:r>
    </w:p>
    <w:p>
      <w:pPr>
        <w:pStyle w:val="Style54"/>
        <w:keepNext w:val="0"/>
        <w:keepLines w:val="0"/>
        <w:widowControl w:val="0"/>
        <w:shd w:val="clear" w:color="auto" w:fill="auto"/>
        <w:bidi w:val="0"/>
        <w:spacing w:before="0" w:after="120" w:line="240" w:lineRule="auto"/>
        <w:ind w:left="0" w:right="0" w:firstLine="420"/>
        <w:jc w:val="both"/>
      </w:pPr>
      <w:r>
        <w:rPr>
          <w:b w:val="0"/>
          <w:bCs w:val="0"/>
          <w:color w:val="000000"/>
          <w:spacing w:val="0"/>
          <w:w w:val="100"/>
          <w:position w:val="0"/>
        </w:rPr>
        <w:t>组合中，采用账龄分析法计提坏账准备的其他应收款</w:t>
      </w:r>
    </w:p>
    <w:tbl>
      <w:tblPr>
        <w:tblOverlap w:val="never"/>
        <w:jc w:val="center"/>
        <w:tblLayout w:type="fixed"/>
      </w:tblPr>
      <w:tblGrid>
        <w:gridCol w:w="1848"/>
        <w:gridCol w:w="1843"/>
        <w:gridCol w:w="658"/>
        <w:gridCol w:w="1450"/>
        <w:gridCol w:w="1450"/>
        <w:gridCol w:w="653"/>
        <w:gridCol w:w="1680"/>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42,633,476.08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87.87%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left"/>
            </w:pPr>
            <w:r>
              <w:rPr>
                <w:color w:val="000000"/>
                <w:spacing w:val="0"/>
                <w:w w:val="100"/>
                <w:position w:val="0"/>
              </w:rPr>
              <w:t>213,167.41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29,653,178.45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91.37%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148,265.90</w:t>
            </w:r>
          </w:p>
        </w:tc>
      </w:tr>
    </w:tbl>
    <w:p>
      <w:pPr>
        <w:spacing w:lineRule="exact" w:line="1"/>
        <w:rPr>
          <w:sz w:val="2"/>
          <w:szCs w:val="2"/>
        </w:rPr>
      </w:pPr>
      <w:r>
        <w:br w:type="page"/>
      </w:r>
    </w:p>
    <w:tbl>
      <w:tblPr>
        <w:tblOverlap w:val="never"/>
        <w:jc w:val="center"/>
        <w:tblLayout w:type="fixed"/>
      </w:tblPr>
      <w:tblGrid>
        <w:gridCol w:w="1848"/>
        <w:gridCol w:w="1843"/>
        <w:gridCol w:w="658"/>
        <w:gridCol w:w="1450"/>
        <w:gridCol w:w="1450"/>
        <w:gridCol w:w="653"/>
        <w:gridCol w:w="1680"/>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42,633,476.08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213,167.41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29,653,178.45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148,265.90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2,938,720.47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146,936.02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1,727,288.51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86,364.43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1,248,940.53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124,894.05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477,474.77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47,747.48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1,699,408.28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1,350,077.45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594,504.69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216,995.31</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275,190.34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82,557.10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451,285.18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135,385.55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313,395.19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156,697.60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123,219.51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61,609.76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1,110,822.75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1,110,822.75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48,520,545.36</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1,835,074.93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32,452,446.42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499,373.12</w:t>
            </w:r>
          </w:p>
        </w:tc>
      </w:tr>
    </w:tbl>
    <w:p>
      <w:pPr>
        <w:widowControl w:val="0"/>
        <w:spacing w:after="339" w:line="1" w:lineRule="exact"/>
      </w:pPr>
    </w:p>
    <w:p>
      <w:pPr>
        <w:pStyle w:val="Style54"/>
        <w:keepNext w:val="0"/>
        <w:keepLines w:val="0"/>
        <w:widowControl w:val="0"/>
        <w:shd w:val="clear" w:color="auto" w:fill="auto"/>
        <w:bidi w:val="0"/>
        <w:spacing w:before="0" w:after="340" w:line="240" w:lineRule="auto"/>
        <w:ind w:left="0" w:right="0" w:firstLine="420"/>
        <w:jc w:val="left"/>
      </w:pPr>
      <w:r>
        <w:rPr>
          <w:b w:val="0"/>
          <w:bCs w:val="0"/>
          <w:color w:val="000000"/>
          <w:spacing w:val="0"/>
          <w:w w:val="100"/>
          <w:position w:val="0"/>
        </w:rPr>
        <w:t>期末没有单项金额虽不重大但单项计提坏账准备的其他应收款。</w:t>
      </w:r>
    </w:p>
    <w:p>
      <w:pPr>
        <w:pStyle w:val="Style44"/>
        <w:keepNext/>
        <w:keepLines/>
        <w:widowControl w:val="0"/>
        <w:numPr>
          <w:ilvl w:val="0"/>
          <w:numId w:val="69"/>
        </w:numPr>
        <w:shd w:val="clear" w:color="auto" w:fill="auto"/>
        <w:tabs>
          <w:tab w:pos="860" w:val="left"/>
        </w:tabs>
        <w:bidi w:val="0"/>
        <w:spacing w:before="0" w:after="340" w:line="240" w:lineRule="auto"/>
        <w:ind w:left="0" w:right="0" w:firstLine="420"/>
        <w:jc w:val="left"/>
      </w:pPr>
      <w:bookmarkStart w:id="996" w:name="bookmark996"/>
      <w:bookmarkStart w:id="997" w:name="bookmark997"/>
      <w:bookmarkStart w:id="998" w:name="bookmark998"/>
      <w:bookmarkStart w:id="999" w:name="bookmark999"/>
      <w:bookmarkEnd w:id="998"/>
      <w:r>
        <w:rPr>
          <w:color w:val="000000"/>
          <w:spacing w:val="0"/>
          <w:w w:val="100"/>
          <w:position w:val="0"/>
        </w:rPr>
        <w:t>本期没有转回或收回的其他应收款。</w:t>
      </w:r>
      <w:bookmarkEnd w:id="996"/>
      <w:bookmarkEnd w:id="997"/>
      <w:bookmarkEnd w:id="999"/>
    </w:p>
    <w:p>
      <w:pPr>
        <w:pStyle w:val="Style44"/>
        <w:keepNext/>
        <w:keepLines/>
        <w:widowControl w:val="0"/>
        <w:numPr>
          <w:ilvl w:val="0"/>
          <w:numId w:val="69"/>
        </w:numPr>
        <w:shd w:val="clear" w:color="auto" w:fill="auto"/>
        <w:tabs>
          <w:tab w:pos="860" w:val="left"/>
        </w:tabs>
        <w:bidi w:val="0"/>
        <w:spacing w:before="0" w:after="340" w:line="240" w:lineRule="auto"/>
        <w:ind w:left="0" w:right="0" w:firstLine="420"/>
        <w:jc w:val="left"/>
      </w:pPr>
      <w:bookmarkStart w:id="1000" w:name="bookmark1000"/>
      <w:bookmarkStart w:id="1001" w:name="bookmark1001"/>
      <w:bookmarkStart w:id="996" w:name="bookmark996"/>
      <w:bookmarkStart w:id="997" w:name="bookmark997"/>
      <w:bookmarkEnd w:id="1000"/>
      <w:r>
        <w:rPr>
          <w:color w:val="000000"/>
          <w:spacing w:val="0"/>
          <w:w w:val="100"/>
          <w:position w:val="0"/>
        </w:rPr>
        <w:t>本报告期实际核销的其他应收款情况</w:t>
      </w:r>
      <w:bookmarkEnd w:id="1001"/>
      <w:bookmarkEnd w:id="996"/>
      <w:bookmarkEnd w:id="997"/>
    </w:p>
    <w:tbl>
      <w:tblPr>
        <w:tblOverlap w:val="never"/>
        <w:jc w:val="center"/>
        <w:tblLayout w:type="fixed"/>
      </w:tblPr>
      <w:tblGrid>
        <w:gridCol w:w="1598"/>
        <w:gridCol w:w="1594"/>
        <w:gridCol w:w="1594"/>
        <w:gridCol w:w="1464"/>
        <w:gridCol w:w="1517"/>
        <w:gridCol w:w="181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是否因关联交易产生</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员工借款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14,419.44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员工已辞职</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14,419.44</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4"/>
        <w:keepNext/>
        <w:keepLines/>
        <w:widowControl w:val="0"/>
        <w:numPr>
          <w:ilvl w:val="0"/>
          <w:numId w:val="69"/>
        </w:numPr>
        <w:shd w:val="clear" w:color="auto" w:fill="auto"/>
        <w:tabs>
          <w:tab w:pos="860" w:val="left"/>
        </w:tabs>
        <w:bidi w:val="0"/>
        <w:spacing w:before="0" w:after="340" w:line="240" w:lineRule="auto"/>
        <w:ind w:left="0" w:right="0" w:firstLine="42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期末其他应收款中没有持本公司5%以上(含5%)表决权股份的股东单位欠款情况。</w:t>
      </w:r>
      <w:bookmarkEnd w:id="1002"/>
      <w:bookmarkEnd w:id="1003"/>
      <w:bookmarkEnd w:id="1005"/>
    </w:p>
    <w:p>
      <w:pPr>
        <w:pStyle w:val="Style44"/>
        <w:keepNext/>
        <w:keepLines/>
        <w:widowControl w:val="0"/>
        <w:numPr>
          <w:ilvl w:val="0"/>
          <w:numId w:val="69"/>
        </w:numPr>
        <w:shd w:val="clear" w:color="auto" w:fill="auto"/>
        <w:tabs>
          <w:tab w:pos="860" w:val="left"/>
        </w:tabs>
        <w:bidi w:val="0"/>
        <w:spacing w:before="0" w:after="340" w:line="240" w:lineRule="auto"/>
        <w:ind w:left="0" w:right="0" w:firstLine="420"/>
        <w:jc w:val="left"/>
      </w:pPr>
      <w:bookmarkStart w:id="1002" w:name="bookmark1002"/>
      <w:bookmarkStart w:id="1003" w:name="bookmark1003"/>
      <w:bookmarkStart w:id="1006" w:name="bookmark1006"/>
      <w:bookmarkStart w:id="1007" w:name="bookmark1007"/>
      <w:bookmarkEnd w:id="1006"/>
      <w:r>
        <w:rPr>
          <w:color w:val="000000"/>
          <w:spacing w:val="0"/>
          <w:w w:val="100"/>
          <w:position w:val="0"/>
        </w:rPr>
        <w:t>其他应收款金额前五名单位情况</w:t>
      </w:r>
      <w:bookmarkEnd w:id="1002"/>
      <w:bookmarkEnd w:id="1003"/>
      <w:bookmarkEnd w:id="1007"/>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4,886,100.00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9.38%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3,570,526.10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6.85%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员工一(投标保证金)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5.38%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员工二(投标保证金)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2,610,000.00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5.01%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员工三(测试钞)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2,033,676.60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15,900,302.70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w:t>
            </w:r>
          </w:p>
        </w:tc>
      </w:tr>
    </w:tbl>
    <w:p>
      <w:pPr>
        <w:sectPr>
          <w:headerReference w:type="default" r:id="rId25"/>
          <w:footerReference w:type="default" r:id="rId26"/>
          <w:footnotePr>
            <w:pos w:val="pageBottom"/>
            <w:numFmt w:val="decimal"/>
            <w:numRestart w:val="continuous"/>
          </w:footnotePr>
          <w:pgSz w:w="11900" w:h="16840"/>
          <w:pgMar w:top="1340" w:right="1063" w:bottom="1460" w:left="1050" w:header="0" w:footer="3" w:gutter="0"/>
          <w:cols w:space="720"/>
          <w:noEndnote/>
          <w:rtlGutter w:val="0"/>
          <w:docGrid w:linePitch="360"/>
        </w:sectPr>
      </w:pPr>
    </w:p>
    <w:p>
      <w:pPr>
        <w:pStyle w:val="Style54"/>
        <w:keepNext w:val="0"/>
        <w:keepLines w:val="0"/>
        <w:widowControl w:val="0"/>
        <w:numPr>
          <w:ilvl w:val="0"/>
          <w:numId w:val="69"/>
        </w:numPr>
        <w:shd w:val="clear" w:color="auto" w:fill="auto"/>
        <w:bidi w:val="0"/>
        <w:spacing w:before="0" w:after="380" w:line="240" w:lineRule="auto"/>
        <w:ind w:left="0" w:right="0" w:firstLine="440"/>
        <w:jc w:val="left"/>
      </w:pPr>
      <w:bookmarkStart w:id="1008" w:name="bookmark1008"/>
      <w:bookmarkEnd w:id="1008"/>
      <w:r>
        <w:rPr>
          <w:color w:val="000000"/>
          <w:spacing w:val="0"/>
          <w:w w:val="100"/>
          <w:position w:val="0"/>
        </w:rPr>
        <w:t>本期末其他应收款中没有应收关联方账款情况。</w:t>
      </w:r>
    </w:p>
    <w:p>
      <w:pPr>
        <w:pStyle w:val="Style54"/>
        <w:keepNext w:val="0"/>
        <w:keepLines w:val="0"/>
        <w:widowControl w:val="0"/>
        <w:numPr>
          <w:ilvl w:val="0"/>
          <w:numId w:val="69"/>
        </w:numPr>
        <w:shd w:val="clear" w:color="auto" w:fill="auto"/>
        <w:tabs>
          <w:tab w:pos="880" w:val="left"/>
        </w:tabs>
        <w:bidi w:val="0"/>
        <w:spacing w:before="0" w:after="380" w:line="240" w:lineRule="auto"/>
        <w:ind w:left="0" w:right="0" w:firstLine="440"/>
        <w:jc w:val="left"/>
      </w:pPr>
      <w:bookmarkStart w:id="1009" w:name="bookmark1009"/>
      <w:bookmarkEnd w:id="1009"/>
      <w:r>
        <w:rPr>
          <w:color w:val="000000"/>
          <w:spacing w:val="0"/>
          <w:w w:val="100"/>
          <w:position w:val="0"/>
        </w:rPr>
        <w:t>本期没有因金融资产转移而终止确认的其他应收款情况。</w:t>
      </w:r>
    </w:p>
    <w:p>
      <w:pPr>
        <w:pStyle w:val="Style54"/>
        <w:keepNext w:val="0"/>
        <w:keepLines w:val="0"/>
        <w:widowControl w:val="0"/>
        <w:numPr>
          <w:ilvl w:val="0"/>
          <w:numId w:val="69"/>
        </w:numPr>
        <w:shd w:val="clear" w:color="auto" w:fill="auto"/>
        <w:tabs>
          <w:tab w:pos="880" w:val="left"/>
        </w:tabs>
        <w:bidi w:val="0"/>
        <w:spacing w:before="0" w:after="380" w:line="240" w:lineRule="auto"/>
        <w:ind w:left="0" w:right="0" w:firstLine="440"/>
        <w:jc w:val="left"/>
      </w:pPr>
      <w:bookmarkStart w:id="1010" w:name="bookmark1010"/>
      <w:bookmarkEnd w:id="1010"/>
      <w:r>
        <w:rPr>
          <w:color w:val="000000"/>
          <w:spacing w:val="0"/>
          <w:w w:val="100"/>
          <w:position w:val="0"/>
        </w:rPr>
        <w:t>本期没有未全部终止确认的被转移的其他应收款情况。</w:t>
      </w:r>
    </w:p>
    <w:p>
      <w:pPr>
        <w:pStyle w:val="Style54"/>
        <w:keepNext w:val="0"/>
        <w:keepLines w:val="0"/>
        <w:widowControl w:val="0"/>
        <w:numPr>
          <w:ilvl w:val="0"/>
          <w:numId w:val="69"/>
        </w:numPr>
        <w:shd w:val="clear" w:color="auto" w:fill="auto"/>
        <w:tabs>
          <w:tab w:pos="880" w:val="left"/>
        </w:tabs>
        <w:bidi w:val="0"/>
        <w:spacing w:before="0" w:after="380" w:line="240" w:lineRule="auto"/>
        <w:ind w:left="0" w:right="0" w:firstLine="440"/>
        <w:jc w:val="left"/>
      </w:pPr>
      <w:bookmarkStart w:id="1011" w:name="bookmark1011"/>
      <w:bookmarkEnd w:id="1011"/>
      <w:r>
        <w:rPr>
          <w:color w:val="000000"/>
          <w:spacing w:val="0"/>
          <w:w w:val="100"/>
          <w:position w:val="0"/>
        </w:rPr>
        <w:t>本期末没有以其他应收款为标的进行证券化的情况。</w:t>
      </w:r>
    </w:p>
    <w:p>
      <w:pPr>
        <w:pStyle w:val="Style54"/>
        <w:keepNext w:val="0"/>
        <w:keepLines w:val="0"/>
        <w:widowControl w:val="0"/>
        <w:numPr>
          <w:ilvl w:val="0"/>
          <w:numId w:val="69"/>
        </w:numPr>
        <w:shd w:val="clear" w:color="auto" w:fill="auto"/>
        <w:tabs>
          <w:tab w:pos="986" w:val="left"/>
        </w:tabs>
        <w:bidi w:val="0"/>
        <w:spacing w:before="0" w:after="320" w:line="240" w:lineRule="auto"/>
        <w:ind w:left="0" w:right="0" w:firstLine="440"/>
        <w:jc w:val="left"/>
      </w:pPr>
      <w:bookmarkStart w:id="1012" w:name="bookmark1012"/>
      <w:bookmarkEnd w:id="1012"/>
      <w:r>
        <w:rPr>
          <w:color w:val="000000"/>
          <w:spacing w:val="0"/>
          <w:w w:val="100"/>
          <w:position w:val="0"/>
        </w:rPr>
        <w:t>报告期末按应收金额确认的政府补助</w:t>
      </w:r>
    </w:p>
    <w:tbl>
      <w:tblPr>
        <w:tblOverlap w:val="never"/>
        <w:jc w:val="center"/>
        <w:tblLayout w:type="fixed"/>
      </w:tblPr>
      <w:tblGrid>
        <w:gridCol w:w="1421"/>
        <w:gridCol w:w="979"/>
        <w:gridCol w:w="1147"/>
        <w:gridCol w:w="850"/>
        <w:gridCol w:w="1560"/>
        <w:gridCol w:w="1133"/>
        <w:gridCol w:w="1138"/>
        <w:gridCol w:w="1354"/>
      </w:tblGrid>
      <w:tr>
        <w:trPr>
          <w:trHeight w:val="10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政府补助项 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期末账龄</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预计收取时间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预计收取金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预计收取依 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未能在预计时点 收到预计金额的 原因(如有)</w:t>
            </w:r>
          </w:p>
        </w:tc>
      </w:tr>
      <w:tr>
        <w:trPr>
          <w:trHeight w:val="10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广州经济技术开 发区国家税务局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出口退税款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3,570,526.10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3,570,526.10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依据出口退 税的申报表 核算</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3,570,526.10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3,570,526.10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4"/>
        <w:keepNext w:val="0"/>
        <w:keepLines w:val="0"/>
        <w:widowControl w:val="0"/>
        <w:shd w:val="clear" w:color="auto" w:fill="auto"/>
        <w:bidi w:val="0"/>
        <w:spacing w:before="0" w:after="380" w:line="240" w:lineRule="auto"/>
        <w:ind w:left="0" w:right="0" w:firstLine="440"/>
        <w:jc w:val="left"/>
      </w:pPr>
      <w:bookmarkStart w:id="1013" w:name="bookmark1013"/>
      <w:r>
        <w:rPr>
          <w:rFonts w:ascii="Times New Roman" w:eastAsia="Times New Roman" w:hAnsi="Times New Roman" w:cs="Times New Roman"/>
          <w:color w:val="000000"/>
          <w:spacing w:val="0"/>
          <w:w w:val="100"/>
          <w:position w:val="0"/>
        </w:rPr>
        <w:t>5</w:t>
      </w:r>
      <w:bookmarkEnd w:id="1013"/>
      <w:r>
        <w:rPr>
          <w:color w:val="000000"/>
          <w:spacing w:val="0"/>
          <w:w w:val="100"/>
          <w:position w:val="0"/>
        </w:rPr>
        <w:t>、预付款项</w:t>
      </w:r>
    </w:p>
    <w:p>
      <w:pPr>
        <w:pStyle w:val="Style54"/>
        <w:keepNext w:val="0"/>
        <w:keepLines w:val="0"/>
        <w:widowControl w:val="0"/>
        <w:numPr>
          <w:ilvl w:val="0"/>
          <w:numId w:val="71"/>
        </w:numPr>
        <w:shd w:val="clear" w:color="auto" w:fill="auto"/>
        <w:bidi w:val="0"/>
        <w:spacing w:before="0" w:after="320" w:line="240" w:lineRule="auto"/>
        <w:ind w:left="0" w:right="0" w:firstLine="440"/>
        <w:jc w:val="left"/>
      </w:pPr>
      <w:bookmarkStart w:id="1014" w:name="bookmark1014"/>
      <w:bookmarkEnd w:id="1014"/>
      <w:r>
        <w:rPr>
          <w:color w:val="000000"/>
          <w:spacing w:val="0"/>
          <w:w w:val="100"/>
          <w:position w:val="0"/>
        </w:rPr>
        <w:t>预付款项按账龄列示</w:t>
      </w:r>
    </w:p>
    <w:tbl>
      <w:tblPr>
        <w:tblOverlap w:val="never"/>
        <w:jc w:val="center"/>
        <w:tblLayout w:type="fixed"/>
      </w:tblPr>
      <w:tblGrid>
        <w:gridCol w:w="1205"/>
        <w:gridCol w:w="3187"/>
        <w:gridCol w:w="1061"/>
        <w:gridCol w:w="3058"/>
        <w:gridCol w:w="1070"/>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98,864,819.19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76.06%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49,453,209.32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30,774,704.41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129,978,323.60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49,453,209.32</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54"/>
        <w:keepNext w:val="0"/>
        <w:keepLines w:val="0"/>
        <w:widowControl w:val="0"/>
        <w:numPr>
          <w:ilvl w:val="0"/>
          <w:numId w:val="71"/>
        </w:numPr>
        <w:shd w:val="clear" w:color="auto" w:fill="auto"/>
        <w:bidi w:val="0"/>
        <w:spacing w:before="0" w:after="320" w:line="240" w:lineRule="auto"/>
        <w:ind w:left="0" w:right="0" w:firstLine="440"/>
        <w:jc w:val="left"/>
      </w:pPr>
      <w:bookmarkStart w:id="1015" w:name="bookmark1015"/>
      <w:bookmarkEnd w:id="1015"/>
      <w:r>
        <w:rPr>
          <w:color w:val="000000"/>
          <w:spacing w:val="0"/>
          <w:w w:val="100"/>
          <w:position w:val="0"/>
        </w:rPr>
        <w:t>预付款项金额前五名单位情况</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未结算原因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59,258,024.00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预付土地款</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项目未结算验收</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12,058,227.70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货物未到</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8,541,464.25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项目未结算验收</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6,949,798.77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货物未到</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110,807,514.72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4"/>
        <w:keepNext/>
        <w:keepLines/>
        <w:widowControl w:val="0"/>
        <w:numPr>
          <w:ilvl w:val="0"/>
          <w:numId w:val="71"/>
        </w:numPr>
        <w:shd w:val="clear" w:color="auto" w:fill="auto"/>
        <w:bidi w:val="0"/>
        <w:spacing w:before="0" w:after="380" w:line="240" w:lineRule="auto"/>
        <w:ind w:left="0" w:right="0" w:firstLine="44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期末预付款项中没有持本公司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1016"/>
      <w:bookmarkEnd w:id="1017"/>
      <w:bookmarkEnd w:id="1019"/>
    </w:p>
    <w:p>
      <w:pPr>
        <w:pStyle w:val="Style44"/>
        <w:keepNext/>
        <w:keepLines/>
        <w:widowControl w:val="0"/>
        <w:shd w:val="clear" w:color="auto" w:fill="auto"/>
        <w:bidi w:val="0"/>
        <w:spacing w:before="0" w:after="380" w:line="240" w:lineRule="auto"/>
        <w:ind w:left="0" w:right="0" w:firstLine="440"/>
        <w:jc w:val="left"/>
      </w:pPr>
      <w:bookmarkStart w:id="1016" w:name="bookmark1016"/>
      <w:bookmarkStart w:id="1017" w:name="bookmark1017"/>
      <w:bookmarkStart w:id="1020" w:name="bookmark1020"/>
      <w:bookmarkStart w:id="1021" w:name="bookmark1021"/>
      <w:r>
        <w:rPr>
          <w:color w:val="000000"/>
          <w:spacing w:val="0"/>
          <w:w w:val="100"/>
          <w:position w:val="0"/>
        </w:rPr>
        <w:t>6</w:t>
      </w:r>
      <w:bookmarkEnd w:id="1020"/>
      <w:r>
        <w:rPr>
          <w:color w:val="000000"/>
          <w:spacing w:val="0"/>
          <w:w w:val="100"/>
          <w:position w:val="0"/>
        </w:rPr>
        <w:t>、存货</w:t>
      </w:r>
      <w:bookmarkEnd w:id="1016"/>
      <w:bookmarkEnd w:id="1017"/>
      <w:bookmarkEnd w:id="1021"/>
    </w:p>
    <w:p>
      <w:pPr>
        <w:pStyle w:val="Style44"/>
        <w:keepNext/>
        <w:keepLines/>
        <w:widowControl w:val="0"/>
        <w:shd w:val="clear" w:color="auto" w:fill="auto"/>
        <w:bidi w:val="0"/>
        <w:spacing w:before="0" w:after="320" w:line="240" w:lineRule="auto"/>
        <w:ind w:left="0" w:right="0" w:firstLine="440"/>
        <w:jc w:val="left"/>
      </w:pPr>
      <w:bookmarkStart w:id="1016" w:name="bookmark1016"/>
      <w:bookmarkStart w:id="1017" w:name="bookmark1017"/>
      <w:bookmarkStart w:id="1022" w:name="bookmark1022"/>
      <w:r>
        <w:rPr>
          <w:color w:val="000000"/>
          <w:spacing w:val="0"/>
          <w:w w:val="100"/>
          <w:position w:val="0"/>
        </w:rPr>
        <w:t>(1)存货分类</w:t>
      </w:r>
      <w:bookmarkEnd w:id="1016"/>
      <w:bookmarkEnd w:id="1017"/>
      <w:bookmarkEnd w:id="1022"/>
    </w:p>
    <w:tbl>
      <w:tblPr>
        <w:tblOverlap w:val="never"/>
        <w:jc w:val="center"/>
        <w:tblLayout w:type="fixed"/>
      </w:tblPr>
      <w:tblGrid>
        <w:gridCol w:w="1603"/>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194,605,379.19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194,605,379.19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88,937,098.19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88,937,098.19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82,074,825.14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82,074,825.14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24,038,897.56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24,038,897.56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826,696,233.88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both"/>
            </w:pPr>
            <w:r>
              <w:rPr>
                <w:color w:val="000000"/>
                <w:spacing w:val="0"/>
                <w:w w:val="100"/>
                <w:position w:val="0"/>
              </w:rPr>
              <w:t>826,696,233.88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656,618,724.66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656,618,724.66</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开发产品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67,466,039.02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67,466,039.02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1,170,842,477.23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1,170,842,477.23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769,594,720.41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769,594,720.41</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r>
        <w:rPr>
          <w:color w:val="000000"/>
          <w:spacing w:val="0"/>
          <w:w w:val="100"/>
          <w:position w:val="0"/>
        </w:rPr>
        <w:t>开发产品的说明</w:t>
      </w:r>
      <w:bookmarkEnd w:id="1023"/>
      <w:bookmarkEnd w:id="1024"/>
      <w:bookmarkEnd w:id="1025"/>
    </w:p>
    <w:tbl>
      <w:tblPr>
        <w:tblOverlap w:val="never"/>
        <w:jc w:val="center"/>
        <w:tblLayout w:type="fixed"/>
      </w:tblPr>
      <w:tblGrid>
        <w:gridCol w:w="2395"/>
        <w:gridCol w:w="1579"/>
        <w:gridCol w:w="1416"/>
        <w:gridCol w:w="1416"/>
        <w:gridCol w:w="1421"/>
        <w:gridCol w:w="1853"/>
      </w:tblGrid>
      <w:tr>
        <w:trPr>
          <w:trHeight w:val="326"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竣工时间</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年初余额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期末余额</w:t>
            </w:r>
          </w:p>
        </w:tc>
      </w:tr>
      <w:tr>
        <w:trPr>
          <w:trHeight w:val="322"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赣州厂房</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67,466,039.02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67,466,039.02</w:t>
            </w:r>
          </w:p>
        </w:tc>
      </w:tr>
      <w:tr>
        <w:trPr>
          <w:trHeight w:val="336"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67,466,039.02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67,466,039.02</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7</w:t>
      </w:r>
      <w:bookmarkEnd w:id="1028"/>
      <w:r>
        <w:rPr>
          <w:color w:val="000000"/>
          <w:spacing w:val="0"/>
          <w:w w:val="100"/>
          <w:position w:val="0"/>
        </w:rPr>
        <w:t>、其他流动资产</w:t>
      </w:r>
      <w:bookmarkEnd w:id="1026"/>
      <w:bookmarkEnd w:id="1027"/>
      <w:bookmarkEnd w:id="1029"/>
    </w:p>
    <w:tbl>
      <w:tblPr>
        <w:tblOverlap w:val="never"/>
        <w:jc w:val="center"/>
        <w:tblLayout w:type="fixed"/>
      </w:tblPr>
      <w:tblGrid>
        <w:gridCol w:w="3461"/>
        <w:gridCol w:w="2923"/>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746,600,000.00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746,600,000.00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4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8</w:t>
      </w:r>
      <w:bookmarkEnd w:id="1032"/>
      <w:r>
        <w:rPr>
          <w:color w:val="000000"/>
          <w:spacing w:val="0"/>
          <w:w w:val="100"/>
          <w:position w:val="0"/>
        </w:rPr>
        <w:t>、可供出售金融资产</w:t>
      </w:r>
      <w:bookmarkEnd w:id="1030"/>
      <w:bookmarkEnd w:id="1031"/>
      <w:bookmarkEnd w:id="1033"/>
    </w:p>
    <w:p>
      <w:pPr>
        <w:pStyle w:val="Style44"/>
        <w:keepNext/>
        <w:keepLines/>
        <w:widowControl w:val="0"/>
        <w:numPr>
          <w:ilvl w:val="0"/>
          <w:numId w:val="73"/>
        </w:numPr>
        <w:shd w:val="clear" w:color="auto" w:fill="auto"/>
        <w:bidi w:val="0"/>
        <w:spacing w:before="0" w:after="320" w:line="240" w:lineRule="auto"/>
        <w:ind w:left="0" w:right="0" w:firstLine="440"/>
        <w:jc w:val="left"/>
      </w:pPr>
      <w:bookmarkStart w:id="1030" w:name="bookmark1030"/>
      <w:bookmarkStart w:id="1031" w:name="bookmark1031"/>
      <w:bookmarkStart w:id="1034" w:name="bookmark1034"/>
      <w:bookmarkStart w:id="1035" w:name="bookmark1035"/>
      <w:bookmarkEnd w:id="1034"/>
      <w:r>
        <w:rPr>
          <w:color w:val="000000"/>
          <w:spacing w:val="0"/>
          <w:w w:val="100"/>
          <w:position w:val="0"/>
        </w:rPr>
        <w:t>可供出售金融资产情况</w:t>
      </w:r>
      <w:bookmarkEnd w:id="1030"/>
      <w:bookmarkEnd w:id="1031"/>
      <w:bookmarkEnd w:id="1035"/>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5,428,305.54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6,564,083.46</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5,428,305.54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6,564,083.46</w:t>
            </w:r>
          </w:p>
        </w:tc>
      </w:tr>
    </w:tbl>
    <w:p>
      <w:pPr>
        <w:pStyle w:val="Style54"/>
        <w:keepNext w:val="0"/>
        <w:keepLines w:val="0"/>
        <w:widowControl w:val="0"/>
        <w:shd w:val="clear" w:color="auto" w:fill="auto"/>
        <w:bidi w:val="0"/>
        <w:spacing w:before="0" w:after="0" w:line="384" w:lineRule="exact"/>
        <w:ind w:left="0" w:right="0" w:firstLine="440"/>
        <w:jc w:val="left"/>
      </w:pPr>
      <w:r>
        <w:rPr>
          <w:b w:val="0"/>
          <w:bCs w:val="0"/>
          <w:color w:val="000000"/>
          <w:spacing w:val="0"/>
          <w:w w:val="100"/>
          <w:position w:val="0"/>
        </w:rPr>
        <w:t>本期将持有至到期投资重分类为可供出售金融资产的，本期重分类的金额</w:t>
      </w:r>
      <w:r>
        <w:rPr>
          <w:b w:val="0"/>
          <w:bCs w:val="0"/>
          <w:color w:val="000000"/>
          <w:spacing w:val="0"/>
          <w:w w:val="100"/>
          <w:position w:val="0"/>
        </w:rPr>
        <w:t>0.00</w:t>
      </w:r>
      <w:r>
        <w:rPr>
          <w:b w:val="0"/>
          <w:bCs w:val="0"/>
          <w:color w:val="000000"/>
          <w:spacing w:val="0"/>
          <w:w w:val="100"/>
          <w:position w:val="0"/>
        </w:rPr>
        <w:t>元，该金额占重分类 前持有至到期投资总额的比例0%。</w:t>
      </w:r>
    </w:p>
    <w:p>
      <w:pPr>
        <w:pStyle w:val="Style54"/>
        <w:keepNext w:val="0"/>
        <w:keepLines w:val="0"/>
        <w:widowControl w:val="0"/>
        <w:shd w:val="clear" w:color="auto" w:fill="auto"/>
        <w:bidi w:val="0"/>
        <w:spacing w:before="0" w:after="0" w:line="394" w:lineRule="exact"/>
        <w:ind w:left="0" w:right="0" w:firstLine="440"/>
        <w:jc w:val="left"/>
      </w:pPr>
      <w:r>
        <w:rPr>
          <w:b w:val="0"/>
          <w:bCs w:val="0"/>
          <w:color w:val="000000"/>
          <w:spacing w:val="0"/>
          <w:w w:val="100"/>
          <w:position w:val="0"/>
        </w:rPr>
        <w:t>可供出售金融资产的说明：</w:t>
      </w:r>
    </w:p>
    <w:p>
      <w:pPr>
        <w:pStyle w:val="Style54"/>
        <w:keepNext w:val="0"/>
        <w:keepLines w:val="0"/>
        <w:widowControl w:val="0"/>
        <w:shd w:val="clear" w:color="auto" w:fill="auto"/>
        <w:bidi w:val="0"/>
        <w:spacing w:before="0" w:after="0" w:line="394" w:lineRule="exact"/>
        <w:ind w:left="0" w:right="0" w:firstLine="440"/>
        <w:jc w:val="left"/>
      </w:pPr>
      <w:r>
        <w:rPr>
          <w:b w:val="0"/>
          <w:bCs w:val="0"/>
          <w:color w:val="000000"/>
          <w:spacing w:val="0"/>
          <w:w w:val="100"/>
          <w:position w:val="0"/>
        </w:rPr>
        <w:t xml:space="preserve">本公司的子公司 </w:t>
      </w:r>
      <w:r>
        <w:rPr>
          <w:b w:val="0"/>
          <w:bCs w:val="0"/>
          <w:color w:val="000000"/>
          <w:spacing w:val="0"/>
          <w:w w:val="100"/>
          <w:position w:val="0"/>
        </w:rPr>
        <w:t xml:space="preserve">GRG Banking Equipment (HK) Co., Limited </w:t>
      </w:r>
      <w:r>
        <w:rPr>
          <w:b w:val="0"/>
          <w:bCs w:val="0"/>
          <w:color w:val="000000"/>
          <w:spacing w:val="0"/>
          <w:w w:val="100"/>
          <w:position w:val="0"/>
        </w:rPr>
        <w:t xml:space="preserve">在本期末持有 </w:t>
      </w:r>
      <w:r>
        <w:rPr>
          <w:b w:val="0"/>
          <w:bCs w:val="0"/>
          <w:color w:val="000000"/>
          <w:spacing w:val="0"/>
          <w:w w:val="100"/>
          <w:position w:val="0"/>
        </w:rPr>
        <w:t>GRG INTERNATIONAL</w:t>
      </w:r>
    </w:p>
    <w:p>
      <w:pPr>
        <w:pStyle w:val="Style54"/>
        <w:keepNext w:val="0"/>
        <w:keepLines w:val="0"/>
        <w:widowControl w:val="0"/>
        <w:shd w:val="clear" w:color="auto" w:fill="auto"/>
        <w:bidi w:val="0"/>
        <w:spacing w:before="0" w:after="320" w:line="394" w:lineRule="exact"/>
        <w:ind w:left="0" w:right="0" w:firstLine="0"/>
        <w:jc w:val="left"/>
      </w:pPr>
      <w:r>
        <w:rPr>
          <w:b w:val="0"/>
          <w:bCs w:val="0"/>
          <w:color w:val="000000"/>
          <w:spacing w:val="0"/>
          <w:w w:val="100"/>
          <w:position w:val="0"/>
        </w:rPr>
        <w:t>LTD(GRGI)</w:t>
      </w:r>
      <w:r>
        <w:rPr>
          <w:b w:val="0"/>
          <w:bCs w:val="0"/>
          <w:color w:val="000000"/>
          <w:spacing w:val="0"/>
          <w:w w:val="100"/>
          <w:position w:val="0"/>
        </w:rPr>
        <w:t xml:space="preserve">股份 </w:t>
      </w:r>
      <w:r>
        <w:rPr>
          <w:b w:val="0"/>
          <w:bCs w:val="0"/>
          <w:color w:val="000000"/>
          <w:spacing w:val="0"/>
          <w:w w:val="100"/>
          <w:position w:val="0"/>
        </w:rPr>
        <w:t>10,097,282.00</w:t>
      </w:r>
      <w:r>
        <w:rPr>
          <w:b w:val="0"/>
          <w:bCs w:val="0"/>
          <w:color w:val="000000"/>
          <w:spacing w:val="0"/>
          <w:w w:val="100"/>
          <w:position w:val="0"/>
        </w:rPr>
        <w:t xml:space="preserve">股,购买成本为1,340, </w:t>
      </w:r>
      <w:r>
        <w:rPr>
          <w:b w:val="0"/>
          <w:bCs w:val="0"/>
          <w:color w:val="000000"/>
          <w:spacing w:val="0"/>
          <w:w w:val="100"/>
          <w:position w:val="0"/>
        </w:rPr>
        <w:t>500.40 AUD,</w:t>
      </w:r>
      <w:r>
        <w:rPr>
          <w:b w:val="0"/>
          <w:bCs w:val="0"/>
          <w:color w:val="000000"/>
          <w:spacing w:val="0"/>
          <w:w w:val="100"/>
          <w:position w:val="0"/>
        </w:rPr>
        <w:t>折合为人民币</w:t>
      </w:r>
      <w:r>
        <w:rPr>
          <w:b w:val="0"/>
          <w:bCs w:val="0"/>
          <w:color w:val="000000"/>
          <w:spacing w:val="0"/>
          <w:w w:val="100"/>
          <w:position w:val="0"/>
        </w:rPr>
        <w:t>8,615,098.78</w:t>
      </w:r>
      <w:r>
        <w:rPr>
          <w:b w:val="0"/>
          <w:bCs w:val="0"/>
          <w:color w:val="000000"/>
          <w:spacing w:val="0"/>
          <w:w w:val="100"/>
          <w:position w:val="0"/>
        </w:rPr>
        <w:t>元。2013 年12月31日该公司股票收市价为</w:t>
      </w:r>
      <w:r>
        <w:rPr>
          <w:b w:val="0"/>
          <w:bCs w:val="0"/>
          <w:color w:val="000000"/>
          <w:spacing w:val="0"/>
          <w:w w:val="100"/>
          <w:position w:val="0"/>
        </w:rPr>
        <w:t>0.099AUD,</w:t>
      </w:r>
      <w:r>
        <w:rPr>
          <w:b w:val="0"/>
          <w:bCs w:val="0"/>
          <w:color w:val="000000"/>
          <w:spacing w:val="0"/>
          <w:w w:val="100"/>
          <w:position w:val="0"/>
        </w:rPr>
        <w:t>按2013年12月31日汇率折算人民币期末公允价值为</w:t>
      </w:r>
      <w:r>
        <w:br w:type="page"/>
      </w:r>
    </w:p>
    <w:p>
      <w:pPr>
        <w:pStyle w:val="Style54"/>
        <w:keepNext w:val="0"/>
        <w:keepLines w:val="0"/>
        <w:widowControl w:val="0"/>
        <w:numPr>
          <w:ilvl w:val="0"/>
          <w:numId w:val="75"/>
        </w:numPr>
        <w:shd w:val="clear" w:color="auto" w:fill="auto"/>
        <w:tabs>
          <w:tab w:pos="750" w:val="left"/>
        </w:tabs>
        <w:bidi w:val="0"/>
        <w:spacing w:before="0" w:after="140" w:line="240" w:lineRule="auto"/>
        <w:ind w:left="0" w:right="0" w:firstLine="420"/>
        <w:jc w:val="left"/>
      </w:pPr>
      <w:bookmarkStart w:id="1036" w:name="bookmark1036"/>
      <w:bookmarkEnd w:id="1036"/>
      <w:r>
        <w:rPr>
          <w:b w:val="0"/>
          <w:bCs w:val="0"/>
          <w:color w:val="000000"/>
          <w:spacing w:val="0"/>
          <w:w w:val="100"/>
          <w:position w:val="0"/>
        </w:rPr>
        <w:t xml:space="preserve">428, </w:t>
      </w:r>
      <w:r>
        <w:rPr>
          <w:b w:val="0"/>
          <w:bCs w:val="0"/>
          <w:color w:val="000000"/>
          <w:spacing w:val="0"/>
          <w:w w:val="100"/>
          <w:position w:val="0"/>
        </w:rPr>
        <w:t xml:space="preserve">305. </w:t>
      </w:r>
      <w:r>
        <w:rPr>
          <w:b w:val="0"/>
          <w:bCs w:val="0"/>
          <w:color w:val="000000"/>
          <w:spacing w:val="0"/>
          <w:w w:val="100"/>
          <w:position w:val="0"/>
        </w:rPr>
        <w:t>54元，累计公允价值增加</w:t>
      </w:r>
      <w:r>
        <w:rPr>
          <w:b w:val="0"/>
          <w:bCs w:val="0"/>
          <w:color w:val="000000"/>
          <w:spacing w:val="0"/>
          <w:w w:val="100"/>
          <w:position w:val="0"/>
        </w:rPr>
        <w:t>-3,186,793.24</w:t>
      </w:r>
      <w:r>
        <w:rPr>
          <w:b w:val="0"/>
          <w:bCs w:val="0"/>
          <w:color w:val="000000"/>
          <w:spacing w:val="0"/>
          <w:w w:val="100"/>
          <w:position w:val="0"/>
        </w:rPr>
        <w:t>元转入资本公积，其中：前期累计公允价值增加</w:t>
      </w: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-2,051,015.3</w:t>
      </w:r>
      <w:r>
        <w:rPr>
          <w:b w:val="0"/>
          <w:bCs w:val="0"/>
          <w:color w:val="000000"/>
          <w:spacing w:val="0"/>
          <w:w w:val="100"/>
          <w:position w:val="0"/>
        </w:rPr>
        <w:t>2元，本期公允价值增加</w:t>
      </w:r>
      <w:r>
        <w:rPr>
          <w:b w:val="0"/>
          <w:bCs w:val="0"/>
          <w:color w:val="000000"/>
          <w:spacing w:val="0"/>
          <w:w w:val="100"/>
          <w:position w:val="0"/>
        </w:rPr>
        <w:t>-1,135,777.9</w:t>
      </w:r>
      <w:r>
        <w:rPr>
          <w:b w:val="0"/>
          <w:bCs w:val="0"/>
          <w:color w:val="000000"/>
          <w:spacing w:val="0"/>
          <w:w w:val="100"/>
          <w:position w:val="0"/>
        </w:rPr>
        <w:t>2元计入其他综合收益。</w:t>
      </w:r>
    </w:p>
    <w:p>
      <w:pPr>
        <w:pStyle w:val="Style44"/>
        <w:keepNext/>
        <w:keepLines/>
        <w:widowControl w:val="0"/>
        <w:numPr>
          <w:ilvl w:val="0"/>
          <w:numId w:val="73"/>
        </w:numPr>
        <w:shd w:val="clear" w:color="auto" w:fill="auto"/>
        <w:bidi w:val="0"/>
        <w:spacing w:before="0" w:after="320" w:line="240" w:lineRule="auto"/>
        <w:ind w:left="0" w:right="0" w:firstLine="840"/>
        <w:jc w:val="left"/>
      </w:pPr>
      <w:bookmarkStart w:id="1037" w:name="bookmark1037"/>
      <w:bookmarkStart w:id="1038" w:name="bookmark1038"/>
      <w:bookmarkStart w:id="1039" w:name="bookmark1039"/>
      <w:bookmarkStart w:id="1040" w:name="bookmark1040"/>
      <w:bookmarkEnd w:id="1039"/>
      <w:r>
        <w:rPr>
          <w:color w:val="000000"/>
          <w:spacing w:val="0"/>
          <w:w w:val="100"/>
          <w:position w:val="0"/>
        </w:rPr>
        <w:t>期末没有存在限售期限的可供出售金融资产情况。</w:t>
      </w:r>
      <w:bookmarkEnd w:id="1037"/>
      <w:bookmarkEnd w:id="1038"/>
      <w:bookmarkEnd w:id="1040"/>
    </w:p>
    <w:p>
      <w:pPr>
        <w:pStyle w:val="Style44"/>
        <w:keepNext/>
        <w:keepLines/>
        <w:widowControl w:val="0"/>
        <w:shd w:val="clear" w:color="auto" w:fill="auto"/>
        <w:bidi w:val="0"/>
        <w:spacing w:before="0" w:after="320" w:line="240" w:lineRule="auto"/>
        <w:ind w:left="0" w:right="0" w:firstLine="840"/>
        <w:jc w:val="left"/>
      </w:pPr>
      <w:bookmarkStart w:id="1037" w:name="bookmark1037"/>
      <w:bookmarkStart w:id="1038" w:name="bookmark1038"/>
      <w:bookmarkStart w:id="1041" w:name="bookmark1041"/>
      <w:bookmarkStart w:id="1042" w:name="bookmark1042"/>
      <w:r>
        <w:rPr>
          <w:rFonts w:ascii="Times New Roman" w:eastAsia="Times New Roman" w:hAnsi="Times New Roman" w:cs="Times New Roman"/>
          <w:color w:val="000000"/>
          <w:spacing w:val="0"/>
          <w:w w:val="100"/>
          <w:position w:val="0"/>
        </w:rPr>
        <w:t>9</w:t>
      </w:r>
      <w:bookmarkEnd w:id="1041"/>
      <w:r>
        <w:rPr>
          <w:color w:val="000000"/>
          <w:spacing w:val="0"/>
          <w:w w:val="100"/>
          <w:position w:val="0"/>
        </w:rPr>
        <w:t>、对合营企业投资</w:t>
      </w:r>
      <w:bookmarkEnd w:id="1037"/>
      <w:bookmarkEnd w:id="1038"/>
      <w:bookmarkEnd w:id="1042"/>
    </w:p>
    <w:tbl>
      <w:tblPr>
        <w:tblOverlap w:val="never"/>
        <w:jc w:val="center"/>
        <w:tblLayout w:type="fixed"/>
      </w:tblPr>
      <w:tblGrid>
        <w:gridCol w:w="1200"/>
        <w:gridCol w:w="1195"/>
        <w:gridCol w:w="1195"/>
        <w:gridCol w:w="1195"/>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被投资单位名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期末资产总额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期末负债总额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期末净资产总 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r>
      <w:tr>
        <w:trPr>
          <w:trHeight w:val="102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广州市广百小 额贷款有限公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306,284,269.76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4,144,131.31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302,140,138.45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7,091,277.04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2,140,138.45</w:t>
            </w:r>
          </w:p>
        </w:tc>
      </w:tr>
      <w:tr>
        <w:trPr>
          <w:trHeight w:val="103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云南云通金融 外包服务有限 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8,796,923.61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51,109.85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8,745,813.76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-975,063.68</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840"/>
        <w:jc w:val="left"/>
      </w:pPr>
      <w:bookmarkStart w:id="1043" w:name="bookmark1043"/>
      <w:bookmarkStart w:id="1044" w:name="bookmark1044"/>
      <w:bookmarkStart w:id="1045" w:name="bookmark1045"/>
      <w:bookmarkStart w:id="1046" w:name="bookmark1046"/>
      <w:r>
        <w:rPr>
          <w:color w:val="000000"/>
          <w:spacing w:val="0"/>
          <w:w w:val="100"/>
          <w:position w:val="0"/>
        </w:rPr>
        <w:t>1</w:t>
      </w:r>
      <w:bookmarkEnd w:id="1045"/>
      <w:r>
        <w:rPr>
          <w:color w:val="000000"/>
          <w:spacing w:val="0"/>
          <w:w w:val="100"/>
          <w:position w:val="0"/>
        </w:rPr>
        <w:t>0、长期股权投资</w:t>
      </w:r>
      <w:bookmarkEnd w:id="1043"/>
      <w:bookmarkEnd w:id="1044"/>
      <w:bookmarkEnd w:id="1046"/>
    </w:p>
    <w:p>
      <w:pPr>
        <w:pStyle w:val="Style44"/>
        <w:keepNext/>
        <w:keepLines/>
        <w:widowControl w:val="0"/>
        <w:shd w:val="clear" w:color="auto" w:fill="auto"/>
        <w:bidi w:val="0"/>
        <w:spacing w:before="0" w:after="320" w:line="240" w:lineRule="auto"/>
        <w:ind w:left="0" w:right="0" w:firstLine="840"/>
        <w:jc w:val="both"/>
      </w:pPr>
      <w:bookmarkStart w:id="1043" w:name="bookmark1043"/>
      <w:bookmarkStart w:id="1044" w:name="bookmark1044"/>
      <w:bookmarkStart w:id="1047" w:name="bookmark1047"/>
      <w:r>
        <w:rPr>
          <w:color w:val="000000"/>
          <w:spacing w:val="0"/>
          <w:w w:val="100"/>
          <w:position w:val="0"/>
        </w:rPr>
        <w:t>⑴长期股权投资明细情况</w:t>
      </w:r>
      <w:bookmarkEnd w:id="1043"/>
      <w:bookmarkEnd w:id="1044"/>
      <w:bookmarkEnd w:id="1047"/>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被投资单</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310" w:lineRule="exact"/>
              <w:ind w:left="0" w:right="0" w:firstLine="0"/>
              <w:jc w:val="center"/>
            </w:pPr>
            <w:r>
              <w:rPr>
                <w:rFonts w:ascii="SimSun" w:eastAsia="SimSun" w:hAnsi="SimSun" w:cs="SimSun"/>
                <w:color w:val="000000"/>
                <w:spacing w:val="0"/>
                <w:w w:val="100"/>
                <w:position w:val="0"/>
              </w:rPr>
              <w:t>在被投资 单位表决 权比例</w:t>
            </w:r>
          </w:p>
          <w:p>
            <w:pPr>
              <w:pStyle w:val="Style28"/>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本期计提</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本期现金 红利</w:t>
            </w:r>
          </w:p>
        </w:tc>
      </w:tr>
      <w:tr>
        <w:trPr>
          <w:trHeight w:val="133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广州市龙 源环保科 技有限公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168,000,0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159,316,6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-159,316,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云南云通 金融外包 服务有限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4,900,000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4,763,229</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-477,781.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4,285,448</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广州市广 百小额贷 款有限公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60,000,00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60,428,02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60,428,02</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232,900,0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164,079,8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-99,366,3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64,713,47</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76.42</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4"/>
        <w:keepNext w:val="0"/>
        <w:keepLines w:val="0"/>
        <w:widowControl w:val="0"/>
        <w:numPr>
          <w:ilvl w:val="0"/>
          <w:numId w:val="77"/>
        </w:numPr>
        <w:shd w:val="clear" w:color="auto" w:fill="auto"/>
        <w:tabs>
          <w:tab w:pos="1280" w:val="left"/>
        </w:tabs>
        <w:bidi w:val="0"/>
        <w:spacing w:before="0" w:after="400" w:line="240" w:lineRule="auto"/>
        <w:ind w:left="0" w:right="0" w:firstLine="840"/>
        <w:jc w:val="left"/>
      </w:pPr>
      <w:bookmarkStart w:id="1048" w:name="bookmark1048"/>
      <w:bookmarkEnd w:id="1048"/>
      <w:r>
        <w:rPr>
          <w:color w:val="000000"/>
          <w:spacing w:val="0"/>
          <w:w w:val="100"/>
          <w:position w:val="0"/>
        </w:rPr>
        <w:t>期末没有向投资企业转移资金的能力受到限制的有关情况。</w:t>
      </w:r>
    </w:p>
    <w:p>
      <w:pPr>
        <w:pStyle w:val="Style54"/>
        <w:keepNext w:val="0"/>
        <w:keepLines w:val="0"/>
        <w:widowControl w:val="0"/>
        <w:numPr>
          <w:ilvl w:val="0"/>
          <w:numId w:val="77"/>
        </w:numPr>
        <w:shd w:val="clear" w:color="auto" w:fill="auto"/>
        <w:tabs>
          <w:tab w:pos="1280" w:val="left"/>
        </w:tabs>
        <w:bidi w:val="0"/>
        <w:spacing w:before="0" w:after="340" w:line="240" w:lineRule="auto"/>
        <w:ind w:left="0" w:right="0" w:firstLine="840"/>
        <w:jc w:val="left"/>
      </w:pPr>
      <w:bookmarkStart w:id="1049" w:name="bookmark1049"/>
      <w:bookmarkEnd w:id="1049"/>
      <w:r>
        <w:rPr>
          <w:color w:val="000000"/>
          <w:spacing w:val="0"/>
          <w:w w:val="100"/>
          <w:position w:val="0"/>
        </w:rPr>
        <w:t>本期没有以明显高于账面价值的价格出售长期股权投资的情况。</w:t>
      </w:r>
    </w:p>
    <w:p>
      <w:pPr>
        <w:pStyle w:val="Style54"/>
        <w:keepNext w:val="0"/>
        <w:keepLines w:val="0"/>
        <w:widowControl w:val="0"/>
        <w:shd w:val="clear" w:color="auto" w:fill="auto"/>
        <w:bidi w:val="0"/>
        <w:spacing w:before="0" w:after="340" w:line="240" w:lineRule="auto"/>
        <w:ind w:left="0" w:right="0" w:firstLine="840"/>
        <w:jc w:val="left"/>
      </w:pPr>
      <w:bookmarkStart w:id="1050" w:name="bookmark1050"/>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、投资性房地产</w:t>
      </w:r>
    </w:p>
    <w:p>
      <w:pPr>
        <w:pStyle w:val="Style54"/>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按成本计量的投资性房地产</w:t>
      </w:r>
    </w:p>
    <w:tbl>
      <w:tblPr>
        <w:tblOverlap w:val="never"/>
        <w:jc w:val="center"/>
        <w:tblLayout w:type="fixed"/>
      </w:tblPr>
      <w:tblGrid>
        <w:gridCol w:w="3547"/>
        <w:gridCol w:w="1416"/>
        <w:gridCol w:w="1704"/>
        <w:gridCol w:w="1272"/>
        <w:gridCol w:w="164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34,792,264.55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34,792,264.55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34,792,264.55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34,792,264.55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1,389,112.38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1,389,112.38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1,389,112.38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1,389,112.38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三、投资性房地产账面净值合计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33,403,152.17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33,403,152.17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33,403,152.17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33,403,152.17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四、投资性房地产减值准备累计金额合计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五、投资性房地产账面价值合计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33,403,152.17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33,403,152.17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33,403,152.17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33,403,152.17</w:t>
            </w: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4"/>
        <w:keepNext w:val="0"/>
        <w:keepLines w:val="0"/>
        <w:widowControl w:val="0"/>
        <w:shd w:val="clear" w:color="auto" w:fill="auto"/>
        <w:bidi w:val="0"/>
        <w:spacing w:before="0" w:after="180" w:line="240" w:lineRule="auto"/>
        <w:ind w:left="0" w:right="0" w:firstLine="840"/>
        <w:jc w:val="left"/>
      </w:pPr>
      <w:r>
        <w:rPr>
          <w:b w:val="0"/>
          <w:bCs w:val="0"/>
          <w:color w:val="000000"/>
          <w:spacing w:val="0"/>
          <w:w w:val="100"/>
          <w:position w:val="0"/>
        </w:rPr>
        <w:t>期末没有用于抵押或担保的投资性房地产账面价值。</w:t>
      </w:r>
    </w:p>
    <w:p>
      <w:pPr>
        <w:pStyle w:val="Style54"/>
        <w:keepNext w:val="0"/>
        <w:keepLines w:val="0"/>
        <w:widowControl w:val="0"/>
        <w:shd w:val="clear" w:color="auto" w:fill="auto"/>
        <w:bidi w:val="0"/>
        <w:spacing w:before="0" w:after="400" w:line="240" w:lineRule="auto"/>
        <w:ind w:left="0" w:right="0" w:firstLine="840"/>
        <w:jc w:val="left"/>
      </w:pPr>
      <w:r>
        <w:rPr>
          <w:b w:val="0"/>
          <w:bCs w:val="0"/>
          <w:color w:val="000000"/>
          <w:spacing w:val="0"/>
          <w:w w:val="100"/>
          <w:position w:val="0"/>
        </w:rPr>
        <w:t>2013年度投资性房地产计提折旧和摊销金额为</w:t>
      </w:r>
      <w:r>
        <w:rPr>
          <w:b w:val="0"/>
          <w:bCs w:val="0"/>
          <w:color w:val="000000"/>
          <w:spacing w:val="0"/>
          <w:w w:val="100"/>
          <w:position w:val="0"/>
        </w:rPr>
        <w:t>770,752.08</w:t>
      </w:r>
      <w:r>
        <w:rPr>
          <w:b w:val="0"/>
          <w:bCs w:val="0"/>
          <w:color w:val="000000"/>
          <w:spacing w:val="0"/>
          <w:w w:val="100"/>
          <w:position w:val="0"/>
        </w:rPr>
        <w:t>元，计提减值准备为</w:t>
      </w:r>
      <w:r>
        <w:rPr>
          <w:b w:val="0"/>
          <w:bCs w:val="0"/>
          <w:color w:val="000000"/>
          <w:spacing w:val="0"/>
          <w:w w:val="100"/>
          <w:position w:val="0"/>
        </w:rPr>
        <w:t>0.00</w:t>
      </w:r>
      <w:r>
        <w:rPr>
          <w:b w:val="0"/>
          <w:bCs w:val="0"/>
          <w:color w:val="000000"/>
          <w:spacing w:val="0"/>
          <w:w w:val="100"/>
          <w:position w:val="0"/>
        </w:rPr>
        <w:t>元。</w:t>
      </w:r>
    </w:p>
    <w:p>
      <w:pPr>
        <w:pStyle w:val="Style54"/>
        <w:keepNext w:val="0"/>
        <w:keepLines w:val="0"/>
        <w:widowControl w:val="0"/>
        <w:shd w:val="clear" w:color="auto" w:fill="auto"/>
        <w:bidi w:val="0"/>
        <w:spacing w:before="0" w:after="400" w:line="240" w:lineRule="auto"/>
        <w:ind w:left="0" w:right="0" w:firstLine="840"/>
        <w:jc w:val="left"/>
      </w:pPr>
      <w:bookmarkStart w:id="1051" w:name="bookmark1051"/>
      <w:r>
        <w:rPr>
          <w:color w:val="000000"/>
          <w:spacing w:val="0"/>
          <w:w w:val="100"/>
          <w:position w:val="0"/>
        </w:rPr>
        <w:t>1</w:t>
      </w:r>
      <w:bookmarkEnd w:id="1051"/>
      <w:r>
        <w:rPr>
          <w:color w:val="000000"/>
          <w:spacing w:val="0"/>
          <w:w w:val="100"/>
          <w:position w:val="0"/>
        </w:rPr>
        <w:t>2、固定资产</w:t>
      </w:r>
    </w:p>
    <w:p>
      <w:pPr>
        <w:pStyle w:val="Style54"/>
        <w:keepNext w:val="0"/>
        <w:keepLines w:val="0"/>
        <w:widowControl w:val="0"/>
        <w:numPr>
          <w:ilvl w:val="0"/>
          <w:numId w:val="79"/>
        </w:numPr>
        <w:shd w:val="clear" w:color="auto" w:fill="auto"/>
        <w:bidi w:val="0"/>
        <w:spacing w:before="0" w:after="340" w:line="240" w:lineRule="auto"/>
        <w:ind w:left="0" w:right="0" w:firstLine="840"/>
        <w:jc w:val="both"/>
      </w:pPr>
      <w:bookmarkStart w:id="1052" w:name="bookmark1052"/>
      <w:bookmarkEnd w:id="1052"/>
      <w:r>
        <w:rPr>
          <w:color w:val="000000"/>
          <w:spacing w:val="0"/>
          <w:w w:val="100"/>
          <w:position w:val="0"/>
        </w:rPr>
        <w:t>固定资产情况</w:t>
      </w:r>
    </w:p>
    <w:tbl>
      <w:tblPr>
        <w:tblOverlap w:val="never"/>
        <w:jc w:val="center"/>
        <w:tblLayout w:type="fixed"/>
      </w:tblPr>
      <w:tblGrid>
        <w:gridCol w:w="2131"/>
        <w:gridCol w:w="1464"/>
        <w:gridCol w:w="2918"/>
        <w:gridCol w:w="1594"/>
        <w:gridCol w:w="147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402,414,275.97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146,902,497.79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22,938,981.21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526,377,792.55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229,186,410.66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62,579,351.23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291,765,761.89</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21,954,197.20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16,490,479.59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38,264,676.79</w:t>
            </w:r>
          </w:p>
        </w:tc>
      </w:tr>
    </w:tbl>
    <w:p>
      <w:pPr>
        <w:spacing w:lineRule="exact" w:line="1"/>
        <w:rPr>
          <w:sz w:val="2"/>
          <w:szCs w:val="2"/>
        </w:rPr>
      </w:pPr>
      <w:r>
        <w:br w:type="page"/>
      </w:r>
    </w:p>
    <w:tbl>
      <w:tblPr>
        <w:tblOverlap w:val="never"/>
        <w:jc w:val="center"/>
        <w:tblLayout w:type="fixed"/>
      </w:tblPr>
      <w:tblGrid>
        <w:gridCol w:w="2131"/>
        <w:gridCol w:w="1464"/>
        <w:gridCol w:w="1325"/>
        <w:gridCol w:w="1594"/>
        <w:gridCol w:w="1594"/>
        <w:gridCol w:w="1474"/>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38,970,896.08</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23,337,730.94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1,462,486.32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60,846,140.70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19,146,178.46</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14,203,868.08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1,824,448.21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31,525,598.33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7,710,632.05</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4,243,455.74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1,232,740.61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10,721,347.18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13,345,876.94</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4,236,054.35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17,581,931.29</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10,772,272.91</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1,192,697.34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10,779,575.57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159,975.60</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304,804.66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61,167,836.07</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20,466,728.80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17,046,608.73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64,587,956.14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本期新增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111,978,293.00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7,971,537.32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38,379,330.30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21,165,290.38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137,163,870.24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19,443,436.47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4,167,166.61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7,374,665.53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30,985,268.61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7,705,973.91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742,933.94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3,685,877.33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123,675.00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12,011,110.18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14,345,938.26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1,563,941.89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8,715,615.15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24,625,495.30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9,619,643.54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920,329.99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3,348,122.37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1,414,482.55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12,473,613.35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3,257,754.52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577,164.89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1,692,992.18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875,808.42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4,652,103.17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6,627,256.24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2,314,475.50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8,941,731.74</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8,753,239.47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2,196,881.74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2,356,568.05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8,593,553.16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21,953.33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64,999.87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42,203,097.26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9,007,653.96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16,394,756.36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34,815,994.86</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290,435,982.97</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389,213,922.31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209,742,974.19</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260,780,493.28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14,248,223.29</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26,253,566.61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24,624,957.82</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36,220,645.40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9,526,534.92</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19,051,984.98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4,452,877.53</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6,069,244.01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6,718,620.70</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8,640,199.55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2,019,033.44</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2,186,022.41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138,022.27</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239,804.79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18,964,738.81</w:t>
            </w: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29,771,961.28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电子设备</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64"/>
        <w:gridCol w:w="4512"/>
        <w:gridCol w:w="1474"/>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290,435,982.97</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389,213,922.31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209,742,974.19</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260,780,493.28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14,248,223.29</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26,253,566.61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24,624,957.82</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36,220,645.40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9,526,534.92</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19,051,984.98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4,452,877.53</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6,069,244.01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仪器仪表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6,718,620.70</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8,640,199.55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培训设备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2,019,033.44</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2,186,022.41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138,022.27</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239,804.79</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营运业务用</w:t>
            </w:r>
            <w:r>
              <w:rPr>
                <w:color w:val="000000"/>
                <w:spacing w:val="0"/>
                <w:w w:val="100"/>
                <w:position w:val="0"/>
              </w:rPr>
              <w:t>ATM</w:t>
            </w:r>
            <w:r>
              <w:rPr>
                <w:rFonts w:ascii="SimSun" w:eastAsia="SimSun" w:hAnsi="SimSun" w:cs="SimSun"/>
                <w:color w:val="000000"/>
                <w:spacing w:val="0"/>
                <w:w w:val="100"/>
                <w:position w:val="0"/>
              </w:rPr>
              <w:t>设备</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18,964,738.81</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29,771,961.28</w:t>
            </w:r>
          </w:p>
        </w:tc>
      </w:tr>
    </w:tbl>
    <w:p>
      <w:pPr>
        <w:widowControl w:val="0"/>
        <w:spacing w:after="59" w:line="1" w:lineRule="exact"/>
      </w:pPr>
    </w:p>
    <w:p>
      <w:pPr>
        <w:pStyle w:val="Style54"/>
        <w:keepNext w:val="0"/>
        <w:keepLines w:val="0"/>
        <w:widowControl w:val="0"/>
        <w:shd w:val="clear" w:color="auto" w:fill="auto"/>
        <w:bidi w:val="0"/>
        <w:spacing w:before="0" w:after="120" w:line="240" w:lineRule="auto"/>
        <w:ind w:left="0" w:right="0" w:firstLine="420"/>
        <w:jc w:val="left"/>
      </w:pPr>
      <w:r>
        <w:rPr>
          <w:b w:val="0"/>
          <w:bCs w:val="0"/>
          <w:color w:val="000000"/>
          <w:spacing w:val="0"/>
          <w:w w:val="100"/>
          <w:position w:val="0"/>
        </w:rPr>
        <w:t>本期折旧额</w:t>
      </w:r>
      <w:r>
        <w:rPr>
          <w:b w:val="0"/>
          <w:bCs w:val="0"/>
          <w:color w:val="000000"/>
          <w:spacing w:val="0"/>
          <w:w w:val="100"/>
          <w:position w:val="0"/>
        </w:rPr>
        <w:t>38,379,330.30</w:t>
      </w:r>
      <w:r>
        <w:rPr>
          <w:b w:val="0"/>
          <w:bCs w:val="0"/>
          <w:color w:val="000000"/>
          <w:spacing w:val="0"/>
          <w:w w:val="100"/>
          <w:position w:val="0"/>
        </w:rPr>
        <w:t>元；</w:t>
      </w:r>
    </w:p>
    <w:p>
      <w:pPr>
        <w:pStyle w:val="Style54"/>
        <w:keepNext w:val="0"/>
        <w:keepLines w:val="0"/>
        <w:widowControl w:val="0"/>
        <w:shd w:val="clear" w:color="auto" w:fill="auto"/>
        <w:bidi w:val="0"/>
        <w:spacing w:before="0" w:after="360" w:line="240" w:lineRule="auto"/>
        <w:ind w:left="0" w:right="0" w:firstLine="420"/>
        <w:jc w:val="left"/>
      </w:pPr>
      <w:r>
        <w:rPr>
          <w:b w:val="0"/>
          <w:bCs w:val="0"/>
          <w:color w:val="000000"/>
          <w:spacing w:val="0"/>
          <w:w w:val="100"/>
          <w:position w:val="0"/>
        </w:rPr>
        <w:t>本期由在建工程转入固定资产原价为</w:t>
      </w:r>
      <w:r>
        <w:rPr>
          <w:b w:val="0"/>
          <w:bCs w:val="0"/>
          <w:color w:val="000000"/>
          <w:spacing w:val="0"/>
          <w:w w:val="100"/>
          <w:position w:val="0"/>
        </w:rPr>
        <w:t>11,961,392.78</w:t>
      </w:r>
      <w:r>
        <w:rPr>
          <w:b w:val="0"/>
          <w:bCs w:val="0"/>
          <w:color w:val="000000"/>
          <w:spacing w:val="0"/>
          <w:w w:val="100"/>
          <w:position w:val="0"/>
        </w:rPr>
        <w:t>元。</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3" w:name="bookmark1053"/>
      <w:bookmarkEnd w:id="1053"/>
      <w:r>
        <w:rPr>
          <w:color w:val="000000"/>
          <w:spacing w:val="0"/>
          <w:w w:val="100"/>
          <w:position w:val="0"/>
        </w:rPr>
        <w:t>期末没有暂时闲置的固定资产。</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4" w:name="bookmark1054"/>
      <w:bookmarkEnd w:id="1054"/>
      <w:r>
        <w:rPr>
          <w:color w:val="000000"/>
          <w:spacing w:val="0"/>
          <w:w w:val="100"/>
          <w:position w:val="0"/>
        </w:rPr>
        <w:t>本期没有通过融资租赁租入的固定资产。</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5" w:name="bookmark1055"/>
      <w:bookmarkEnd w:id="1055"/>
      <w:r>
        <w:rPr>
          <w:color w:val="000000"/>
          <w:spacing w:val="0"/>
          <w:w w:val="100"/>
          <w:position w:val="0"/>
        </w:rPr>
        <w:t>本期没有通过经营租赁租出的固定资产。</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6" w:name="bookmark1056"/>
      <w:bookmarkEnd w:id="1056"/>
      <w:r>
        <w:rPr>
          <w:color w:val="000000"/>
          <w:spacing w:val="0"/>
          <w:w w:val="100"/>
          <w:position w:val="0"/>
        </w:rPr>
        <w:t>期末没有持有待售的固定资产。</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7" w:name="bookmark1057"/>
      <w:bookmarkEnd w:id="1057"/>
      <w:r>
        <w:rPr>
          <w:color w:val="000000"/>
          <w:spacing w:val="0"/>
          <w:w w:val="100"/>
          <w:position w:val="0"/>
        </w:rPr>
        <w:t>期末没有未办妥产权证书的固定资产。</w:t>
      </w:r>
    </w:p>
    <w:p>
      <w:pPr>
        <w:pStyle w:val="Style54"/>
        <w:keepNext w:val="0"/>
        <w:keepLines w:val="0"/>
        <w:widowControl w:val="0"/>
        <w:numPr>
          <w:ilvl w:val="0"/>
          <w:numId w:val="79"/>
        </w:numPr>
        <w:shd w:val="clear" w:color="auto" w:fill="auto"/>
        <w:tabs>
          <w:tab w:pos="860" w:val="left"/>
        </w:tabs>
        <w:bidi w:val="0"/>
        <w:spacing w:before="0" w:after="360" w:line="240" w:lineRule="auto"/>
        <w:ind w:left="0" w:right="0" w:firstLine="420"/>
        <w:jc w:val="left"/>
      </w:pPr>
      <w:bookmarkStart w:id="1058" w:name="bookmark1058"/>
      <w:bookmarkEnd w:id="1058"/>
      <w:r>
        <w:rPr>
          <w:color w:val="000000"/>
          <w:spacing w:val="0"/>
          <w:w w:val="100"/>
          <w:position w:val="0"/>
        </w:rPr>
        <w:t>本期没有以明显高于账面价值的价格出售固定资产的情况。</w:t>
      </w:r>
    </w:p>
    <w:p>
      <w:pPr>
        <w:pStyle w:val="Style54"/>
        <w:keepNext w:val="0"/>
        <w:keepLines w:val="0"/>
        <w:widowControl w:val="0"/>
        <w:shd w:val="clear" w:color="auto" w:fill="auto"/>
        <w:bidi w:val="0"/>
        <w:spacing w:before="0" w:after="360" w:line="240" w:lineRule="auto"/>
        <w:ind w:left="0" w:right="0" w:firstLine="420"/>
        <w:jc w:val="both"/>
      </w:pPr>
      <w:bookmarkStart w:id="1059" w:name="bookmark1059"/>
      <w:r>
        <w:rPr>
          <w:color w:val="000000"/>
          <w:spacing w:val="0"/>
          <w:w w:val="100"/>
          <w:position w:val="0"/>
        </w:rPr>
        <w:t>1</w:t>
      </w:r>
      <w:bookmarkEnd w:id="1059"/>
      <w:r>
        <w:rPr>
          <w:color w:val="000000"/>
          <w:spacing w:val="0"/>
          <w:w w:val="100"/>
          <w:position w:val="0"/>
        </w:rPr>
        <w:t>3、在建工程</w:t>
      </w:r>
    </w:p>
    <w:p>
      <w:pPr>
        <w:pStyle w:val="Style54"/>
        <w:keepNext w:val="0"/>
        <w:keepLines w:val="0"/>
        <w:widowControl w:val="0"/>
        <w:numPr>
          <w:ilvl w:val="0"/>
          <w:numId w:val="81"/>
        </w:numPr>
        <w:shd w:val="clear" w:color="auto" w:fill="auto"/>
        <w:bidi w:val="0"/>
        <w:spacing w:before="0" w:after="360" w:line="240" w:lineRule="auto"/>
        <w:ind w:left="0" w:right="0" w:firstLine="420"/>
        <w:jc w:val="both"/>
      </w:pPr>
      <w:bookmarkStart w:id="1060" w:name="bookmark1060"/>
      <w:bookmarkEnd w:id="1060"/>
      <w:r>
        <w:rPr>
          <w:color w:val="000000"/>
          <w:spacing w:val="0"/>
          <w:w w:val="100"/>
          <w:position w:val="0"/>
        </w:rPr>
        <w:t>在建工程情况</w:t>
      </w:r>
    </w:p>
    <w:tbl>
      <w:tblPr>
        <w:tblOverlap w:val="never"/>
        <w:jc w:val="center"/>
        <w:tblLayout w:type="fixed"/>
      </w:tblPr>
      <w:tblGrid>
        <w:gridCol w:w="2270"/>
        <w:gridCol w:w="1195"/>
        <w:gridCol w:w="1195"/>
        <w:gridCol w:w="1190"/>
        <w:gridCol w:w="1195"/>
        <w:gridCol w:w="1195"/>
        <w:gridCol w:w="1339"/>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零星工程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5,232,289.54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5,232,289.54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1,328,036.51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1,328,036.51</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科学城三期</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44,056,676.63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44,056,676.63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1,288,619.77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1,288,619.77</w:t>
            </w:r>
          </w:p>
        </w:tc>
      </w:tr>
    </w:tbl>
    <w:p>
      <w:pPr>
        <w:spacing w:lineRule="exact" w:line="1"/>
        <w:rPr>
          <w:sz w:val="2"/>
          <w:szCs w:val="2"/>
        </w:rPr>
      </w:pPr>
      <w:r>
        <w:br w:type="page"/>
      </w:r>
    </w:p>
    <w:tbl>
      <w:tblPr>
        <w:tblOverlap w:val="never"/>
        <w:jc w:val="center"/>
        <w:tblLayout w:type="fixed"/>
      </w:tblPr>
      <w:tblGrid>
        <w:gridCol w:w="2270"/>
        <w:gridCol w:w="1195"/>
        <w:gridCol w:w="1195"/>
        <w:gridCol w:w="1190"/>
        <w:gridCol w:w="1195"/>
        <w:gridCol w:w="1195"/>
        <w:gridCol w:w="1339"/>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污水处理设施</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49,321,137.17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49,321,137.17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2,616,656.28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2,616,656.28</w:t>
            </w:r>
          </w:p>
        </w:tc>
      </w:tr>
    </w:tbl>
    <w:p>
      <w:pPr>
        <w:widowControl w:val="0"/>
        <w:spacing w:after="319" w:line="1" w:lineRule="exact"/>
      </w:pPr>
    </w:p>
    <w:p>
      <w:pPr>
        <w:pStyle w:val="Style44"/>
        <w:keepNext/>
        <w:keepLines/>
        <w:widowControl w:val="0"/>
        <w:numPr>
          <w:ilvl w:val="0"/>
          <w:numId w:val="81"/>
        </w:numPr>
        <w:shd w:val="clear" w:color="auto" w:fill="auto"/>
        <w:bidi w:val="0"/>
        <w:spacing w:before="0" w:after="320" w:line="240" w:lineRule="auto"/>
        <w:ind w:left="0" w:right="0" w:firstLine="42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重大在建工程项目变动情况</w:t>
      </w:r>
      <w:bookmarkEnd w:id="1061"/>
      <w:bookmarkEnd w:id="1062"/>
      <w:bookmarkEnd w:id="1064"/>
    </w:p>
    <w:tbl>
      <w:tblPr>
        <w:tblOverlap w:val="never"/>
        <w:jc w:val="center"/>
        <w:tblLayout w:type="fixed"/>
      </w:tblPr>
      <w:tblGrid>
        <w:gridCol w:w="739"/>
        <w:gridCol w:w="734"/>
        <w:gridCol w:w="734"/>
        <w:gridCol w:w="734"/>
        <w:gridCol w:w="734"/>
        <w:gridCol w:w="734"/>
        <w:gridCol w:w="739"/>
        <w:gridCol w:w="739"/>
        <w:gridCol w:w="734"/>
        <w:gridCol w:w="893"/>
        <w:gridCol w:w="710"/>
        <w:gridCol w:w="605"/>
        <w:gridCol w:w="744"/>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转入固 定资产</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其他减 少</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工程投</w:t>
            </w:r>
          </w:p>
          <w:p>
            <w:pPr>
              <w:pStyle w:val="Style28"/>
              <w:keepNext w:val="0"/>
              <w:keepLines w:val="0"/>
              <w:widowControl w:val="0"/>
              <w:shd w:val="clear" w:color="auto" w:fill="auto"/>
              <w:bidi w:val="0"/>
              <w:spacing w:before="0" w:after="80" w:line="312" w:lineRule="exact"/>
              <w:ind w:left="0" w:right="0" w:firstLine="0"/>
              <w:jc w:val="left"/>
            </w:pPr>
            <w:r>
              <w:rPr>
                <w:rFonts w:ascii="SimSun" w:eastAsia="SimSun" w:hAnsi="SimSun" w:cs="SimSun"/>
                <w:color w:val="000000"/>
                <w:spacing w:val="0"/>
                <w:w w:val="100"/>
                <w:position w:val="0"/>
              </w:rPr>
              <w:t>入占预 算比例</w:t>
            </w:r>
          </w:p>
          <w:p>
            <w:pPr>
              <w:pStyle w:val="Style28"/>
              <w:keepNext w:val="0"/>
              <w:keepLines w:val="0"/>
              <w:widowControl w:val="0"/>
              <w:shd w:val="clear" w:color="auto" w:fill="auto"/>
              <w:bidi w:val="0"/>
              <w:spacing w:before="0" w:after="0" w:line="36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利息资</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本化累</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其中：本期 利息资本 化金额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200" w:right="0" w:hanging="200"/>
              <w:jc w:val="left"/>
            </w:pPr>
            <w:r>
              <w:rPr>
                <w:rFonts w:ascii="SimSun" w:eastAsia="SimSun" w:hAnsi="SimSun" w:cs="SimSun"/>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科学城</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生产基</w:t>
            </w:r>
          </w:p>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地三期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196,130,</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1,288,61</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42,768,0</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44,056,6</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原料仓</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16,681,2</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16,681,2</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厂房配</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套设施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8,313,69</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2,783,30</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5,530,38</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污水处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8,958,97</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8,926,80</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32,171.0</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零星工</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1,328,03</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4,631,81</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0.94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251,282.</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476,275.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自筹资</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5,232,28</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r>
      <w:tr>
        <w:trPr>
          <w:trHeight w:val="725"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left"/>
            </w:pPr>
            <w:r>
              <w:rPr>
                <w:color w:val="000000"/>
                <w:spacing w:val="0"/>
                <w:w w:val="100"/>
                <w:position w:val="0"/>
              </w:rPr>
              <w:t>196,130,</w:t>
            </w:r>
          </w:p>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left"/>
            </w:pPr>
            <w:r>
              <w:rPr>
                <w:color w:val="000000"/>
                <w:spacing w:val="0"/>
                <w:w w:val="100"/>
                <w:position w:val="0"/>
              </w:rPr>
              <w:t>2,616,65</w:t>
            </w:r>
          </w:p>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color w:val="000000"/>
                <w:spacing w:val="0"/>
                <w:w w:val="100"/>
                <w:position w:val="0"/>
              </w:rPr>
              <w:t>81,353,7</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66.18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left"/>
            </w:pPr>
            <w:r>
              <w:rPr>
                <w:color w:val="000000"/>
                <w:spacing w:val="0"/>
                <w:w w:val="100"/>
                <w:position w:val="0"/>
              </w:rPr>
              <w:t>11,961,3</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92.78</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both"/>
            </w:pPr>
            <w:r>
              <w:rPr>
                <w:color w:val="000000"/>
                <w:spacing w:val="0"/>
                <w:w w:val="100"/>
                <w:position w:val="0"/>
              </w:rPr>
              <w:t>22,687,8</w:t>
            </w:r>
          </w:p>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92.51</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right"/>
            </w:pPr>
            <w:r>
              <w:rPr>
                <w:color w:val="000000"/>
                <w:spacing w:val="0"/>
                <w:w w:val="100"/>
                <w:position w:val="0"/>
              </w:rPr>
              <w:t>49,321,1</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w:t>
            </w:r>
          </w:p>
        </w:tc>
      </w:tr>
    </w:tbl>
    <w:p>
      <w:pPr>
        <w:widowControl w:val="0"/>
        <w:spacing w:after="319" w:line="1" w:lineRule="exact"/>
      </w:pPr>
    </w:p>
    <w:p>
      <w:pPr>
        <w:pStyle w:val="Style44"/>
        <w:keepNext/>
        <w:keepLines/>
        <w:widowControl w:val="0"/>
        <w:numPr>
          <w:ilvl w:val="0"/>
          <w:numId w:val="81"/>
        </w:numPr>
        <w:shd w:val="clear" w:color="auto" w:fill="auto"/>
        <w:tabs>
          <w:tab w:pos="860" w:val="left"/>
        </w:tabs>
        <w:bidi w:val="0"/>
        <w:spacing w:before="0" w:after="380" w:line="240" w:lineRule="auto"/>
        <w:ind w:left="0" w:right="0" w:firstLine="42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本期没有发生在建工程减值准备的计提。</w:t>
      </w:r>
      <w:bookmarkEnd w:id="1065"/>
      <w:bookmarkEnd w:id="1066"/>
      <w:bookmarkEnd w:id="1068"/>
    </w:p>
    <w:p>
      <w:pPr>
        <w:pStyle w:val="Style44"/>
        <w:keepNext/>
        <w:keepLines/>
        <w:widowControl w:val="0"/>
        <w:numPr>
          <w:ilvl w:val="0"/>
          <w:numId w:val="81"/>
        </w:numPr>
        <w:shd w:val="clear" w:color="auto" w:fill="auto"/>
        <w:tabs>
          <w:tab w:pos="860" w:val="left"/>
        </w:tabs>
        <w:bidi w:val="0"/>
        <w:spacing w:before="0" w:after="320" w:line="240" w:lineRule="auto"/>
        <w:ind w:left="0" w:right="0" w:firstLine="42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重大在建工程的工程进度情况</w:t>
      </w:r>
      <w:bookmarkEnd w:id="1065"/>
      <w:bookmarkEnd w:id="1066"/>
      <w:bookmarkEnd w:id="1070"/>
    </w:p>
    <w:tbl>
      <w:tblPr>
        <w:tblOverlap w:val="never"/>
        <w:jc w:val="center"/>
        <w:tblLayout w:type="fixed"/>
      </w:tblPr>
      <w:tblGrid>
        <w:gridCol w:w="3192"/>
        <w:gridCol w:w="3187"/>
        <w:gridCol w:w="3202"/>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科学城生产基地三期</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22.46%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071" w:name="bookmark1071"/>
      <w:bookmarkStart w:id="1072" w:name="bookmark1072"/>
      <w:bookmarkStart w:id="1073" w:name="bookmark1073"/>
      <w:bookmarkStart w:id="1074" w:name="bookmark1074"/>
      <w:r>
        <w:rPr>
          <w:color w:val="000000"/>
          <w:spacing w:val="0"/>
          <w:w w:val="100"/>
          <w:position w:val="0"/>
        </w:rPr>
        <w:t>1</w:t>
      </w:r>
      <w:bookmarkEnd w:id="1073"/>
      <w:r>
        <w:rPr>
          <w:color w:val="000000"/>
          <w:spacing w:val="0"/>
          <w:w w:val="100"/>
          <w:position w:val="0"/>
        </w:rPr>
        <w:t>4、无形资产</w:t>
      </w:r>
      <w:bookmarkEnd w:id="1071"/>
      <w:bookmarkEnd w:id="1072"/>
      <w:bookmarkEnd w:id="1074"/>
    </w:p>
    <w:p>
      <w:pPr>
        <w:pStyle w:val="Style44"/>
        <w:keepNext/>
        <w:keepLines/>
        <w:widowControl w:val="0"/>
        <w:numPr>
          <w:ilvl w:val="0"/>
          <w:numId w:val="83"/>
        </w:numPr>
        <w:shd w:val="clear" w:color="auto" w:fill="auto"/>
        <w:bidi w:val="0"/>
        <w:spacing w:before="0" w:after="320" w:line="240" w:lineRule="auto"/>
        <w:ind w:left="0" w:right="0" w:firstLine="420"/>
        <w:jc w:val="left"/>
      </w:pPr>
      <w:bookmarkStart w:id="1071" w:name="bookmark1071"/>
      <w:bookmarkStart w:id="1072" w:name="bookmark1072"/>
      <w:bookmarkStart w:id="1075" w:name="bookmark1075"/>
      <w:bookmarkStart w:id="1076" w:name="bookmark1076"/>
      <w:bookmarkEnd w:id="1075"/>
      <w:r>
        <w:rPr>
          <w:color w:val="000000"/>
          <w:spacing w:val="0"/>
          <w:w w:val="100"/>
          <w:position w:val="0"/>
        </w:rPr>
        <w:t>无形资产情况</w:t>
      </w:r>
      <w:bookmarkEnd w:id="1071"/>
      <w:bookmarkEnd w:id="1072"/>
      <w:bookmarkEnd w:id="1076"/>
    </w:p>
    <w:tbl>
      <w:tblPr>
        <w:tblOverlap w:val="never"/>
        <w:jc w:val="center"/>
        <w:tblLayout w:type="fixed"/>
      </w:tblPr>
      <w:tblGrid>
        <w:gridCol w:w="2198"/>
        <w:gridCol w:w="1843"/>
        <w:gridCol w:w="1848"/>
        <w:gridCol w:w="1834"/>
        <w:gridCol w:w="185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21,621,181.36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740,664.31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22,361,845.67</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电子商务平台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1,343,196.02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1,343,196.02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管理用软件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2,819,485.34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740,664.31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3,560,149.65</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一期土地使用权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8,497,500.00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8,497,500.00</w:t>
            </w:r>
          </w:p>
        </w:tc>
      </w:tr>
    </w:tbl>
    <w:p>
      <w:pPr>
        <w:spacing w:lineRule="exact" w:line="1"/>
        <w:rPr>
          <w:sz w:val="2"/>
          <w:szCs w:val="2"/>
        </w:rPr>
      </w:pPr>
      <w:r>
        <w:br w:type="page"/>
      </w:r>
    </w:p>
    <w:tbl>
      <w:tblPr>
        <w:tblOverlap w:val="never"/>
        <w:jc w:val="center"/>
        <w:tblLayout w:type="fixed"/>
      </w:tblPr>
      <w:tblGrid>
        <w:gridCol w:w="2198"/>
        <w:gridCol w:w="1843"/>
        <w:gridCol w:w="1843"/>
        <w:gridCol w:w="1843"/>
        <w:gridCol w:w="1853"/>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5,489,900.00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5,489,900.00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3,471,100.00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3,471,100.00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4,219,310.80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924,093.34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5,143,404.14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电子商务平台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1,343,196.02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1,343,196.02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管理用软件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1,269,154.05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574,923.34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1,844,077.39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1,019,700.00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1,189,650.00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512,390.56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109,798.00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622,188.56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74,870.17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144,292.17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17,401,870.56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-183,429.03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17,218,441.53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电子商务平台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管理用软件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1,550,331.29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165,740.97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1,716,072.26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7,477,800.00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7,307,850.00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4,977,509.44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-109,798.00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4,867,711.44</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3,396,229.83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-69,422.00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3,326,807.83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电子商务平台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管理用软件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一期土地使用权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二期土地使用权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三期土地使用权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17,401,870.56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-183,429.03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17,218,441.53</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电子商务平台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管理用软件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1,550,331.29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165,740.97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1,716,072.26</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7,477,800.00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-169,950.00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7,307,850.00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二期土地使用权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4,977,509.44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-109,798.00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4,867,711.44</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三期土地使用权</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3,396,229.83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-69,422.00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3,326,807.83</w:t>
            </w:r>
          </w:p>
        </w:tc>
      </w:tr>
    </w:tbl>
    <w:p>
      <w:pPr>
        <w:widowControl w:val="0"/>
        <w:spacing w:after="59" w:line="1" w:lineRule="exact"/>
      </w:pP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本期摊销额</w:t>
      </w:r>
      <w:r>
        <w:rPr>
          <w:b w:val="0"/>
          <w:bCs w:val="0"/>
          <w:color w:val="000000"/>
          <w:spacing w:val="0"/>
          <w:w w:val="100"/>
          <w:position w:val="0"/>
        </w:rPr>
        <w:t>923,380.84</w:t>
      </w:r>
      <w:r>
        <w:rPr>
          <w:b w:val="0"/>
          <w:bCs w:val="0"/>
          <w:color w:val="000000"/>
          <w:spacing w:val="0"/>
          <w:w w:val="100"/>
          <w:position w:val="0"/>
        </w:rPr>
        <w:t>元。</w:t>
      </w:r>
    </w:p>
    <w:p>
      <w:pPr>
        <w:pStyle w:val="Style44"/>
        <w:keepNext/>
        <w:keepLines/>
        <w:widowControl w:val="0"/>
        <w:numPr>
          <w:ilvl w:val="0"/>
          <w:numId w:val="85"/>
        </w:numPr>
        <w:shd w:val="clear" w:color="auto" w:fill="auto"/>
        <w:bidi w:val="0"/>
        <w:spacing w:before="0" w:after="340" w:line="240" w:lineRule="auto"/>
        <w:ind w:left="0" w:right="0" w:firstLine="42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公司开发项目支出</w:t>
      </w:r>
      <w:bookmarkEnd w:id="1077"/>
      <w:bookmarkEnd w:id="1078"/>
      <w:bookmarkEnd w:id="1080"/>
    </w:p>
    <w:tbl>
      <w:tblPr>
        <w:tblOverlap w:val="never"/>
        <w:jc w:val="center"/>
        <w:tblLayout w:type="fixed"/>
      </w:tblPr>
      <w:tblGrid>
        <w:gridCol w:w="1603"/>
        <w:gridCol w:w="1594"/>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计入当期损益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开发项目支出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182,320,562.00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182,320,562.00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182,320,562.00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182,320,562.00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54"/>
        <w:keepNext w:val="0"/>
        <w:keepLines w:val="0"/>
        <w:widowControl w:val="0"/>
        <w:shd w:val="clear" w:color="auto" w:fill="auto"/>
        <w:bidi w:val="0"/>
        <w:spacing w:before="0" w:after="220" w:line="240" w:lineRule="auto"/>
        <w:ind w:left="0" w:right="0" w:firstLine="420"/>
        <w:jc w:val="left"/>
      </w:pPr>
      <w:r>
        <w:rPr>
          <w:b w:val="0"/>
          <w:bCs w:val="0"/>
          <w:color w:val="000000"/>
          <w:spacing w:val="0"/>
          <w:w w:val="100"/>
          <w:position w:val="0"/>
        </w:rPr>
        <w:t>本期开发支出占本期研究开发项目支出总额的比例100%。</w:t>
      </w:r>
      <w:r>
        <w:br w:type="page"/>
      </w:r>
    </w:p>
    <w:p>
      <w:pPr>
        <w:pStyle w:val="Style54"/>
        <w:keepNext w:val="0"/>
        <w:keepLines w:val="0"/>
        <w:widowControl w:val="0"/>
        <w:shd w:val="clear" w:color="auto" w:fill="auto"/>
        <w:bidi w:val="0"/>
        <w:spacing w:before="0" w:after="380" w:line="240" w:lineRule="auto"/>
        <w:ind w:left="0" w:right="0" w:firstLine="520"/>
        <w:jc w:val="both"/>
      </w:pPr>
      <w:r>
        <w:rPr>
          <w:b w:val="0"/>
          <w:bCs w:val="0"/>
          <w:color w:val="000000"/>
          <w:spacing w:val="0"/>
          <w:w w:val="100"/>
          <w:position w:val="0"/>
        </w:rPr>
        <w:t>通过公司内部研发形成的无形资产占无形资产期末账面价值的比例0%。</w:t>
      </w:r>
    </w:p>
    <w:p>
      <w:pPr>
        <w:pStyle w:val="Style44"/>
        <w:keepNext/>
        <w:keepLines/>
        <w:widowControl w:val="0"/>
        <w:shd w:val="clear" w:color="auto" w:fill="auto"/>
        <w:bidi w:val="0"/>
        <w:spacing w:before="0" w:after="320" w:line="240" w:lineRule="auto"/>
        <w:ind w:left="0" w:right="0" w:firstLine="52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081"/>
      <w:bookmarkEnd w:id="1082"/>
      <w:bookmarkEnd w:id="1084"/>
    </w:p>
    <w:tbl>
      <w:tblPr>
        <w:tblOverlap w:val="never"/>
        <w:jc w:val="center"/>
        <w:tblLayout w:type="fixed"/>
      </w:tblPr>
      <w:tblGrid>
        <w:gridCol w:w="3120"/>
        <w:gridCol w:w="1560"/>
        <w:gridCol w:w="1133"/>
        <w:gridCol w:w="1099"/>
        <w:gridCol w:w="1459"/>
        <w:gridCol w:w="121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期末减值准备</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深圳广电银通金融电子科技有限公司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946,852.52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946,852.52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946,852.52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946,852.52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54"/>
        <w:keepNext w:val="0"/>
        <w:keepLines w:val="0"/>
        <w:widowControl w:val="0"/>
        <w:shd w:val="clear" w:color="auto" w:fill="auto"/>
        <w:bidi w:val="0"/>
        <w:spacing w:before="0" w:after="0" w:line="240" w:lineRule="auto"/>
        <w:ind w:left="0" w:right="0" w:firstLine="520"/>
        <w:jc w:val="both"/>
      </w:pPr>
      <w:r>
        <w:rPr>
          <w:b w:val="0"/>
          <w:bCs w:val="0"/>
          <w:color w:val="000000"/>
          <w:spacing w:val="0"/>
          <w:w w:val="100"/>
          <w:position w:val="0"/>
        </w:rPr>
        <w:t>(1)商誉的来源:</w:t>
      </w:r>
    </w:p>
    <w:p>
      <w:pPr>
        <w:pStyle w:val="Style54"/>
        <w:keepNext w:val="0"/>
        <w:keepLines w:val="0"/>
        <w:widowControl w:val="0"/>
        <w:shd w:val="clear" w:color="auto" w:fill="auto"/>
        <w:bidi w:val="0"/>
        <w:spacing w:before="0" w:after="180" w:line="392" w:lineRule="exact"/>
        <w:ind w:left="0" w:right="0" w:firstLine="520"/>
        <w:jc w:val="both"/>
      </w:pPr>
      <w:r>
        <w:rPr>
          <w:b w:val="0"/>
          <w:bCs w:val="0"/>
          <w:color w:val="000000"/>
          <w:spacing w:val="0"/>
          <w:w w:val="100"/>
          <w:position w:val="0"/>
        </w:rPr>
        <w:t>2006年3月，本公司收购深圳广电银通金融电子科技有限公司国外投资方科杰控股有限公司</w:t>
      </w:r>
      <w:r>
        <w:rPr>
          <w:b w:val="0"/>
          <w:bCs w:val="0"/>
          <w:color w:val="000000"/>
          <w:spacing w:val="0"/>
          <w:w w:val="100"/>
          <w:position w:val="0"/>
        </w:rPr>
        <w:t>(Tech Elite Holdings Limited)</w:t>
      </w:r>
      <w:r>
        <w:rPr>
          <w:b w:val="0"/>
          <w:bCs w:val="0"/>
          <w:color w:val="000000"/>
          <w:spacing w:val="0"/>
          <w:w w:val="100"/>
          <w:position w:val="0"/>
        </w:rPr>
        <w:t>拥有的全部股权，股权变更后持有深圳广电银通金融电子科技有限公司75% (实 际投资比例为66.44%)股权；2006年5月，本公司收购深圳广电银通金融电子科技有限公司投资方广州无 线电集团有限公司拥有的全部股权，股权变更后持有深圳广电银通金融电子科技有限公司100%股权。上述 股权收购构成了非同一控制下的企业合并，本公司合并成本大于合并中取得的深圳广电银通金融电子科技 有限公司可辨认净资产公允价值份额的差额，确认为商誉。</w:t>
      </w:r>
    </w:p>
    <w:p>
      <w:pPr>
        <w:pStyle w:val="Style54"/>
        <w:keepNext w:val="0"/>
        <w:keepLines w:val="0"/>
        <w:widowControl w:val="0"/>
        <w:shd w:val="clear" w:color="auto" w:fill="auto"/>
        <w:bidi w:val="0"/>
        <w:spacing w:before="0" w:after="120" w:line="240" w:lineRule="auto"/>
        <w:ind w:left="0" w:right="0" w:firstLine="520"/>
        <w:jc w:val="both"/>
      </w:pPr>
      <w:r>
        <w:rPr>
          <w:b w:val="0"/>
          <w:bCs w:val="0"/>
          <w:color w:val="000000"/>
          <w:spacing w:val="0"/>
          <w:w w:val="100"/>
          <w:position w:val="0"/>
        </w:rPr>
        <w:t>(2)商誉的计算过程:</w:t>
      </w:r>
    </w:p>
    <w:tbl>
      <w:tblPr>
        <w:tblOverlap w:val="never"/>
        <w:jc w:val="left"/>
        <w:tblLayout w:type="fixed"/>
      </w:tblPr>
      <w:tblGrid>
        <w:gridCol w:w="5539"/>
        <w:gridCol w:w="1699"/>
        <w:gridCol w:w="1867"/>
      </w:tblGrid>
      <w:tr>
        <w:trPr>
          <w:trHeight w:val="494" w:hRule="exact"/>
        </w:trPr>
        <w:tc>
          <w:tcPr>
            <w:tcBorders>
              <w:top w:val="single" w:sz="4"/>
              <w:left w:val="single" w:sz="4"/>
            </w:tcBorders>
            <w:shd w:val="clear" w:color="auto" w:fill="D3D3D3"/>
            <w:vAlign w:val="center"/>
          </w:tcPr>
          <w:p>
            <w:pPr>
              <w:pStyle w:val="Style28"/>
              <w:keepNext w:val="0"/>
              <w:keepLines w:val="0"/>
              <w:widowControl w:val="0"/>
              <w:shd w:val="clear" w:color="auto" w:fill="auto"/>
              <w:tabs>
                <w:tab w:pos="643" w:val="left"/>
              </w:tabs>
              <w:bidi w:val="0"/>
              <w:spacing w:before="0" w:after="0" w:line="240" w:lineRule="auto"/>
              <w:ind w:left="0" w:right="0" w:firstLine="0"/>
              <w:jc w:val="center"/>
            </w:pPr>
            <w:r>
              <w:rPr>
                <w:rFonts w:ascii="SimSun" w:eastAsia="SimSun" w:hAnsi="SimSun" w:cs="SimSun"/>
                <w:color w:val="000000"/>
                <w:spacing w:val="0"/>
                <w:w w:val="100"/>
                <w:position w:val="0"/>
              </w:rPr>
              <w:t>项</w:t>
              <w:tab/>
              <w:t>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p>
        </w:tc>
      </w:tr>
      <w:tr>
        <w:trPr>
          <w:trHeight w:val="5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①合并成本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10,971,555.80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11,070,019.38</w:t>
            </w:r>
          </w:p>
        </w:tc>
      </w:tr>
      <w:tr>
        <w:trPr>
          <w:trHeight w:val="5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②股权购买日被投资单位公允价值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31,033,498.79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31,207,467.66</w:t>
            </w:r>
          </w:p>
        </w:tc>
      </w:tr>
      <w:tr>
        <w:trPr>
          <w:trHeight w:val="5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③投资比例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33.56%</w:t>
            </w:r>
          </w:p>
        </w:tc>
      </w:tr>
      <w:tr>
        <w:trPr>
          <w:trHeight w:val="5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④按投资比例计算的应享有的份额</w:t>
            </w:r>
            <w:r>
              <w:rPr>
                <w:rFonts w:ascii="SimSun" w:eastAsia="SimSun" w:hAnsi="SimSun" w:cs="SimSun"/>
                <w:color w:val="000000"/>
                <w:spacing w:val="0"/>
                <w:w w:val="100"/>
                <w:position w:val="0"/>
              </w:rPr>
              <w:t>二</w:t>
            </w:r>
            <w:r>
              <w:rPr>
                <w:rFonts w:ascii="SimSun" w:eastAsia="SimSun" w:hAnsi="SimSun" w:cs="SimSun"/>
                <w:color w:val="000000"/>
                <w:spacing w:val="0"/>
                <w:w w:val="100"/>
                <w:position w:val="0"/>
              </w:rPr>
              <w:t>②</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10,621,496.52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10,473,226.14</w:t>
            </w:r>
          </w:p>
        </w:tc>
      </w:tr>
      <w:tr>
        <w:trPr>
          <w:trHeight w:val="51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⑤商誉初始金额=①一④</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350,059.28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596,793.24</w:t>
            </w:r>
          </w:p>
        </w:tc>
      </w:tr>
    </w:tbl>
    <w:p>
      <w:pPr>
        <w:widowControl w:val="0"/>
        <w:spacing w:after="59" w:line="1" w:lineRule="exact"/>
      </w:pPr>
    </w:p>
    <w:p>
      <w:pPr>
        <w:pStyle w:val="Style54"/>
        <w:keepNext w:val="0"/>
        <w:keepLines w:val="0"/>
        <w:widowControl w:val="0"/>
        <w:numPr>
          <w:ilvl w:val="0"/>
          <w:numId w:val="85"/>
        </w:numPr>
        <w:shd w:val="clear" w:color="auto" w:fill="auto"/>
        <w:bidi w:val="0"/>
        <w:spacing w:before="0" w:after="380" w:line="240" w:lineRule="auto"/>
        <w:ind w:left="0" w:right="0" w:firstLine="520"/>
        <w:jc w:val="both"/>
      </w:pPr>
      <w:bookmarkStart w:id="1085" w:name="bookmark1085"/>
      <w:bookmarkEnd w:id="1085"/>
      <w:r>
        <w:rPr>
          <w:b w:val="0"/>
          <w:bCs w:val="0"/>
          <w:color w:val="000000"/>
          <w:spacing w:val="0"/>
          <w:w w:val="100"/>
          <w:position w:val="0"/>
        </w:rPr>
        <w:t>经测试，本期商誉不存在计提减值准备的情况。</w:t>
      </w:r>
    </w:p>
    <w:p>
      <w:pPr>
        <w:pStyle w:val="Style44"/>
        <w:keepNext/>
        <w:keepLines/>
        <w:widowControl w:val="0"/>
        <w:shd w:val="clear" w:color="auto" w:fill="auto"/>
        <w:bidi w:val="0"/>
        <w:spacing w:before="0" w:after="320" w:line="240" w:lineRule="auto"/>
        <w:ind w:left="0" w:right="0" w:firstLine="52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086"/>
      <w:bookmarkEnd w:id="1087"/>
      <w:bookmarkEnd w:id="1089"/>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其他减少的原因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监控中心装修费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一期清分中心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197,914.38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126,778.62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69,082.25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91,014.00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114,589.25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45,507.00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办公场地改造费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2,631,777.18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828,908.37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951,606.72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2,509,078.83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2,902,059.81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919,922.37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1,139,803.73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2,682,178.45</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42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7</w:t>
      </w:r>
      <w:r>
        <w:rPr>
          <w:color w:val="000000"/>
          <w:spacing w:val="0"/>
          <w:w w:val="100"/>
          <w:position w:val="0"/>
        </w:rPr>
        <w:t>、递延所得税资产和递延所得税负债</w:t>
      </w:r>
      <w:bookmarkEnd w:id="1090"/>
      <w:bookmarkEnd w:id="1091"/>
      <w:bookmarkEnd w:id="1093"/>
    </w:p>
    <w:p>
      <w:pPr>
        <w:pStyle w:val="Style44"/>
        <w:keepNext/>
        <w:keepLines/>
        <w:widowControl w:val="0"/>
        <w:shd w:val="clear" w:color="auto" w:fill="auto"/>
        <w:bidi w:val="0"/>
        <w:spacing w:before="0" w:after="420" w:line="240" w:lineRule="auto"/>
        <w:ind w:left="0" w:right="0" w:firstLine="420"/>
        <w:jc w:val="left"/>
      </w:pPr>
      <w:bookmarkStart w:id="1090" w:name="bookmark1090"/>
      <w:bookmarkStart w:id="1091" w:name="bookmark1091"/>
      <w:bookmarkStart w:id="1094" w:name="bookmark1094"/>
      <w:r>
        <w:rPr>
          <w:color w:val="000000"/>
          <w:spacing w:val="0"/>
          <w:w w:val="100"/>
          <w:position w:val="0"/>
        </w:rPr>
        <w:t>(1)递延所得税资产和递延所得税负债不以抵销后的净额列示</w:t>
      </w:r>
      <w:bookmarkEnd w:id="1090"/>
      <w:bookmarkEnd w:id="1091"/>
      <w:bookmarkEnd w:id="1094"/>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①已确认的递延所得税资产</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1,499,502.14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2,838,078.35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118,408.88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76,558.97</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19,064,887.30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18,385,307.56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预提性质负债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6,643,404.04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8,281,975.87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4,349,733.83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68,712.28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3,056,956.37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3,646,249.84</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可弥补的税前亏损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1,068,096.78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1,391,887.77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35,800,989.34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34,688,770.64</w:t>
            </w:r>
          </w:p>
        </w:tc>
      </w:tr>
    </w:tbl>
    <w:p>
      <w:pPr>
        <w:widowControl w:val="0"/>
        <w:spacing w:after="379" w:line="1" w:lineRule="exact"/>
      </w:pP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②未确认递延所得税资产明细</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2,523,453.33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23,270,435.90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25,793,889.23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54"/>
        <w:keepNext w:val="0"/>
        <w:keepLines w:val="0"/>
        <w:widowControl w:val="0"/>
        <w:numPr>
          <w:ilvl w:val="0"/>
          <w:numId w:val="87"/>
        </w:numPr>
        <w:shd w:val="clear" w:color="auto" w:fill="auto"/>
        <w:bidi w:val="0"/>
        <w:spacing w:before="0" w:after="380" w:line="240" w:lineRule="auto"/>
        <w:ind w:left="0" w:right="0" w:firstLine="420"/>
        <w:jc w:val="left"/>
      </w:pPr>
      <w:bookmarkStart w:id="1095" w:name="bookmark1095"/>
      <w:bookmarkEnd w:id="1095"/>
      <w:r>
        <w:rPr>
          <w:b w:val="0"/>
          <w:bCs w:val="0"/>
          <w:color w:val="000000"/>
          <w:spacing w:val="0"/>
          <w:w w:val="100"/>
          <w:position w:val="0"/>
        </w:rPr>
        <w:t>未确认递延所得税资产的可抵扣亏损将于以下年度到期</w:t>
      </w:r>
    </w:p>
    <w:tbl>
      <w:tblPr>
        <w:tblOverlap w:val="never"/>
        <w:jc w:val="center"/>
        <w:tblLayout w:type="fixed"/>
      </w:tblPr>
      <w:tblGrid>
        <w:gridCol w:w="2002"/>
        <w:gridCol w:w="2256"/>
        <w:gridCol w:w="1997"/>
        <w:gridCol w:w="332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47,689.24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5,051,938.80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2,921,657.19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2017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3,010,936.38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12,238,214.29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23,270,435.90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54"/>
        <w:keepNext w:val="0"/>
        <w:keepLines w:val="0"/>
        <w:widowControl w:val="0"/>
        <w:numPr>
          <w:ilvl w:val="0"/>
          <w:numId w:val="87"/>
        </w:numPr>
        <w:shd w:val="clear" w:color="auto" w:fill="auto"/>
        <w:bidi w:val="0"/>
        <w:spacing w:before="0" w:after="380" w:line="240" w:lineRule="auto"/>
        <w:ind w:left="0" w:right="0" w:firstLine="420"/>
        <w:jc w:val="left"/>
      </w:pPr>
      <w:bookmarkStart w:id="1096" w:name="bookmark1096"/>
      <w:bookmarkEnd w:id="1096"/>
      <w:r>
        <w:rPr>
          <w:b w:val="0"/>
          <w:bCs w:val="0"/>
          <w:color w:val="000000"/>
          <w:spacing w:val="0"/>
          <w:w w:val="100"/>
          <w:position w:val="0"/>
        </w:rPr>
        <w:t>可抵扣差异项目明细</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暂时性差异金额</w:t>
            </w:r>
          </w:p>
        </w:tc>
      </w:tr>
    </w:tbl>
    <w:p>
      <w:pPr>
        <w:spacing w:lineRule="exact" w:line="1"/>
        <w:rPr>
          <w:sz w:val="2"/>
          <w:szCs w:val="2"/>
        </w:rPr>
      </w:pPr>
      <w:r>
        <w:br w:type="page"/>
      </w:r>
    </w:p>
    <w:tbl>
      <w:tblPr>
        <w:tblOverlap w:val="never"/>
        <w:jc w:val="center"/>
        <w:tblLayout w:type="fixed"/>
      </w:tblPr>
      <w:tblGrid>
        <w:gridCol w:w="3859"/>
        <w:gridCol w:w="2923"/>
        <w:gridCol w:w="279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14,624,283.73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18,897,788.68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793,801.57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499,373.12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164,079,687.33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121,698,191.77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预提性质负债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66,434,040.37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55,213,172.48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未实现内部损益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30,569,563.70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24,308,332.27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42,274,921.40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458,081.88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可弥补的税前亏损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4,272,387.15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5,567,551.10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323,048,685.25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226,642,491.30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097" w:name="bookmark1097"/>
      <w:bookmarkStart w:id="1098" w:name="bookmark1098"/>
      <w:bookmarkStart w:id="1099" w:name="bookmark1099"/>
      <w:r>
        <w:rPr>
          <w:color w:val="000000"/>
          <w:spacing w:val="0"/>
          <w:w w:val="100"/>
          <w:position w:val="0"/>
        </w:rPr>
        <w:t>(2)递延所得税资产和递延所得税负债以抵销后的净额列示</w:t>
      </w:r>
      <w:bookmarkEnd w:id="1097"/>
      <w:bookmarkEnd w:id="1098"/>
      <w:bookmarkEnd w:id="1099"/>
    </w:p>
    <w:p>
      <w:pPr>
        <w:pStyle w:val="Style54"/>
        <w:keepNext w:val="0"/>
        <w:keepLines w:val="0"/>
        <w:widowControl w:val="0"/>
        <w:shd w:val="clear" w:color="auto" w:fill="auto"/>
        <w:bidi w:val="0"/>
        <w:spacing w:before="0" w:after="60" w:line="240" w:lineRule="auto"/>
        <w:ind w:left="0" w:right="0" w:firstLine="420"/>
        <w:jc w:val="left"/>
      </w:pPr>
      <w:r>
        <w:rPr>
          <w:b w:val="0"/>
          <w:bCs w:val="0"/>
          <w:color w:val="000000"/>
          <w:spacing w:val="0"/>
          <w:w w:val="100"/>
          <w:position w:val="0"/>
        </w:rPr>
        <w:t>互抵后的递延所得税资产及负债的组成项目</w:t>
      </w:r>
    </w:p>
    <w:tbl>
      <w:tblPr>
        <w:tblOverlap w:val="never"/>
        <w:jc w:val="center"/>
        <w:tblLayout w:type="fixed"/>
      </w:tblPr>
      <w:tblGrid>
        <w:gridCol w:w="3062"/>
        <w:gridCol w:w="1627"/>
        <w:gridCol w:w="1627"/>
        <w:gridCol w:w="1627"/>
        <w:gridCol w:w="1637"/>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报告期末互抵后的 递延所得税资产或</w:t>
            </w:r>
          </w:p>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报告期初互抵后的 可抵扣或应纳税暂 时性差异</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35,800,989.34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34,688,770.64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8</w:t>
      </w:r>
      <w:r>
        <w:rPr>
          <w:color w:val="000000"/>
          <w:spacing w:val="0"/>
          <w:w w:val="100"/>
          <w:position w:val="0"/>
        </w:rPr>
        <w:t>、资产减值准备明细</w:t>
      </w:r>
      <w:bookmarkEnd w:id="1100"/>
      <w:bookmarkEnd w:id="1101"/>
      <w:bookmarkEnd w:id="1103"/>
    </w:p>
    <w:tbl>
      <w:tblPr>
        <w:tblOverlap w:val="never"/>
        <w:jc w:val="center"/>
        <w:tblLayout w:type="fixed"/>
      </w:tblPr>
      <w:tblGrid>
        <w:gridCol w:w="2698"/>
        <w:gridCol w:w="1560"/>
        <w:gridCol w:w="1416"/>
        <w:gridCol w:w="1277"/>
        <w:gridCol w:w="1171"/>
        <w:gridCol w:w="1459"/>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19,397,161.80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1,537,980.47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2,989,206.14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17,945,936.13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三、可供出售金融资产减值准备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四、持有至到期投资减值准备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十、生产性生物资产减值准备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其中：成熟生产性生物资产减 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8"/>
        <w:gridCol w:w="1560"/>
        <w:gridCol w:w="1416"/>
        <w:gridCol w:w="1277"/>
        <w:gridCol w:w="1171"/>
        <w:gridCol w:w="1459"/>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19,397,161.80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1,537,980.47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2,989,206.14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17,945,936.13</w:t>
            </w:r>
          </w:p>
        </w:tc>
      </w:tr>
    </w:tbl>
    <w:p>
      <w:pPr>
        <w:widowControl w:val="0"/>
        <w:spacing w:after="59" w:line="1" w:lineRule="exact"/>
      </w:pP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资产减值明细情况的说明：本期增加中包含了汇率折算原因产生的金额</w:t>
      </w:r>
      <w:r>
        <w:rPr>
          <w:b w:val="0"/>
          <w:bCs w:val="0"/>
          <w:color w:val="000000"/>
          <w:spacing w:val="0"/>
          <w:w w:val="100"/>
          <w:position w:val="0"/>
        </w:rPr>
        <w:t>-8,883.41</w:t>
      </w:r>
      <w:r>
        <w:rPr>
          <w:b w:val="0"/>
          <w:bCs w:val="0"/>
          <w:color w:val="000000"/>
          <w:spacing w:val="0"/>
          <w:w w:val="100"/>
          <w:position w:val="0"/>
        </w:rPr>
        <w:t xml:space="preserve">元及并购龙源环保 </w:t>
      </w:r>
      <w:r>
        <w:rPr>
          <w:b w:val="0"/>
          <w:bCs w:val="0"/>
          <w:color w:val="000000"/>
          <w:spacing w:val="0"/>
          <w:w w:val="100"/>
          <w:position w:val="0"/>
        </w:rPr>
        <w:t>增加资产减值准备</w:t>
      </w:r>
      <w:r>
        <w:rPr>
          <w:b w:val="0"/>
          <w:bCs w:val="0"/>
          <w:color w:val="000000"/>
          <w:spacing w:val="0"/>
          <w:w w:val="100"/>
          <w:position w:val="0"/>
        </w:rPr>
        <w:t>1,843,553.43</w:t>
      </w:r>
      <w:r>
        <w:rPr>
          <w:b w:val="0"/>
          <w:bCs w:val="0"/>
          <w:color w:val="000000"/>
          <w:spacing w:val="0"/>
          <w:w w:val="100"/>
          <w:position w:val="0"/>
        </w:rPr>
        <w:t>元。</w:t>
      </w:r>
    </w:p>
    <w:p>
      <w:pPr>
        <w:pStyle w:val="Style44"/>
        <w:keepNext/>
        <w:keepLines/>
        <w:widowControl w:val="0"/>
        <w:shd w:val="clear" w:color="auto" w:fill="auto"/>
        <w:bidi w:val="0"/>
        <w:spacing w:before="0" w:after="340" w:line="240" w:lineRule="auto"/>
        <w:ind w:left="0" w:right="0" w:firstLine="42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04"/>
      <w:bookmarkEnd w:id="1105"/>
      <w:bookmarkEnd w:id="1107"/>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78,447,051.97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81,861,323.25</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78,447,051.97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81,861,323.25</w:t>
            </w:r>
          </w:p>
        </w:tc>
      </w:tr>
    </w:tbl>
    <w:p>
      <w:pPr>
        <w:widowControl w:val="0"/>
        <w:spacing w:after="59" w:line="1" w:lineRule="exact"/>
      </w:pP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下一会计期间将到期的金额</w:t>
      </w:r>
      <w:r>
        <w:rPr>
          <w:b w:val="0"/>
          <w:bCs w:val="0"/>
          <w:color w:val="000000"/>
          <w:spacing w:val="0"/>
          <w:w w:val="100"/>
          <w:position w:val="0"/>
        </w:rPr>
        <w:t>78,447,051.97</w:t>
      </w:r>
      <w:r>
        <w:rPr>
          <w:b w:val="0"/>
          <w:bCs w:val="0"/>
          <w:color w:val="000000"/>
          <w:spacing w:val="0"/>
          <w:w w:val="100"/>
          <w:position w:val="0"/>
        </w:rPr>
        <w:t>元。</w:t>
      </w:r>
    </w:p>
    <w:p>
      <w:pPr>
        <w:pStyle w:val="Style44"/>
        <w:keepNext/>
        <w:keepLines/>
        <w:widowControl w:val="0"/>
        <w:shd w:val="clear" w:color="auto" w:fill="auto"/>
        <w:bidi w:val="0"/>
        <w:spacing w:before="0" w:after="380" w:line="240" w:lineRule="auto"/>
        <w:ind w:left="0" w:right="0" w:firstLine="42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2</w:t>
      </w:r>
      <w:bookmarkEnd w:id="1110"/>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08"/>
      <w:bookmarkEnd w:id="1109"/>
      <w:bookmarkEnd w:id="1111"/>
    </w:p>
    <w:p>
      <w:pPr>
        <w:pStyle w:val="Style44"/>
        <w:keepNext/>
        <w:keepLines/>
        <w:widowControl w:val="0"/>
        <w:shd w:val="clear" w:color="auto" w:fill="auto"/>
        <w:bidi w:val="0"/>
        <w:spacing w:before="0" w:after="340" w:line="240" w:lineRule="auto"/>
        <w:ind w:left="0" w:right="0" w:firstLine="420"/>
        <w:jc w:val="left"/>
      </w:pPr>
      <w:bookmarkStart w:id="1108" w:name="bookmark1108"/>
      <w:bookmarkStart w:id="1109" w:name="bookmark1109"/>
      <w:bookmarkStart w:id="1112" w:name="bookmark1112"/>
      <w:r>
        <w:rPr>
          <w:color w:val="000000"/>
          <w:spacing w:val="0"/>
          <w:w w:val="100"/>
          <w:position w:val="0"/>
        </w:rPr>
        <w:t>(1)应付账款情况</w:t>
      </w:r>
      <w:bookmarkEnd w:id="1108"/>
      <w:bookmarkEnd w:id="1109"/>
      <w:bookmarkEnd w:id="1112"/>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393,888,660.71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268,786,968.80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3,700,276.63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1,087,719.81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439,415.85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512,948.98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552,939.30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1,562,212.63</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398,581,292.49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271,949,850.22</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113" w:name="bookmark1113"/>
      <w:bookmarkStart w:id="1114" w:name="bookmark1114"/>
      <w:bookmarkStart w:id="1115" w:name="bookmark1115"/>
      <w:r>
        <w:rPr>
          <w:color w:val="000000"/>
          <w:spacing w:val="0"/>
          <w:w w:val="100"/>
          <w:position w:val="0"/>
        </w:rPr>
        <w:t>(2)本报告期应付账款中应付持有公司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113"/>
      <w:bookmarkEnd w:id="1114"/>
      <w:bookmarkEnd w:id="1115"/>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22,557.59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22,557.59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numPr>
          <w:ilvl w:val="0"/>
          <w:numId w:val="89"/>
        </w:numPr>
        <w:shd w:val="clear" w:color="auto" w:fill="auto"/>
        <w:bidi w:val="0"/>
        <w:spacing w:before="0" w:after="340" w:line="240" w:lineRule="auto"/>
        <w:ind w:left="0" w:right="0" w:firstLine="42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账龄超过一年的大额应付账款情况的说明</w:t>
      </w:r>
      <w:bookmarkEnd w:id="1116"/>
      <w:bookmarkEnd w:id="1117"/>
      <w:bookmarkEnd w:id="1119"/>
    </w:p>
    <w:tbl>
      <w:tblPr>
        <w:tblOverlap w:val="never"/>
        <w:jc w:val="center"/>
        <w:tblLayout w:type="fixed"/>
      </w:tblPr>
      <w:tblGrid>
        <w:gridCol w:w="2563"/>
        <w:gridCol w:w="2410"/>
        <w:gridCol w:w="1982"/>
        <w:gridCol w:w="2563"/>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未结转原因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1,630,649.80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供应商二</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1,097,405.15</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63"/>
        <w:gridCol w:w="2410"/>
        <w:gridCol w:w="1982"/>
        <w:gridCol w:w="2563"/>
      </w:tblGrid>
      <w:tr>
        <w:trPr>
          <w:trHeight w:val="35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251,728.08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237,248.22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供应商五</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225,745.00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、预收账款</w:t>
      </w:r>
      <w:bookmarkEnd w:id="1120"/>
      <w:bookmarkEnd w:id="1121"/>
      <w:bookmarkEnd w:id="1123"/>
    </w:p>
    <w:p>
      <w:pPr>
        <w:pStyle w:val="Style44"/>
        <w:keepNext/>
        <w:keepLines/>
        <w:widowControl w:val="0"/>
        <w:shd w:val="clear" w:color="auto" w:fill="auto"/>
        <w:bidi w:val="0"/>
        <w:spacing w:before="0" w:after="320" w:line="240" w:lineRule="auto"/>
        <w:ind w:left="0" w:right="0" w:firstLine="420"/>
        <w:jc w:val="left"/>
      </w:pPr>
      <w:bookmarkStart w:id="1120" w:name="bookmark1120"/>
      <w:bookmarkStart w:id="1121" w:name="bookmark1121"/>
      <w:bookmarkStart w:id="1124" w:name="bookmark1124"/>
      <w:r>
        <w:rPr>
          <w:color w:val="000000"/>
          <w:spacing w:val="0"/>
          <w:w w:val="100"/>
          <w:position w:val="0"/>
        </w:rPr>
        <w:t>(1)预收账款情况</w:t>
      </w:r>
      <w:bookmarkEnd w:id="1120"/>
      <w:bookmarkEnd w:id="1121"/>
      <w:bookmarkEnd w:id="1124"/>
    </w:p>
    <w:tbl>
      <w:tblPr>
        <w:tblOverlap w:val="never"/>
        <w:jc w:val="center"/>
        <w:tblLayout w:type="fixed"/>
      </w:tblPr>
      <w:tblGrid>
        <w:gridCol w:w="3859"/>
        <w:gridCol w:w="2789"/>
        <w:gridCol w:w="293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477,031,482.86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268,148,016.19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3,137,772.41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69,928.30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984,365.76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1,021,555.29</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481,153,801.03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269,248,409.78</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125" w:name="bookmark1125"/>
      <w:bookmarkStart w:id="1126" w:name="bookmark1126"/>
      <w:bookmarkStart w:id="1127" w:name="bookmark1127"/>
      <w:r>
        <w:rPr>
          <w:color w:val="000000"/>
          <w:spacing w:val="0"/>
          <w:w w:val="100"/>
          <w:position w:val="0"/>
        </w:rPr>
        <w:t>⑵期末数中没有预收持本公司5%以上(含5%)表决权股份的股东单位款项。</w:t>
      </w:r>
      <w:bookmarkEnd w:id="1125"/>
      <w:bookmarkEnd w:id="1126"/>
      <w:bookmarkEnd w:id="1127"/>
    </w:p>
    <w:p>
      <w:pPr>
        <w:pStyle w:val="Style44"/>
        <w:keepNext/>
        <w:keepLines/>
        <w:widowControl w:val="0"/>
        <w:shd w:val="clear" w:color="auto" w:fill="auto"/>
        <w:bidi w:val="0"/>
        <w:spacing w:before="0" w:after="320" w:line="240" w:lineRule="auto"/>
        <w:ind w:left="0" w:right="0" w:firstLine="420"/>
        <w:jc w:val="left"/>
      </w:pPr>
      <w:bookmarkStart w:id="1125" w:name="bookmark1125"/>
      <w:bookmarkStart w:id="1126" w:name="bookmark1126"/>
      <w:bookmarkStart w:id="1128" w:name="bookmark1128"/>
      <w:r>
        <w:rPr>
          <w:color w:val="000000"/>
          <w:spacing w:val="0"/>
          <w:w w:val="100"/>
          <w:position w:val="0"/>
        </w:rPr>
        <w:t>(3)账龄超过一年的大额预收账款情况的说明</w:t>
      </w:r>
      <w:bookmarkEnd w:id="1125"/>
      <w:bookmarkEnd w:id="1126"/>
      <w:bookmarkEnd w:id="1128"/>
    </w:p>
    <w:tbl>
      <w:tblPr>
        <w:tblOverlap w:val="never"/>
        <w:jc w:val="center"/>
        <w:tblLayout w:type="fixed"/>
      </w:tblPr>
      <w:tblGrid>
        <w:gridCol w:w="2563"/>
        <w:gridCol w:w="2410"/>
        <w:gridCol w:w="1982"/>
        <w:gridCol w:w="2563"/>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未结转原因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1,712,307.69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未签收</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1,025,641.03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未签收</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626,499.48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未签收</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320,512.82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未签收</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客户五</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rFonts w:ascii="SimSun" w:eastAsia="SimSun" w:hAnsi="SimSun" w:cs="SimSun"/>
                <w:color w:val="000000"/>
                <w:spacing w:val="0"/>
                <w:w w:val="100"/>
                <w:position w:val="0"/>
              </w:rPr>
              <w:t>185,665.84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未签收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29"/>
      <w:bookmarkEnd w:id="1130"/>
      <w:bookmarkEnd w:id="1132"/>
    </w:p>
    <w:tbl>
      <w:tblPr>
        <w:tblOverlap w:val="never"/>
        <w:jc w:val="center"/>
        <w:tblLayout w:type="fixed"/>
      </w:tblPr>
      <w:tblGrid>
        <w:gridCol w:w="2981"/>
        <w:gridCol w:w="1560"/>
        <w:gridCol w:w="1848"/>
        <w:gridCol w:w="1690"/>
        <w:gridCol w:w="15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期末账面余额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一、工资、奖金、津贴和补贴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122,056,308.79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444,565,437.13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401,461,043.29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165,160,702.63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11,266,375.74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11,266,375.74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11,010.12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38,630,826.30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38,641,836.42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pPr>
            <w:r>
              <w:rPr>
                <w:color w:val="000000"/>
                <w:spacing w:val="0"/>
                <w:w w:val="100"/>
                <w:position w:val="0"/>
              </w:rPr>
              <w:t>16,182,006.50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16,187,781.50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r>
              <w:rPr>
                <w:color w:val="000000"/>
                <w:spacing w:val="0"/>
                <w:w w:val="100"/>
                <w:position w:val="0"/>
              </w:rPr>
              <w:t>(</w:t>
            </w:r>
            <w:r>
              <w:rPr>
                <w:rFonts w:ascii="SimSun" w:eastAsia="SimSun" w:hAnsi="SimSun" w:cs="SimSun"/>
                <w:color w:val="000000"/>
                <w:spacing w:val="0"/>
                <w:w w:val="100"/>
                <w:position w:val="0"/>
              </w:rPr>
              <w:t>工会经费及职工教育经费</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4,169,442.09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4,169,442.09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122,073,093.91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514,814,087.76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471,726,479.04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165,160,702.63</w:t>
            </w:r>
          </w:p>
        </w:tc>
      </w:tr>
    </w:tbl>
    <w:p>
      <w:pPr>
        <w:spacing w:lineRule="exact" w:line="1"/>
        <w:rPr>
          <w:sz w:val="2"/>
          <w:szCs w:val="2"/>
        </w:rPr>
      </w:pPr>
      <w:r>
        <w:br w:type="page"/>
      </w:r>
    </w:p>
    <w:p>
      <w:pPr>
        <w:pStyle w:val="Style44"/>
        <w:keepNext/>
        <w:keepLines/>
        <w:widowControl w:val="0"/>
        <w:shd w:val="clear" w:color="auto" w:fill="auto"/>
        <w:bidi w:val="0"/>
        <w:spacing w:before="0" w:after="320" w:line="240" w:lineRule="auto"/>
        <w:ind w:left="0" w:right="0" w:firstLine="42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33"/>
      <w:bookmarkEnd w:id="1134"/>
      <w:bookmarkEnd w:id="1136"/>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90,862,485.88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113,085,656.91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1,394,067.23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464,275.79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58,489,059.18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33,476,544.03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702,939.54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695,581.55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8,317,448.19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8,042,773.88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3,575,464.94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3,447,331.35</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2,378,003.51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2,298,070.89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堤围防护费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2,249,991.52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1,940,273.84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127,079.45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土地增值税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458,725.55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168,650,357.61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163,450,508.24</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137"/>
      <w:bookmarkEnd w:id="1138"/>
      <w:bookmarkEnd w:id="1140"/>
    </w:p>
    <w:p>
      <w:pPr>
        <w:pStyle w:val="Style44"/>
        <w:keepNext/>
        <w:keepLines/>
        <w:widowControl w:val="0"/>
        <w:shd w:val="clear" w:color="auto" w:fill="auto"/>
        <w:bidi w:val="0"/>
        <w:spacing w:before="0" w:after="320" w:line="240" w:lineRule="auto"/>
        <w:ind w:left="0" w:right="0" w:firstLine="420"/>
        <w:jc w:val="left"/>
      </w:pPr>
      <w:bookmarkStart w:id="1137" w:name="bookmark1137"/>
      <w:bookmarkStart w:id="1138" w:name="bookmark1138"/>
      <w:bookmarkStart w:id="1141" w:name="bookmark1141"/>
      <w:r>
        <w:rPr>
          <w:color w:val="000000"/>
          <w:spacing w:val="0"/>
          <w:w w:val="100"/>
          <w:position w:val="0"/>
        </w:rPr>
        <w:t>(1)其他应付款情况</w:t>
      </w:r>
      <w:bookmarkEnd w:id="1137"/>
      <w:bookmarkEnd w:id="1138"/>
      <w:bookmarkEnd w:id="1141"/>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70,199,556.64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65,006,542.89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24,782,509.54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9,672,848.43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731,853.97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1,630,406.00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490,352.05</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80" w:right="0" w:firstLine="0"/>
              <w:jc w:val="left"/>
            </w:pPr>
            <w:r>
              <w:rPr>
                <w:color w:val="000000"/>
                <w:spacing w:val="0"/>
                <w:w w:val="100"/>
                <w:position w:val="0"/>
              </w:rPr>
              <w:t>95,966,420.15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76,800,149.37</w:t>
            </w:r>
          </w:p>
        </w:tc>
      </w:tr>
    </w:tbl>
    <w:p>
      <w:pPr>
        <w:widowControl w:val="0"/>
        <w:spacing w:after="319" w:line="1" w:lineRule="exact"/>
      </w:pPr>
    </w:p>
    <w:p>
      <w:pPr>
        <w:pStyle w:val="Style44"/>
        <w:keepNext/>
        <w:keepLines/>
        <w:widowControl w:val="0"/>
        <w:numPr>
          <w:ilvl w:val="0"/>
          <w:numId w:val="91"/>
        </w:numPr>
        <w:shd w:val="clear" w:color="auto" w:fill="auto"/>
        <w:tabs>
          <w:tab w:pos="860" w:val="left"/>
        </w:tabs>
        <w:bidi w:val="0"/>
        <w:spacing w:before="0" w:after="380" w:line="240" w:lineRule="auto"/>
        <w:ind w:left="0" w:right="0" w:firstLine="42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期末数中没有欠持本公司5%以上(含5%)表决权股份的股东单位款项。</w:t>
      </w:r>
      <w:bookmarkEnd w:id="1142"/>
      <w:bookmarkEnd w:id="1143"/>
      <w:bookmarkEnd w:id="1145"/>
    </w:p>
    <w:p>
      <w:pPr>
        <w:pStyle w:val="Style44"/>
        <w:keepNext/>
        <w:keepLines/>
        <w:widowControl w:val="0"/>
        <w:numPr>
          <w:ilvl w:val="0"/>
          <w:numId w:val="91"/>
        </w:numPr>
        <w:shd w:val="clear" w:color="auto" w:fill="auto"/>
        <w:tabs>
          <w:tab w:pos="860" w:val="left"/>
        </w:tabs>
        <w:bidi w:val="0"/>
        <w:spacing w:before="0" w:after="320" w:line="240" w:lineRule="auto"/>
        <w:ind w:left="0" w:right="0" w:firstLine="420"/>
        <w:jc w:val="left"/>
      </w:pPr>
      <w:bookmarkStart w:id="1142" w:name="bookmark1142"/>
      <w:bookmarkStart w:id="1143" w:name="bookmark1143"/>
      <w:bookmarkStart w:id="1146" w:name="bookmark1146"/>
      <w:bookmarkStart w:id="1147" w:name="bookmark1147"/>
      <w:bookmarkEnd w:id="1146"/>
      <w:r>
        <w:rPr>
          <w:color w:val="000000"/>
          <w:spacing w:val="0"/>
          <w:w w:val="100"/>
          <w:position w:val="0"/>
        </w:rPr>
        <w:t>账龄超过一年的大额其他应付款情况的说明</w:t>
      </w:r>
      <w:bookmarkEnd w:id="1142"/>
      <w:bookmarkEnd w:id="1143"/>
      <w:bookmarkEnd w:id="1147"/>
    </w:p>
    <w:tbl>
      <w:tblPr>
        <w:tblOverlap w:val="never"/>
        <w:jc w:val="center"/>
        <w:tblLayout w:type="fixed"/>
      </w:tblPr>
      <w:tblGrid>
        <w:gridCol w:w="2563"/>
        <w:gridCol w:w="2410"/>
        <w:gridCol w:w="1982"/>
        <w:gridCol w:w="2563"/>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未结转原因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14,328,249.19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5,716,466.00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20,044,715.19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4"/>
        <w:keepNext/>
        <w:keepLines/>
        <w:widowControl w:val="0"/>
        <w:numPr>
          <w:ilvl w:val="0"/>
          <w:numId w:val="91"/>
        </w:numPr>
        <w:shd w:val="clear" w:color="auto" w:fill="auto"/>
        <w:bidi w:val="0"/>
        <w:spacing w:before="0" w:after="320" w:line="240" w:lineRule="auto"/>
        <w:ind w:left="0" w:right="0" w:firstLine="42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金额较大的其他应付款说明内容</w:t>
      </w:r>
      <w:bookmarkEnd w:id="1148"/>
      <w:bookmarkEnd w:id="1149"/>
      <w:bookmarkEnd w:id="1151"/>
    </w:p>
    <w:tbl>
      <w:tblPr>
        <w:tblOverlap w:val="never"/>
        <w:jc w:val="center"/>
        <w:tblLayout w:type="fixed"/>
      </w:tblPr>
      <w:tblGrid>
        <w:gridCol w:w="3413"/>
        <w:gridCol w:w="2126"/>
        <w:gridCol w:w="2126"/>
        <w:gridCol w:w="1853"/>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未结转原因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42,956,155.50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技术服务费</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23,911,714.40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代理费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花旗银行(中国)有限公司上海分行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5,134,500.00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暂收银行清分款</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4,327,982.02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差旅费</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76,330,351.92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2</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152"/>
      <w:bookmarkEnd w:id="1153"/>
      <w:bookmarkEnd w:id="1155"/>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1,711,282.43</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1,711,282.43</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156"/>
      <w:bookmarkEnd w:id="1157"/>
      <w:bookmarkEnd w:id="1159"/>
    </w:p>
    <w:tbl>
      <w:tblPr>
        <w:tblOverlap w:val="never"/>
        <w:jc w:val="center"/>
        <w:tblLayout w:type="fixed"/>
      </w:tblPr>
      <w:tblGrid>
        <w:gridCol w:w="3725"/>
        <w:gridCol w:w="2789"/>
        <w:gridCol w:w="3067"/>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46,521,793.99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39,553,301.46</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46,521,793.99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39,553,301.46</w:t>
            </w:r>
          </w:p>
        </w:tc>
      </w:tr>
    </w:tbl>
    <w:p>
      <w:pPr>
        <w:sectPr>
          <w:footnotePr>
            <w:pos w:val="pageBottom"/>
            <w:numFmt w:val="decimal"/>
            <w:numRestart w:val="continuous"/>
          </w:footnotePr>
          <w:pgSz w:w="11900" w:h="16840"/>
          <w:pgMar w:top="1441" w:right="939" w:bottom="1460" w:left="867" w:header="0" w:footer="3" w:gutter="0"/>
          <w:cols w:space="720"/>
          <w:noEndnote/>
          <w:rtlGutter w:val="0"/>
          <w:docGrid w:linePitch="360"/>
        </w:sectPr>
      </w:pPr>
    </w:p>
    <w:p>
      <w:pPr>
        <w:pStyle w:val="Style54"/>
        <w:keepNext w:val="0"/>
        <w:keepLines w:val="0"/>
        <w:widowControl w:val="0"/>
        <w:shd w:val="clear" w:color="auto" w:fill="auto"/>
        <w:bidi w:val="0"/>
        <w:spacing w:before="80" w:after="380" w:line="240" w:lineRule="auto"/>
        <w:ind w:left="0" w:right="0" w:firstLine="420"/>
        <w:jc w:val="left"/>
      </w:pPr>
      <w:r>
        <w:rPr>
          <w:b w:val="0"/>
          <w:bCs w:val="0"/>
          <w:color w:val="000000"/>
          <w:spacing w:val="0"/>
          <w:w w:val="100"/>
          <w:position w:val="0"/>
        </w:rPr>
        <w:t>涉及政府补助的负债项目:</w:t>
      </w:r>
    </w:p>
    <w:tbl>
      <w:tblPr>
        <w:tblOverlap w:val="never"/>
        <w:jc w:val="center"/>
        <w:tblLayout w:type="fixed"/>
      </w:tblPr>
      <w:tblGrid>
        <w:gridCol w:w="5678"/>
        <w:gridCol w:w="1560"/>
        <w:gridCol w:w="1272"/>
        <w:gridCol w:w="1277"/>
        <w:gridCol w:w="1133"/>
        <w:gridCol w:w="1277"/>
        <w:gridCol w:w="1714"/>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480" w:right="0" w:firstLine="0"/>
              <w:jc w:val="left"/>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本期计入营业 外收入金额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w:t>
            </w:r>
            <w:r>
              <w:rPr>
                <w:rFonts w:ascii="SimSun" w:eastAsia="SimSun" w:hAnsi="SimSun" w:cs="SimSun"/>
                <w:color w:val="000000"/>
                <w:spacing w:val="0"/>
                <w:w w:val="100"/>
                <w:position w:val="0"/>
              </w:rPr>
              <w:t>与收益</w:t>
            </w:r>
          </w:p>
          <w:p>
            <w:pPr>
              <w:pStyle w:val="Style2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金融自助终端设备及关键部件生产技术改造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785,090.75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252,571.18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532,519.57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城市轨道交通售检票系统（</w:t>
            </w:r>
            <w:r>
              <w:rPr>
                <w:color w:val="000000"/>
                <w:spacing w:val="0"/>
                <w:w w:val="100"/>
                <w:position w:val="0"/>
              </w:rPr>
              <w:t>AFC</w:t>
            </w:r>
            <w:r>
              <w:rPr>
                <w:rFonts w:ascii="SimSun" w:eastAsia="SimSun" w:hAnsi="SimSun" w:cs="SimSun"/>
                <w:color w:val="000000"/>
                <w:spacing w:val="0"/>
                <w:w w:val="100"/>
                <w:position w:val="0"/>
              </w:rPr>
              <w:t>）及设备产业化技术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55,246.67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55,246.67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基于电子指纹的钞票跟踪技术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识别技术在金融机具上的产业化应用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13,374.85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智能发卡技术研究在轨道交通中的产业化应用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面向银行</w:t>
            </w:r>
            <w:r>
              <w:rPr>
                <w:color w:val="000000"/>
                <w:spacing w:val="0"/>
                <w:w w:val="100"/>
                <w:position w:val="0"/>
              </w:rPr>
              <w:t>ATM</w:t>
            </w:r>
            <w:r>
              <w:rPr>
                <w:rFonts w:ascii="SimSun" w:eastAsia="SimSun" w:hAnsi="SimSun" w:cs="SimSun"/>
                <w:color w:val="000000"/>
                <w:spacing w:val="0"/>
                <w:w w:val="100"/>
                <w:position w:val="0"/>
              </w:rPr>
              <w:t>终端的安全中间件应用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143,287.52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86,054.82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57,232.70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自助服务设备平台生产技术改造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1,414,513.13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1,098,558.87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315,954.26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高速铁路智能票务系统及设备产业化改造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266,865.81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68,557.21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198,308.60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面向银行</w:t>
            </w:r>
            <w:r>
              <w:rPr>
                <w:color w:val="000000"/>
                <w:spacing w:val="0"/>
                <w:w w:val="100"/>
                <w:position w:val="0"/>
              </w:rPr>
              <w:t>ATM</w:t>
            </w:r>
            <w:r>
              <w:rPr>
                <w:rFonts w:ascii="SimSun" w:eastAsia="SimSun" w:hAnsi="SimSun" w:cs="SimSun"/>
                <w:color w:val="000000"/>
                <w:spacing w:val="0"/>
                <w:w w:val="100"/>
                <w:position w:val="0"/>
              </w:rPr>
              <w:t>终端的安全中间件应用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55,690.01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29,896.45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25,793.56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钞票循环处理核心技术研发及产业化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31,351.00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15,828.43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金融自助终端及关键部件产业化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366,312.69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94,931.61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钞票高速鉴伪设备及关键传感器研发与产业化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526,532.01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262,275.53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高速钞票识别与处理技术研发及产业化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229,673.67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90,151.71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139,521.96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金融自助终端及关键部件产业化技术改造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749,768.23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297,585.48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452,182.75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r>
              <w:rPr>
                <w:color w:val="000000"/>
                <w:spacing w:val="0"/>
                <w:w w:val="100"/>
                <w:position w:val="0"/>
              </w:rPr>
              <w:t>ATM</w:t>
            </w:r>
            <w:r>
              <w:rPr>
                <w:rFonts w:ascii="SimSun" w:eastAsia="SimSun" w:hAnsi="SimSun" w:cs="SimSun"/>
                <w:color w:val="000000"/>
                <w:spacing w:val="0"/>
                <w:w w:val="100"/>
                <w:position w:val="0"/>
              </w:rPr>
              <w:t>软件共性平台研发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512,827.08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281,506.97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市软件和动漫培训基地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103,418.81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37,606.84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65,811.97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钞票循环处理核心技术研发及产业化应用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45,643.88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60,000.00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31,783.17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73,860.71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钞票高速鉴伪设备及关键传感器研发与产业化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219,968.61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67,212.95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152,755.66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出钞器产业化技术开发及应用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162,643.90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80,000.00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60,991.47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181,652.43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钞票图像特征识别</w:t>
            </w:r>
            <w:r>
              <w:rPr>
                <w:color w:val="000000"/>
                <w:spacing w:val="0"/>
                <w:w w:val="100"/>
                <w:position w:val="0"/>
              </w:rPr>
              <w:t>（</w:t>
            </w:r>
            <w:r>
              <w:rPr>
                <w:rFonts w:ascii="SimSun" w:eastAsia="SimSun" w:hAnsi="SimSun" w:cs="SimSun"/>
                <w:color w:val="000000"/>
                <w:spacing w:val="0"/>
                <w:w w:val="100"/>
                <w:position w:val="0"/>
              </w:rPr>
              <w:t>区）</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63,353.28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17,168.08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46,185.20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bl>
    <w:p>
      <w:pPr>
        <w:spacing w:lineRule="exact" w:line="1"/>
        <w:rPr>
          <w:sz w:val="2"/>
          <w:szCs w:val="2"/>
        </w:rPr>
      </w:pPr>
      <w:r>
        <w:br w:type="page"/>
      </w:r>
    </w:p>
    <w:tbl>
      <w:tblPr>
        <w:tblOverlap w:val="never"/>
        <w:jc w:val="center"/>
        <w:tblLayout w:type="fixed"/>
      </w:tblPr>
      <w:tblGrid>
        <w:gridCol w:w="5678"/>
        <w:gridCol w:w="1560"/>
        <w:gridCol w:w="1272"/>
        <w:gridCol w:w="1277"/>
        <w:gridCol w:w="1133"/>
        <w:gridCol w:w="1277"/>
        <w:gridCol w:w="1714"/>
      </w:tblGrid>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SECOne</w:t>
            </w:r>
            <w:r>
              <w:rPr>
                <w:rFonts w:ascii="SimSun" w:eastAsia="SimSun" w:hAnsi="SimSun" w:cs="SimSun"/>
                <w:color w:val="000000"/>
                <w:spacing w:val="0"/>
                <w:w w:val="100"/>
                <w:position w:val="0"/>
              </w:rPr>
              <w:t>端点安全防护系统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249,940.73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83,285.03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166,655.70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SECOne</w:t>
            </w:r>
            <w:r>
              <w:rPr>
                <w:rFonts w:ascii="SimSun" w:eastAsia="SimSun" w:hAnsi="SimSun" w:cs="SimSun"/>
                <w:color w:val="000000"/>
                <w:spacing w:val="0"/>
                <w:w w:val="100"/>
                <w:position w:val="0"/>
              </w:rPr>
              <w:t>端点安全防护系统（区）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24,454.99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45,146.16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数字化协同设计在金融电子装备领域的开发与应用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51,267.61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20,135.36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31,132.25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数字化协同设计在金融电子装备领域的开发与应用（区）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29,471.23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22,229.00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广州市金融电子工程技术研究开发中心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322,346.50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94,719.38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227,627.12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广州市金融电子工程技术研究开发中心（区）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87,700.86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49,793.82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112,907.04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基于物联网技术的</w:t>
            </w:r>
            <w:r>
              <w:rPr>
                <w:color w:val="000000"/>
                <w:spacing w:val="0"/>
                <w:w w:val="100"/>
                <w:position w:val="0"/>
              </w:rPr>
              <w:t>ATM</w:t>
            </w:r>
            <w:r>
              <w:rPr>
                <w:rFonts w:ascii="SimSun" w:eastAsia="SimSun" w:hAnsi="SimSun" w:cs="SimSun"/>
                <w:color w:val="000000"/>
                <w:spacing w:val="0"/>
                <w:w w:val="100"/>
                <w:position w:val="0"/>
              </w:rPr>
              <w:t>现金清分、清机及运保系统建设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644,214.10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233,759.66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410,454.44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钞票高速清分及扎把处理系统研发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285,650.62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96,208.26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189,442.36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r>
              <w:rPr>
                <w:color w:val="000000"/>
                <w:spacing w:val="0"/>
                <w:w w:val="100"/>
                <w:position w:val="0"/>
              </w:rPr>
              <w:t>ATM</w:t>
            </w:r>
            <w:r>
              <w:rPr>
                <w:rFonts w:ascii="SimSun" w:eastAsia="SimSun" w:hAnsi="SimSun" w:cs="SimSun"/>
                <w:color w:val="000000"/>
                <w:spacing w:val="0"/>
                <w:w w:val="100"/>
                <w:position w:val="0"/>
              </w:rPr>
              <w:t>软件共性平台研发（区）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403,089.39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135,835.54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267,253.85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金融增值服务领域云计算平台的研发与应用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222,184.80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55,475.10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166,709.70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广州市创新型企业建设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1,448,495.23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1,163,441.53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285,053.70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货币流通领域核心技术成果产业化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5,006,288.66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1,369,784.44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3,636,504.22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货币流通领域核心技术成果产业化（区）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668,139.32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327,149.03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340,990.29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高速轨道交通售检票系统关键技术研发与产业化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373,222.96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105,409.56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267,813.40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钞票清分关键技术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70,836.75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17,729.33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53,107.42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货币循环与清分处理核心技术产业化改造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2,620,531.31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1,325,592.98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1,294,938.33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现金清分、清机及运保建设系统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458,081.88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57,596.97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400,484.91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符合国家标准的移动支付产品研发与应用示范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1,975,030.63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881,590.26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1,093,440.37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新一代智能化与数字化金融自助服务设备研发及产业化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921,278.78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265,669.50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655,609.28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多模态钞票识别系统研发及产业化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1,345,417.37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813,182.42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2,532,234.95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货币循环与清分处理核心技术产业化改造（省）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471,232.21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528,767.79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面向金融电子装备业的货币智能分拣关键技术研发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8,317,565.99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2,257,116.39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6,060,449.60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基于物联网的货币流通安全平台研究与开发</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350,583.01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209,416.99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bl>
    <w:p>
      <w:pPr>
        <w:spacing w:lineRule="exact" w:line="1"/>
        <w:rPr>
          <w:sz w:val="2"/>
          <w:szCs w:val="2"/>
        </w:rPr>
      </w:pPr>
      <w:r>
        <w:br w:type="page"/>
      </w:r>
    </w:p>
    <w:tbl>
      <w:tblPr>
        <w:tblOverlap w:val="never"/>
        <w:jc w:val="center"/>
        <w:tblLayout w:type="fixed"/>
      </w:tblPr>
      <w:tblGrid>
        <w:gridCol w:w="5678"/>
        <w:gridCol w:w="1560"/>
        <w:gridCol w:w="1272"/>
        <w:gridCol w:w="1277"/>
        <w:gridCol w:w="1133"/>
        <w:gridCol w:w="1277"/>
        <w:gridCol w:w="1714"/>
      </w:tblGrid>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货币流通跟踪技术研发及产业化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303,016.98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196,983.02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广东省金融自助服务工程技术研究开发中心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312,255.50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87,744.50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w:t>
            </w:r>
            <w:r>
              <w:rPr>
                <w:color w:val="000000"/>
                <w:spacing w:val="0"/>
                <w:w w:val="100"/>
                <w:position w:val="0"/>
              </w:rPr>
              <w:t>ATM</w:t>
            </w:r>
            <w:r>
              <w:rPr>
                <w:rFonts w:ascii="SimSun" w:eastAsia="SimSun" w:hAnsi="SimSun" w:cs="SimSun"/>
                <w:color w:val="000000"/>
                <w:spacing w:val="0"/>
                <w:w w:val="100"/>
                <w:position w:val="0"/>
              </w:rPr>
              <w:t>机系列软件工程师技能培训项目（</w:t>
            </w:r>
            <w:r>
              <w:rPr>
                <w:color w:val="000000"/>
                <w:spacing w:val="0"/>
                <w:w w:val="100"/>
                <w:position w:val="0"/>
              </w:rPr>
              <w:t>2011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93,673.89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68,962.17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高速铁路自动售检票系统核心技术产业化应用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160,634.99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1,399,365.01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多维度智能货币安全识别系统技术研究与产品研制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738,490.61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510,450.91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228,039.70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面向金融电子装备业的货币智能分拣关键技术研发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1,477,238.35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388,147.03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1,089,091.32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符合国家标准的移动支付产品研发与应用示范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379,658.98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1,020,341.02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高速轨道交通售检票系统关键技术研发及产业化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286,849.37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203,150.63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税控设备及服务费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-1,244.28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4,579.89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AOC</w:t>
            </w:r>
            <w:r>
              <w:rPr>
                <w:rFonts w:ascii="SimSun" w:eastAsia="SimSun" w:hAnsi="SimSun" w:cs="SimSun"/>
                <w:color w:val="000000"/>
                <w:spacing w:val="0"/>
                <w:w w:val="100"/>
                <w:position w:val="0"/>
              </w:rPr>
              <w:t>核心运营系统项目研发及应用项目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3,456,746.79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金融行业自助设备运营管理平台项目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241,508.33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1,258,491.67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赣州市章贡区财政局环保专项资金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科技部科技型中小企业技术创新基金管理中心和江西省科学技术厅</w:t>
            </w:r>
            <w:r>
              <w:rPr>
                <w:color w:val="000000"/>
                <w:spacing w:val="0"/>
                <w:w w:val="100"/>
                <w:position w:val="0"/>
              </w:rPr>
              <w:t>（</w:t>
            </w:r>
            <w:r>
              <w:rPr>
                <w:rFonts w:ascii="SimSun" w:eastAsia="SimSun" w:hAnsi="SimSun" w:cs="SimSun"/>
                <w:color w:val="000000"/>
                <w:spacing w:val="0"/>
                <w:w w:val="100"/>
                <w:position w:val="0"/>
              </w:rPr>
              <w:t>章 贡区财政局</w:t>
            </w:r>
            <w:r>
              <w:rPr>
                <w:color w:val="000000"/>
                <w:spacing w:val="0"/>
                <w:w w:val="100"/>
                <w:position w:val="0"/>
              </w:rPr>
              <w:t>）</w:t>
            </w:r>
            <w:r>
              <w:rPr>
                <w:rFonts w:ascii="SimSun" w:eastAsia="SimSun" w:hAnsi="SimSun" w:cs="SimSun"/>
                <w:color w:val="000000"/>
                <w:spacing w:val="0"/>
                <w:w w:val="100"/>
                <w:position w:val="0"/>
              </w:rPr>
              <w:t>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350,000.00</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赣州市章贡区科学技术局资助款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外贸平台支持资金（章贡区财政局）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赣州市章贡区财政局环保专项资金（财政局专项补贴款）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支持国密算法的</w:t>
            </w:r>
            <w:r>
              <w:rPr>
                <w:color w:val="000000"/>
                <w:spacing w:val="0"/>
                <w:w w:val="100"/>
                <w:position w:val="0"/>
              </w:rPr>
              <w:t>ATM</w:t>
            </w:r>
            <w:r>
              <w:rPr>
                <w:rFonts w:ascii="SimSun" w:eastAsia="SimSun" w:hAnsi="SimSun" w:cs="SimSun"/>
                <w:color w:val="000000"/>
                <w:spacing w:val="0"/>
                <w:w w:val="100"/>
                <w:position w:val="0"/>
              </w:rPr>
              <w:t>关键模块及整机产品研发及应用示范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125,943.60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4,874,056.40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基于</w:t>
            </w:r>
            <w:r>
              <w:rPr>
                <w:color w:val="000000"/>
                <w:spacing w:val="0"/>
                <w:w w:val="100"/>
                <w:position w:val="0"/>
              </w:rPr>
              <w:t>TRIZ</w:t>
            </w:r>
            <w:r>
              <w:rPr>
                <w:rFonts w:ascii="SimSun" w:eastAsia="SimSun" w:hAnsi="SimSun" w:cs="SimSun"/>
                <w:color w:val="000000"/>
                <w:spacing w:val="0"/>
                <w:w w:val="100"/>
                <w:position w:val="0"/>
              </w:rPr>
              <w:t>的金融自助设备安全关键技术研究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广电运通三期核心技术产业化升级扩建项目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现金清分、清机及运保系统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649,744.49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850,255.51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新一代智能化与数字化金融自助服务设备研发及产业化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361,198.19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338,801.81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多模态钞票识别系统研发及产业化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705,963.21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1,394,036.79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穿墙（大堂）式现金循环自动柜员机</w:t>
            </w:r>
            <w:r>
              <w:rPr>
                <w:color w:val="000000"/>
                <w:spacing w:val="0"/>
                <w:w w:val="100"/>
                <w:position w:val="0"/>
              </w:rPr>
              <w:t>H68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与资产、收益相关</w:t>
            </w:r>
          </w:p>
        </w:tc>
      </w:tr>
    </w:tbl>
    <w:p>
      <w:pPr>
        <w:spacing w:lineRule="exact" w:line="1"/>
        <w:rPr>
          <w:sz w:val="2"/>
          <w:szCs w:val="2"/>
        </w:rPr>
      </w:pPr>
      <w:r>
        <w:br w:type="page"/>
      </w:r>
    </w:p>
    <w:tbl>
      <w:tblPr>
        <w:tblOverlap w:val="never"/>
        <w:jc w:val="center"/>
        <w:tblLayout w:type="fixed"/>
      </w:tblPr>
      <w:tblGrid>
        <w:gridCol w:w="5678"/>
        <w:gridCol w:w="1560"/>
        <w:gridCol w:w="1272"/>
        <w:gridCol w:w="1277"/>
        <w:gridCol w:w="1133"/>
        <w:gridCol w:w="1277"/>
        <w:gridCol w:w="1714"/>
      </w:tblGrid>
      <w:tr>
        <w:trPr>
          <w:trHeight w:val="43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基于物联网的货币流通安全平台研究与开发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220,114.15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货币流通跟踪技术研发及产业化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221,283.46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广东省金融自助服务工程技术研究开发中心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174,940.63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875,059.37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货币循环与清分处理技术产业化改造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与资产、收益相关</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39,553,301.46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24,849,000.00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18,589,263.19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708,755.72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46,521,793.99</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27"/>
          <w:footerReference w:type="default" r:id="rId28"/>
          <w:footnotePr>
            <w:pos w:val="pageBottom"/>
            <w:numFmt w:val="decimal"/>
            <w:numRestart w:val="continuous"/>
          </w:footnotePr>
          <w:pgSz w:w="16840" w:h="11900" w:orient="landscape"/>
          <w:pgMar w:top="1099" w:right="1498" w:bottom="1202" w:left="1431" w:header="0" w:footer="3" w:gutter="0"/>
          <w:cols w:space="720"/>
          <w:noEndnote/>
          <w:rtlGutter w:val="0"/>
          <w:docGrid w:linePitch="360"/>
        </w:sectPr>
      </w:pPr>
    </w:p>
    <w:p>
      <w:pPr>
        <w:widowControl w:val="0"/>
        <w:spacing w:after="99" w:line="1" w:lineRule="exact"/>
      </w:pPr>
    </w:p>
    <w:p>
      <w:pPr>
        <w:pStyle w:val="Style33"/>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b/>
          <w:bCs/>
          <w:color w:val="000000"/>
          <w:spacing w:val="0"/>
          <w:w w:val="100"/>
          <w:position w:val="0"/>
          <w:sz w:val="20"/>
          <w:szCs w:val="20"/>
        </w:rPr>
        <w:t>27</w:t>
      </w:r>
      <w:r>
        <w:rPr>
          <w:b/>
          <w:bCs/>
          <w:color w:val="000000"/>
          <w:spacing w:val="0"/>
          <w:w w:val="100"/>
          <w:position w:val="0"/>
          <w:sz w:val="20"/>
          <w:szCs w:val="20"/>
        </w:rPr>
        <w:t>、股本</w:t>
      </w:r>
    </w:p>
    <w:tbl>
      <w:tblPr>
        <w:tblOverlap w:val="never"/>
        <w:jc w:val="center"/>
        <w:tblLayout w:type="fixed"/>
      </w:tblPr>
      <w:tblGrid>
        <w:gridCol w:w="1200"/>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622,697,755.00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124,539,551.00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124,539,551.00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747,237,306.00</w:t>
            </w:r>
          </w:p>
        </w:tc>
      </w:tr>
    </w:tbl>
    <w:p>
      <w:pPr>
        <w:pStyle w:val="Style33"/>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股本变动情况说明:</w:t>
      </w:r>
    </w:p>
    <w:p>
      <w:pPr>
        <w:pStyle w:val="Style54"/>
        <w:keepNext w:val="0"/>
        <w:keepLines w:val="0"/>
        <w:widowControl w:val="0"/>
        <w:numPr>
          <w:ilvl w:val="0"/>
          <w:numId w:val="93"/>
        </w:numPr>
        <w:shd w:val="clear" w:color="auto" w:fill="auto"/>
        <w:tabs>
          <w:tab w:pos="817" w:val="left"/>
        </w:tabs>
        <w:bidi w:val="0"/>
        <w:spacing w:before="0" w:after="0" w:line="391" w:lineRule="exact"/>
        <w:ind w:left="0" w:right="0" w:firstLine="440"/>
        <w:jc w:val="both"/>
      </w:pPr>
      <w:bookmarkStart w:id="1160" w:name="bookmark1160"/>
      <w:bookmarkEnd w:id="1160"/>
      <w:r>
        <w:rPr>
          <w:b w:val="0"/>
          <w:bCs w:val="0"/>
          <w:color w:val="000000"/>
          <w:spacing w:val="0"/>
          <w:w w:val="100"/>
          <w:position w:val="0"/>
        </w:rPr>
        <w:t xml:space="preserve">经广州市经济贸易委员会穗经贸函[2005]492号文批复，本公司以整体变更方式发起设立为广州广 电运通金融电子股份有限公司，以截至2005年3月31日的经广东羊城会计师事务所有限公司审计的广州广 电运通金融电子有限公司净资产按一元一股计算股份总数106, 559, 010股，本公司股份构成为：广州无线 电集团有限公司66, 244, 500股，计66, 244, </w:t>
      </w:r>
      <w:r>
        <w:rPr>
          <w:b w:val="0"/>
          <w:bCs w:val="0"/>
          <w:color w:val="000000"/>
          <w:spacing w:val="0"/>
          <w:w w:val="100"/>
          <w:position w:val="0"/>
        </w:rPr>
        <w:t xml:space="preserve">500. </w:t>
      </w:r>
      <w:r>
        <w:rPr>
          <w:b w:val="0"/>
          <w:bCs w:val="0"/>
          <w:color w:val="000000"/>
          <w:spacing w:val="0"/>
          <w:w w:val="100"/>
          <w:position w:val="0"/>
        </w:rPr>
        <w:t>00元，占股份总额</w:t>
      </w:r>
      <w:r>
        <w:rPr>
          <w:b w:val="0"/>
          <w:bCs w:val="0"/>
          <w:color w:val="000000"/>
          <w:spacing w:val="0"/>
          <w:w w:val="100"/>
          <w:position w:val="0"/>
        </w:rPr>
        <w:t xml:space="preserve">62. </w:t>
      </w:r>
      <w:r>
        <w:rPr>
          <w:b w:val="0"/>
          <w:bCs w:val="0"/>
          <w:color w:val="000000"/>
          <w:spacing w:val="0"/>
          <w:w w:val="100"/>
          <w:position w:val="0"/>
        </w:rPr>
        <w:t>167%；深圳市德通投资有限公司 18,927,000股，计</w:t>
      </w:r>
      <w:r>
        <w:rPr>
          <w:b w:val="0"/>
          <w:bCs w:val="0"/>
          <w:color w:val="000000"/>
          <w:spacing w:val="0"/>
          <w:w w:val="100"/>
          <w:position w:val="0"/>
        </w:rPr>
        <w:t>18,927,000.0</w:t>
      </w:r>
      <w:r>
        <w:rPr>
          <w:b w:val="0"/>
          <w:bCs w:val="0"/>
          <w:color w:val="000000"/>
          <w:spacing w:val="0"/>
          <w:w w:val="100"/>
          <w:position w:val="0"/>
        </w:rPr>
        <w:t xml:space="preserve">0元,占股份总额17.762%；盈富泰克创业投资有限公司11,356,200股，计 </w:t>
      </w:r>
      <w:r>
        <w:rPr>
          <w:b w:val="0"/>
          <w:bCs w:val="0"/>
          <w:color w:val="000000"/>
          <w:spacing w:val="0"/>
          <w:w w:val="100"/>
          <w:position w:val="0"/>
        </w:rPr>
        <w:t xml:space="preserve">11,356,200. </w:t>
      </w:r>
      <w:r>
        <w:rPr>
          <w:b w:val="0"/>
          <w:bCs w:val="0"/>
          <w:color w:val="000000"/>
          <w:spacing w:val="0"/>
          <w:w w:val="100"/>
          <w:position w:val="0"/>
        </w:rPr>
        <w:t>00元，占股份总额10.657%；梅州敬基金属制品有限公司9,463,500股，计</w:t>
      </w:r>
      <w:r>
        <w:rPr>
          <w:b w:val="0"/>
          <w:bCs w:val="0"/>
          <w:color w:val="000000"/>
          <w:spacing w:val="0"/>
          <w:w w:val="100"/>
          <w:position w:val="0"/>
        </w:rPr>
        <w:t>9,463,500.00</w:t>
      </w:r>
      <w:r>
        <w:rPr>
          <w:b w:val="0"/>
          <w:bCs w:val="0"/>
          <w:color w:val="000000"/>
          <w:spacing w:val="0"/>
          <w:w w:val="100"/>
          <w:position w:val="0"/>
        </w:rPr>
        <w:t>元， 占股份总额</w:t>
      </w:r>
      <w:r>
        <w:rPr>
          <w:b w:val="0"/>
          <w:bCs w:val="0"/>
          <w:color w:val="000000"/>
          <w:spacing w:val="0"/>
          <w:w w:val="100"/>
          <w:position w:val="0"/>
        </w:rPr>
        <w:t xml:space="preserve">8. </w:t>
      </w:r>
      <w:r>
        <w:rPr>
          <w:b w:val="0"/>
          <w:bCs w:val="0"/>
          <w:color w:val="000000"/>
          <w:spacing w:val="0"/>
          <w:w w:val="100"/>
          <w:position w:val="0"/>
        </w:rPr>
        <w:t xml:space="preserve">881%；广州藤川科技有限公司567,810股，计567, </w:t>
      </w:r>
      <w:r>
        <w:rPr>
          <w:b w:val="0"/>
          <w:bCs w:val="0"/>
          <w:color w:val="000000"/>
          <w:spacing w:val="0"/>
          <w:w w:val="100"/>
          <w:position w:val="0"/>
        </w:rPr>
        <w:t xml:space="preserve">810. </w:t>
      </w:r>
      <w:r>
        <w:rPr>
          <w:b w:val="0"/>
          <w:bCs w:val="0"/>
          <w:color w:val="000000"/>
          <w:spacing w:val="0"/>
          <w:w w:val="100"/>
          <w:position w:val="0"/>
        </w:rPr>
        <w:t>00元，占股份总额</w:t>
      </w:r>
      <w:r>
        <w:rPr>
          <w:b w:val="0"/>
          <w:bCs w:val="0"/>
          <w:color w:val="000000"/>
          <w:spacing w:val="0"/>
          <w:w w:val="100"/>
          <w:position w:val="0"/>
        </w:rPr>
        <w:t xml:space="preserve">0. </w:t>
      </w:r>
      <w:r>
        <w:rPr>
          <w:b w:val="0"/>
          <w:bCs w:val="0"/>
          <w:color w:val="000000"/>
          <w:spacing w:val="0"/>
          <w:w w:val="100"/>
          <w:position w:val="0"/>
        </w:rPr>
        <w:t>533%。以上实收 资本已经广东羊城会计师事务所有限公司(2005)羊验字第5839号验资报告验证。本公司2005年10月18日变 更了企业法人营业执照。</w:t>
      </w:r>
    </w:p>
    <w:p>
      <w:pPr>
        <w:pStyle w:val="Style54"/>
        <w:keepNext w:val="0"/>
        <w:keepLines w:val="0"/>
        <w:widowControl w:val="0"/>
        <w:numPr>
          <w:ilvl w:val="0"/>
          <w:numId w:val="93"/>
        </w:numPr>
        <w:shd w:val="clear" w:color="auto" w:fill="auto"/>
        <w:tabs>
          <w:tab w:pos="822" w:val="left"/>
        </w:tabs>
        <w:bidi w:val="0"/>
        <w:spacing w:before="0" w:after="0" w:line="391" w:lineRule="exact"/>
        <w:ind w:left="0" w:right="0" w:firstLine="440"/>
        <w:jc w:val="both"/>
      </w:pPr>
      <w:bookmarkStart w:id="1161" w:name="bookmark1161"/>
      <w:bookmarkEnd w:id="1161"/>
      <w:r>
        <w:rPr>
          <w:b w:val="0"/>
          <w:bCs w:val="0"/>
          <w:color w:val="000000"/>
          <w:spacing w:val="0"/>
          <w:w w:val="100"/>
          <w:position w:val="0"/>
        </w:rPr>
        <w:t>2006年12月，经公司股东大会审议通过，股东盈富泰克创业投资有限公司将持有本公司10.657%股 权中的</w:t>
      </w:r>
      <w:r>
        <w:rPr>
          <w:b w:val="0"/>
          <w:bCs w:val="0"/>
          <w:color w:val="000000"/>
          <w:spacing w:val="0"/>
          <w:w w:val="100"/>
          <w:position w:val="0"/>
        </w:rPr>
        <w:t xml:space="preserve">5. </w:t>
      </w:r>
      <w:r>
        <w:rPr>
          <w:b w:val="0"/>
          <w:bCs w:val="0"/>
          <w:color w:val="000000"/>
          <w:spacing w:val="0"/>
          <w:w w:val="100"/>
          <w:position w:val="0"/>
        </w:rPr>
        <w:t>026%转让给股东广州无线电集团有限公司，股东深圳市德通投资有限公司将持有本公司</w:t>
      </w:r>
      <w:r>
        <w:rPr>
          <w:b w:val="0"/>
          <w:bCs w:val="0"/>
          <w:color w:val="000000"/>
          <w:spacing w:val="0"/>
          <w:w w:val="100"/>
          <w:position w:val="0"/>
        </w:rPr>
        <w:t xml:space="preserve">17. </w:t>
      </w:r>
      <w:r>
        <w:rPr>
          <w:b w:val="0"/>
          <w:bCs w:val="0"/>
          <w:color w:val="000000"/>
          <w:spacing w:val="0"/>
          <w:w w:val="100"/>
          <w:position w:val="0"/>
        </w:rPr>
        <w:t>762% 的股权全部转让给自然人股东叶子瑜等48人；本次股权转让完成后，各股东出资金额及股权比例分别为： 广州无线电集团有限公司出资</w:t>
      </w:r>
      <w:r>
        <w:rPr>
          <w:b w:val="0"/>
          <w:bCs w:val="0"/>
          <w:color w:val="000000"/>
          <w:spacing w:val="0"/>
          <w:w w:val="100"/>
          <w:position w:val="0"/>
        </w:rPr>
        <w:t>7,160.07</w:t>
      </w:r>
      <w:r>
        <w:rPr>
          <w:b w:val="0"/>
          <w:bCs w:val="0"/>
          <w:color w:val="000000"/>
          <w:spacing w:val="0"/>
          <w:w w:val="100"/>
          <w:position w:val="0"/>
        </w:rPr>
        <w:t>万元，占注册资本的67.1934%；盈富泰克创业投资有限公司出资600 万元，占注册资本的5.6306%；梅州敬基金属制品有限公司出资</w:t>
      </w:r>
      <w:r>
        <w:rPr>
          <w:b w:val="0"/>
          <w:bCs w:val="0"/>
          <w:color w:val="000000"/>
          <w:spacing w:val="0"/>
          <w:w w:val="100"/>
          <w:position w:val="0"/>
        </w:rPr>
        <w:t>946.35</w:t>
      </w:r>
      <w:r>
        <w:rPr>
          <w:b w:val="0"/>
          <w:bCs w:val="0"/>
          <w:color w:val="000000"/>
          <w:spacing w:val="0"/>
          <w:w w:val="100"/>
          <w:position w:val="0"/>
        </w:rPr>
        <w:t>万元，占注册资本的8.8809%；广州 藤川科技有限公司出资</w:t>
      </w:r>
      <w:r>
        <w:rPr>
          <w:b w:val="0"/>
          <w:bCs w:val="0"/>
          <w:color w:val="000000"/>
          <w:spacing w:val="0"/>
          <w:w w:val="100"/>
          <w:position w:val="0"/>
        </w:rPr>
        <w:t>56.781</w:t>
      </w:r>
      <w:r>
        <w:rPr>
          <w:b w:val="0"/>
          <w:bCs w:val="0"/>
          <w:color w:val="000000"/>
          <w:spacing w:val="0"/>
          <w:w w:val="100"/>
          <w:position w:val="0"/>
        </w:rPr>
        <w:t>万元，占注册资本的0.5328%；自然人股东叶子瑜等48人出资</w:t>
      </w:r>
      <w:r>
        <w:rPr>
          <w:b w:val="0"/>
          <w:bCs w:val="0"/>
          <w:color w:val="000000"/>
          <w:spacing w:val="0"/>
          <w:w w:val="100"/>
          <w:position w:val="0"/>
        </w:rPr>
        <w:t>1,892.70</w:t>
      </w:r>
      <w:r>
        <w:rPr>
          <w:b w:val="0"/>
          <w:bCs w:val="0"/>
          <w:color w:val="000000"/>
          <w:spacing w:val="0"/>
          <w:w w:val="100"/>
          <w:position w:val="0"/>
        </w:rPr>
        <w:t>万元， 占注册资本的17.7623%。</w:t>
      </w:r>
    </w:p>
    <w:p>
      <w:pPr>
        <w:pStyle w:val="Style54"/>
        <w:keepNext w:val="0"/>
        <w:keepLines w:val="0"/>
        <w:widowControl w:val="0"/>
        <w:numPr>
          <w:ilvl w:val="0"/>
          <w:numId w:val="93"/>
        </w:numPr>
        <w:shd w:val="clear" w:color="auto" w:fill="auto"/>
        <w:tabs>
          <w:tab w:pos="826" w:val="left"/>
        </w:tabs>
        <w:bidi w:val="0"/>
        <w:spacing w:before="0" w:after="0" w:line="391" w:lineRule="exact"/>
        <w:ind w:left="0" w:right="0" w:firstLine="440"/>
        <w:jc w:val="both"/>
      </w:pPr>
      <w:bookmarkStart w:id="1162" w:name="bookmark1162"/>
      <w:bookmarkEnd w:id="1162"/>
      <w:r>
        <w:rPr>
          <w:b w:val="0"/>
          <w:bCs w:val="0"/>
          <w:color w:val="000000"/>
          <w:spacing w:val="0"/>
          <w:w w:val="100"/>
          <w:position w:val="0"/>
        </w:rPr>
        <w:t>根据本公司2007年2月1日之股东大会决议和中国证券监督管理委员会证监发行字[2007]188号《关 于核准广州广电运通金融电子股份有限公司首次公开发行股票的通知》的核准，本公司向社会公开发行人 民币普通股</w:t>
      </w:r>
      <w:r>
        <w:rPr>
          <w:b w:val="0"/>
          <w:bCs w:val="0"/>
          <w:color w:val="000000"/>
          <w:spacing w:val="0"/>
          <w:w w:val="100"/>
          <w:position w:val="0"/>
        </w:rPr>
        <w:t>(A</w:t>
      </w:r>
      <w:r>
        <w:rPr>
          <w:b w:val="0"/>
          <w:bCs w:val="0"/>
          <w:color w:val="000000"/>
          <w:spacing w:val="0"/>
          <w:w w:val="100"/>
          <w:position w:val="0"/>
        </w:rPr>
        <w:t xml:space="preserve">股)3600万股，每股面值1元，增加股本人民币36, 000, </w:t>
      </w:r>
      <w:r>
        <w:rPr>
          <w:b w:val="0"/>
          <w:bCs w:val="0"/>
          <w:color w:val="000000"/>
          <w:spacing w:val="0"/>
          <w:w w:val="100"/>
          <w:position w:val="0"/>
        </w:rPr>
        <w:t xml:space="preserve">000. </w:t>
      </w:r>
      <w:r>
        <w:rPr>
          <w:b w:val="0"/>
          <w:bCs w:val="0"/>
          <w:color w:val="000000"/>
          <w:spacing w:val="0"/>
          <w:w w:val="100"/>
          <w:position w:val="0"/>
        </w:rPr>
        <w:t xml:space="preserve">00元，变更后的股本为人民币 142, 559, </w:t>
      </w:r>
      <w:r>
        <w:rPr>
          <w:b w:val="0"/>
          <w:bCs w:val="0"/>
          <w:color w:val="000000"/>
          <w:spacing w:val="0"/>
          <w:w w:val="100"/>
          <w:position w:val="0"/>
        </w:rPr>
        <w:t>010.00</w:t>
      </w:r>
      <w:r>
        <w:rPr>
          <w:b w:val="0"/>
          <w:bCs w:val="0"/>
          <w:color w:val="000000"/>
          <w:spacing w:val="0"/>
          <w:w w:val="100"/>
          <w:position w:val="0"/>
        </w:rPr>
        <w:t>元。上述资金于2007年8月3日到位，业经广东羊城会计师事务所2007年8月3日出具的(2007) 羊验字第11535号验资报告予以验证。</w:t>
      </w:r>
    </w:p>
    <w:p>
      <w:pPr>
        <w:pStyle w:val="Style54"/>
        <w:keepNext w:val="0"/>
        <w:keepLines w:val="0"/>
        <w:widowControl w:val="0"/>
        <w:numPr>
          <w:ilvl w:val="0"/>
          <w:numId w:val="93"/>
        </w:numPr>
        <w:shd w:val="clear" w:color="auto" w:fill="auto"/>
        <w:tabs>
          <w:tab w:pos="826" w:val="left"/>
        </w:tabs>
        <w:bidi w:val="0"/>
        <w:spacing w:before="0" w:after="0" w:line="391" w:lineRule="exact"/>
        <w:ind w:left="0" w:right="0" w:firstLine="440"/>
        <w:jc w:val="both"/>
      </w:pPr>
      <w:bookmarkStart w:id="1163" w:name="bookmark1163"/>
      <w:bookmarkEnd w:id="1163"/>
      <w:r>
        <w:rPr>
          <w:b w:val="0"/>
          <w:bCs w:val="0"/>
          <w:color w:val="000000"/>
          <w:spacing w:val="0"/>
          <w:w w:val="100"/>
          <w:position w:val="0"/>
        </w:rPr>
        <w:t>经本公司2008年第一届董事会第十五次会议、2008年4月18日股东大会决议通过，本公司以2007年 末总股本为基数，以资本公积向全体股东每10股转增10股股本。变更后的股本为人民币</w:t>
      </w:r>
      <w:r>
        <w:rPr>
          <w:b w:val="0"/>
          <w:bCs w:val="0"/>
          <w:color w:val="000000"/>
          <w:spacing w:val="0"/>
          <w:w w:val="100"/>
          <w:position w:val="0"/>
        </w:rPr>
        <w:t>285,118,020.00</w:t>
      </w:r>
      <w:r>
        <w:rPr>
          <w:b w:val="0"/>
          <w:bCs w:val="0"/>
          <w:color w:val="000000"/>
          <w:spacing w:val="0"/>
          <w:w w:val="100"/>
          <w:position w:val="0"/>
        </w:rPr>
        <w:t>元。 上述增资业经立信羊城会计师事务所有限公司2008年6月11日出具的(2008)羊验字第14626号验资报告予 以验证。</w:t>
      </w:r>
    </w:p>
    <w:p>
      <w:pPr>
        <w:pStyle w:val="Style54"/>
        <w:keepNext w:val="0"/>
        <w:keepLines w:val="0"/>
        <w:widowControl w:val="0"/>
        <w:numPr>
          <w:ilvl w:val="0"/>
          <w:numId w:val="93"/>
        </w:numPr>
        <w:shd w:val="clear" w:color="auto" w:fill="auto"/>
        <w:tabs>
          <w:tab w:pos="822" w:val="left"/>
        </w:tabs>
        <w:bidi w:val="0"/>
        <w:spacing w:before="0" w:after="0" w:line="391" w:lineRule="exact"/>
        <w:ind w:left="0" w:right="0" w:firstLine="440"/>
        <w:jc w:val="both"/>
      </w:pPr>
      <w:bookmarkStart w:id="1164" w:name="bookmark1164"/>
      <w:bookmarkEnd w:id="1164"/>
      <w:r>
        <w:rPr>
          <w:b w:val="0"/>
          <w:bCs w:val="0"/>
          <w:color w:val="000000"/>
          <w:spacing w:val="0"/>
          <w:w w:val="100"/>
          <w:position w:val="0"/>
        </w:rPr>
        <w:t xml:space="preserve">经本公司第二届董事会第二次会议、2009年4月28日股东大会决议通过，本公司以2008年末总股本 为基数，以资本公积向全体股东每10股转增2股股本。变更后的股本为人民币342, 141, </w:t>
      </w:r>
      <w:r>
        <w:rPr>
          <w:b w:val="0"/>
          <w:bCs w:val="0"/>
          <w:color w:val="000000"/>
          <w:spacing w:val="0"/>
          <w:w w:val="100"/>
          <w:position w:val="0"/>
        </w:rPr>
        <w:t xml:space="preserve">624. </w:t>
      </w:r>
      <w:r>
        <w:rPr>
          <w:b w:val="0"/>
          <w:bCs w:val="0"/>
          <w:color w:val="000000"/>
          <w:spacing w:val="0"/>
          <w:w w:val="100"/>
          <w:position w:val="0"/>
        </w:rPr>
        <w:t>00元。上述增 资业经立信羊城会计师事务所有限公司2009年5月22日出具的(2009)羊验字第17039号验资报告予以验证。</w:t>
      </w:r>
    </w:p>
    <w:p>
      <w:pPr>
        <w:pStyle w:val="Style54"/>
        <w:keepNext w:val="0"/>
        <w:keepLines w:val="0"/>
        <w:widowControl w:val="0"/>
        <w:numPr>
          <w:ilvl w:val="0"/>
          <w:numId w:val="93"/>
        </w:numPr>
        <w:shd w:val="clear" w:color="auto" w:fill="auto"/>
        <w:tabs>
          <w:tab w:pos="826" w:val="left"/>
        </w:tabs>
        <w:bidi w:val="0"/>
        <w:spacing w:before="0" w:after="0" w:line="391" w:lineRule="exact"/>
        <w:ind w:left="0" w:right="0" w:firstLine="440"/>
        <w:jc w:val="both"/>
      </w:pPr>
      <w:bookmarkStart w:id="1165" w:name="bookmark1165"/>
      <w:bookmarkEnd w:id="1165"/>
      <w:r>
        <w:rPr>
          <w:b w:val="0"/>
          <w:bCs w:val="0"/>
          <w:color w:val="000000"/>
          <w:spacing w:val="0"/>
          <w:w w:val="100"/>
          <w:position w:val="0"/>
        </w:rPr>
        <w:t xml:space="preserve">经本公司第二届董事会第十二次会议、2011年4月15日股东大会决议通过，本公司以2010年末总股 本为基数，以未分配利润向全体股东每10股送3股红股。变更后的股本为人民币444, 784, </w:t>
      </w:r>
      <w:r>
        <w:rPr>
          <w:b w:val="0"/>
          <w:bCs w:val="0"/>
          <w:color w:val="000000"/>
          <w:spacing w:val="0"/>
          <w:w w:val="100"/>
          <w:position w:val="0"/>
        </w:rPr>
        <w:t>111.00</w:t>
      </w:r>
      <w:r>
        <w:rPr>
          <w:b w:val="0"/>
          <w:bCs w:val="0"/>
          <w:color w:val="000000"/>
          <w:spacing w:val="0"/>
          <w:w w:val="100"/>
          <w:position w:val="0"/>
        </w:rPr>
        <w:t xml:space="preserve">元。上述 </w:t>
      </w:r>
      <w:r>
        <w:rPr>
          <w:b w:val="0"/>
          <w:bCs w:val="0"/>
          <w:color w:val="000000"/>
          <w:spacing w:val="0"/>
          <w:w w:val="100"/>
          <w:position w:val="0"/>
        </w:rPr>
        <w:t>增资业经立信羊城会计师事务所有限公司2011年5月11日出具的(2011)羊验字第22495号验资报告予以验 证。</w:t>
      </w:r>
    </w:p>
    <w:p>
      <w:pPr>
        <w:pStyle w:val="Style54"/>
        <w:keepNext w:val="0"/>
        <w:keepLines w:val="0"/>
        <w:widowControl w:val="0"/>
        <w:numPr>
          <w:ilvl w:val="0"/>
          <w:numId w:val="93"/>
        </w:numPr>
        <w:shd w:val="clear" w:color="auto" w:fill="auto"/>
        <w:tabs>
          <w:tab w:pos="822" w:val="left"/>
        </w:tabs>
        <w:bidi w:val="0"/>
        <w:spacing w:before="0" w:after="0" w:line="395" w:lineRule="exact"/>
        <w:ind w:left="0" w:right="0" w:firstLine="440"/>
        <w:jc w:val="both"/>
      </w:pPr>
      <w:bookmarkStart w:id="1166" w:name="bookmark1166"/>
      <w:bookmarkEnd w:id="1166"/>
      <w:r>
        <w:rPr>
          <w:b w:val="0"/>
          <w:bCs w:val="0"/>
          <w:color w:val="000000"/>
          <w:spacing w:val="0"/>
          <w:w w:val="100"/>
          <w:position w:val="0"/>
        </w:rPr>
        <w:t xml:space="preserve">经本公司第三届董事会第二次会议、2012年4月19日股东大会决议通过，本公司以2011年末总股本 为基数，以资本公积向全体股东每10股转增4股股本。变更后的股本为人民币622, 697, </w:t>
      </w:r>
      <w:r>
        <w:rPr>
          <w:b w:val="0"/>
          <w:bCs w:val="0"/>
          <w:color w:val="000000"/>
          <w:spacing w:val="0"/>
          <w:w w:val="100"/>
          <w:position w:val="0"/>
        </w:rPr>
        <w:t xml:space="preserve">755. </w:t>
      </w:r>
      <w:r>
        <w:rPr>
          <w:b w:val="0"/>
          <w:bCs w:val="0"/>
          <w:color w:val="000000"/>
          <w:spacing w:val="0"/>
          <w:w w:val="100"/>
          <w:position w:val="0"/>
        </w:rPr>
        <w:t>00元。上述增 资业经立信会计师事务所(特殊普通合伙)广东分所2012年5月5日出具的信会师粤报字【2012】第40162 号验资报告予以验证。</w:t>
      </w:r>
    </w:p>
    <w:p>
      <w:pPr>
        <w:pStyle w:val="Style54"/>
        <w:keepNext w:val="0"/>
        <w:keepLines w:val="0"/>
        <w:widowControl w:val="0"/>
        <w:numPr>
          <w:ilvl w:val="0"/>
          <w:numId w:val="93"/>
        </w:numPr>
        <w:shd w:val="clear" w:color="auto" w:fill="auto"/>
        <w:tabs>
          <w:tab w:pos="826" w:val="left"/>
        </w:tabs>
        <w:bidi w:val="0"/>
        <w:spacing w:before="0" w:after="380" w:line="397" w:lineRule="exact"/>
        <w:ind w:left="0" w:right="0" w:firstLine="440"/>
        <w:jc w:val="both"/>
      </w:pPr>
      <w:bookmarkStart w:id="1167" w:name="bookmark1167"/>
      <w:bookmarkEnd w:id="1167"/>
      <w:r>
        <w:rPr>
          <w:b w:val="0"/>
          <w:bCs w:val="0"/>
          <w:color w:val="000000"/>
          <w:spacing w:val="0"/>
          <w:w w:val="100"/>
          <w:position w:val="0"/>
        </w:rPr>
        <w:t>经公司第三届董事会第十次会议、2013年4月23日股东大会决议通过，本公司以2012年末总股本为 基数，以未分配利润向全体股东每10股送2股红股。变更后的股本为人民币</w:t>
      </w:r>
      <w:r>
        <w:rPr>
          <w:b w:val="0"/>
          <w:bCs w:val="0"/>
          <w:color w:val="000000"/>
          <w:spacing w:val="0"/>
          <w:w w:val="100"/>
          <w:position w:val="0"/>
        </w:rPr>
        <w:t>747,237,306.00</w:t>
      </w:r>
      <w:r>
        <w:rPr>
          <w:b w:val="0"/>
          <w:bCs w:val="0"/>
          <w:color w:val="000000"/>
          <w:spacing w:val="0"/>
          <w:w w:val="100"/>
          <w:position w:val="0"/>
        </w:rPr>
        <w:t>元。上述增资 业经立信会计师事务所(特殊普通合伙)广东分所2013年5月23日出具的信会师粤报字【2013】第00467号 验资报告予以验证。</w:t>
      </w:r>
    </w:p>
    <w:p>
      <w:pPr>
        <w:pStyle w:val="Style33"/>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b/>
          <w:bCs/>
          <w:color w:val="000000"/>
          <w:spacing w:val="0"/>
          <w:w w:val="100"/>
          <w:position w:val="0"/>
          <w:sz w:val="20"/>
          <w:szCs w:val="20"/>
        </w:rPr>
        <w:t>28</w:t>
      </w:r>
      <w:r>
        <w:rPr>
          <w:b/>
          <w:bCs/>
          <w:color w:val="000000"/>
          <w:spacing w:val="0"/>
          <w:w w:val="100"/>
          <w:position w:val="0"/>
          <w:sz w:val="20"/>
          <w:szCs w:val="20"/>
        </w:rPr>
        <w:t>、资本公积</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171,918,095.27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771,675.07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171,146,420.20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8,780,104.29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8,780,104.29</w:t>
            </w: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)可供出售金融资产公允 价值变动产生的利得或损失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-2,051,015.32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1,135,777.92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-3,186,793.24</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178,647,184.24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1,907,452.99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176,739,731.25</w:t>
            </w:r>
          </w:p>
        </w:tc>
      </w:tr>
    </w:tbl>
    <w:p>
      <w:pPr>
        <w:pStyle w:val="Style33"/>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资本公积说明:</w:t>
      </w:r>
    </w:p>
    <w:p>
      <w:pPr>
        <w:pStyle w:val="Style54"/>
        <w:keepNext w:val="0"/>
        <w:keepLines w:val="0"/>
        <w:widowControl w:val="0"/>
        <w:numPr>
          <w:ilvl w:val="0"/>
          <w:numId w:val="95"/>
        </w:numPr>
        <w:shd w:val="clear" w:color="auto" w:fill="auto"/>
        <w:tabs>
          <w:tab w:pos="831" w:val="left"/>
        </w:tabs>
        <w:bidi w:val="0"/>
        <w:spacing w:before="0" w:after="0" w:line="389" w:lineRule="exact"/>
        <w:ind w:left="0" w:right="0" w:firstLine="440"/>
        <w:jc w:val="both"/>
      </w:pPr>
      <w:bookmarkStart w:id="1168" w:name="bookmark1168"/>
      <w:bookmarkEnd w:id="1168"/>
      <w:r>
        <w:rPr>
          <w:b w:val="0"/>
          <w:bCs w:val="0"/>
          <w:color w:val="000000"/>
          <w:spacing w:val="0"/>
          <w:w w:val="100"/>
          <w:position w:val="0"/>
        </w:rPr>
        <w:t>本公司的子公司</w:t>
      </w:r>
      <w:r>
        <w:rPr>
          <w:b w:val="0"/>
          <w:bCs w:val="0"/>
          <w:color w:val="000000"/>
          <w:spacing w:val="0"/>
          <w:w w:val="100"/>
          <w:position w:val="0"/>
        </w:rPr>
        <w:t xml:space="preserve">GRG Banking Equipment (HK) Co., Limited </w:t>
      </w:r>
      <w:r>
        <w:rPr>
          <w:b w:val="0"/>
          <w:bCs w:val="0"/>
          <w:color w:val="000000"/>
          <w:spacing w:val="0"/>
          <w:w w:val="100"/>
          <w:position w:val="0"/>
        </w:rPr>
        <w:t>在本期末持有</w:t>
      </w:r>
      <w:r>
        <w:rPr>
          <w:b w:val="0"/>
          <w:bCs w:val="0"/>
          <w:color w:val="000000"/>
          <w:spacing w:val="0"/>
          <w:w w:val="100"/>
          <w:position w:val="0"/>
        </w:rPr>
        <w:t>GRG INTERNATIONAL LTD(GRGI)</w:t>
      </w:r>
      <w:r>
        <w:rPr>
          <w:b w:val="0"/>
          <w:bCs w:val="0"/>
          <w:color w:val="000000"/>
          <w:spacing w:val="0"/>
          <w:w w:val="100"/>
          <w:position w:val="0"/>
        </w:rPr>
        <w:t xml:space="preserve">股份 </w:t>
      </w:r>
      <w:r>
        <w:rPr>
          <w:b w:val="0"/>
          <w:bCs w:val="0"/>
          <w:color w:val="000000"/>
          <w:spacing w:val="0"/>
          <w:w w:val="100"/>
          <w:position w:val="0"/>
        </w:rPr>
        <w:t>10,097,282.00</w:t>
      </w:r>
      <w:r>
        <w:rPr>
          <w:b w:val="0"/>
          <w:bCs w:val="0"/>
          <w:color w:val="000000"/>
          <w:spacing w:val="0"/>
          <w:w w:val="100"/>
          <w:position w:val="0"/>
        </w:rPr>
        <w:t xml:space="preserve">股,购买成本为1,340, </w:t>
      </w:r>
      <w:r>
        <w:rPr>
          <w:b w:val="0"/>
          <w:bCs w:val="0"/>
          <w:color w:val="000000"/>
          <w:spacing w:val="0"/>
          <w:w w:val="100"/>
          <w:position w:val="0"/>
        </w:rPr>
        <w:t>500.40 AUD，</w:t>
      </w:r>
      <w:r>
        <w:rPr>
          <w:b w:val="0"/>
          <w:bCs w:val="0"/>
          <w:color w:val="000000"/>
          <w:spacing w:val="0"/>
          <w:w w:val="100"/>
          <w:position w:val="0"/>
        </w:rPr>
        <w:t>折合为人民币</w:t>
      </w:r>
      <w:r>
        <w:rPr>
          <w:b w:val="0"/>
          <w:bCs w:val="0"/>
          <w:color w:val="000000"/>
          <w:spacing w:val="0"/>
          <w:w w:val="100"/>
          <w:position w:val="0"/>
        </w:rPr>
        <w:t>8,615,098.78</w:t>
      </w:r>
      <w:r>
        <w:rPr>
          <w:b w:val="0"/>
          <w:bCs w:val="0"/>
          <w:color w:val="000000"/>
          <w:spacing w:val="0"/>
          <w:w w:val="100"/>
          <w:position w:val="0"/>
        </w:rPr>
        <w:t>元。2013 年12月31日该公司股票收市价为</w:t>
      </w:r>
      <w:r>
        <w:rPr>
          <w:b w:val="0"/>
          <w:bCs w:val="0"/>
          <w:color w:val="000000"/>
          <w:spacing w:val="0"/>
          <w:w w:val="100"/>
          <w:position w:val="0"/>
        </w:rPr>
        <w:t>0.099AUD,</w:t>
      </w:r>
      <w:r>
        <w:rPr>
          <w:b w:val="0"/>
          <w:bCs w:val="0"/>
          <w:color w:val="000000"/>
          <w:spacing w:val="0"/>
          <w:w w:val="100"/>
          <w:position w:val="0"/>
        </w:rPr>
        <w:t xml:space="preserve">按2013年12月31日汇率折算人民币期末公允价值为 5, 428, </w:t>
      </w:r>
      <w:r>
        <w:rPr>
          <w:b w:val="0"/>
          <w:bCs w:val="0"/>
          <w:color w:val="000000"/>
          <w:spacing w:val="0"/>
          <w:w w:val="100"/>
          <w:position w:val="0"/>
        </w:rPr>
        <w:t xml:space="preserve">305. </w:t>
      </w:r>
      <w:r>
        <w:rPr>
          <w:b w:val="0"/>
          <w:bCs w:val="0"/>
          <w:color w:val="000000"/>
          <w:spacing w:val="0"/>
          <w:w w:val="100"/>
          <w:position w:val="0"/>
        </w:rPr>
        <w:t>54元，累计公允价值增加</w:t>
      </w:r>
      <w:r>
        <w:rPr>
          <w:b w:val="0"/>
          <w:bCs w:val="0"/>
          <w:color w:val="000000"/>
          <w:spacing w:val="0"/>
          <w:w w:val="100"/>
          <w:position w:val="0"/>
        </w:rPr>
        <w:t>-3,186,793.24</w:t>
      </w:r>
      <w:r>
        <w:rPr>
          <w:b w:val="0"/>
          <w:bCs w:val="0"/>
          <w:color w:val="000000"/>
          <w:spacing w:val="0"/>
          <w:w w:val="100"/>
          <w:position w:val="0"/>
        </w:rPr>
        <w:t xml:space="preserve">元转入资本公积，其中：前期累计公允价值增加 </w:t>
      </w:r>
      <w:r>
        <w:rPr>
          <w:b w:val="0"/>
          <w:bCs w:val="0"/>
          <w:color w:val="000000"/>
          <w:spacing w:val="0"/>
          <w:w w:val="100"/>
          <w:position w:val="0"/>
        </w:rPr>
        <w:t>-2,051,015.3</w:t>
      </w:r>
      <w:r>
        <w:rPr>
          <w:b w:val="0"/>
          <w:bCs w:val="0"/>
          <w:color w:val="000000"/>
          <w:spacing w:val="0"/>
          <w:w w:val="100"/>
          <w:position w:val="0"/>
        </w:rPr>
        <w:t>2元，本期公允价值增加</w:t>
      </w:r>
      <w:r>
        <w:rPr>
          <w:b w:val="0"/>
          <w:bCs w:val="0"/>
          <w:color w:val="000000"/>
          <w:spacing w:val="0"/>
          <w:w w:val="100"/>
          <w:position w:val="0"/>
        </w:rPr>
        <w:t>-1,135,777.9</w:t>
      </w:r>
      <w:r>
        <w:rPr>
          <w:b w:val="0"/>
          <w:bCs w:val="0"/>
          <w:color w:val="000000"/>
          <w:spacing w:val="0"/>
          <w:w w:val="100"/>
          <w:position w:val="0"/>
        </w:rPr>
        <w:t>2元计入其他综合收益。</w:t>
      </w:r>
    </w:p>
    <w:p>
      <w:pPr>
        <w:pStyle w:val="Style54"/>
        <w:keepNext w:val="0"/>
        <w:keepLines w:val="0"/>
        <w:widowControl w:val="0"/>
        <w:numPr>
          <w:ilvl w:val="0"/>
          <w:numId w:val="95"/>
        </w:numPr>
        <w:shd w:val="clear" w:color="auto" w:fill="auto"/>
        <w:tabs>
          <w:tab w:pos="826" w:val="left"/>
        </w:tabs>
        <w:bidi w:val="0"/>
        <w:spacing w:before="0" w:after="380" w:line="389" w:lineRule="exact"/>
        <w:ind w:left="0" w:right="0" w:firstLine="440"/>
        <w:jc w:val="both"/>
      </w:pPr>
      <w:bookmarkStart w:id="1169" w:name="bookmark1169"/>
      <w:bookmarkEnd w:id="1169"/>
      <w:r>
        <w:rPr>
          <w:b w:val="0"/>
          <w:bCs w:val="0"/>
          <w:color w:val="000000"/>
          <w:spacing w:val="0"/>
          <w:w w:val="100"/>
          <w:position w:val="0"/>
        </w:rPr>
        <w:t>本公司的子公司深圳广电银通金融电子科技有限公司2013年8月出资225万购买江苏保通金融外包 服务有限公司少数股东45%股份，购买日江苏保通金融外包服务有限公司净资产</w:t>
      </w:r>
      <w:r>
        <w:rPr>
          <w:b w:val="0"/>
          <w:bCs w:val="0"/>
          <w:color w:val="000000"/>
          <w:spacing w:val="0"/>
          <w:w w:val="100"/>
          <w:position w:val="0"/>
        </w:rPr>
        <w:t>3,285,166.49</w:t>
      </w:r>
      <w:r>
        <w:rPr>
          <w:b w:val="0"/>
          <w:bCs w:val="0"/>
          <w:color w:val="000000"/>
          <w:spacing w:val="0"/>
          <w:w w:val="100"/>
          <w:position w:val="0"/>
        </w:rPr>
        <w:t>元，对应45% 股份的权益价值</w:t>
      </w:r>
      <w:r>
        <w:rPr>
          <w:b w:val="0"/>
          <w:bCs w:val="0"/>
          <w:color w:val="000000"/>
          <w:spacing w:val="0"/>
          <w:w w:val="100"/>
          <w:position w:val="0"/>
        </w:rPr>
        <w:t>1,478,324.93</w:t>
      </w:r>
      <w:r>
        <w:rPr>
          <w:b w:val="0"/>
          <w:bCs w:val="0"/>
          <w:color w:val="000000"/>
          <w:spacing w:val="0"/>
          <w:w w:val="100"/>
          <w:position w:val="0"/>
        </w:rPr>
        <w:t>元，溢价</w:t>
      </w:r>
      <w:r>
        <w:rPr>
          <w:b w:val="0"/>
          <w:bCs w:val="0"/>
          <w:color w:val="000000"/>
          <w:spacing w:val="0"/>
          <w:w w:val="100"/>
          <w:position w:val="0"/>
        </w:rPr>
        <w:t>771,675.07</w:t>
      </w:r>
      <w:r>
        <w:rPr>
          <w:b w:val="0"/>
          <w:bCs w:val="0"/>
          <w:color w:val="000000"/>
          <w:spacing w:val="0"/>
          <w:w w:val="100"/>
          <w:position w:val="0"/>
        </w:rPr>
        <w:t>元冲减资本公积的股本溢价。</w:t>
      </w:r>
    </w:p>
    <w:p>
      <w:pPr>
        <w:pStyle w:val="Style33"/>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、盈余公积</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256,677,653.25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64,127,076.63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320,804,729.88</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256,677,653.25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left"/>
            </w:pPr>
            <w:r>
              <w:rPr>
                <w:color w:val="000000"/>
                <w:spacing w:val="0"/>
                <w:w w:val="100"/>
                <w:position w:val="0"/>
              </w:rPr>
              <w:t>64,127,076.63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320,804,729.88</w:t>
            </w:r>
          </w:p>
        </w:tc>
      </w:tr>
    </w:tbl>
    <w:p>
      <w:pPr>
        <w:spacing w:lineRule="exact" w:line="1"/>
        <w:rPr>
          <w:sz w:val="2"/>
          <w:szCs w:val="2"/>
        </w:rPr>
      </w:pPr>
      <w:r>
        <w:br w:type="page"/>
      </w:r>
    </w:p>
    <w:p>
      <w:pPr>
        <w:pStyle w:val="Style44"/>
        <w:keepNext/>
        <w:keepLines/>
        <w:widowControl w:val="0"/>
        <w:shd w:val="clear" w:color="auto" w:fill="auto"/>
        <w:bidi w:val="0"/>
        <w:spacing w:before="0" w:after="340" w:line="240" w:lineRule="auto"/>
        <w:ind w:left="0" w:right="0" w:firstLine="42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3</w:t>
      </w:r>
      <w:bookmarkEnd w:id="117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170"/>
      <w:bookmarkEnd w:id="1171"/>
      <w:bookmarkEnd w:id="1173"/>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调整年初未分配利润合计数（调增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1,911,456,422.49</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705,076,417.95</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64,127,076.63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186,809,326.50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0.3</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转作股本的普通股股利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560" w:right="0" w:firstLine="0"/>
              <w:jc w:val="left"/>
            </w:pPr>
            <w:r>
              <w:rPr>
                <w:color w:val="000000"/>
                <w:spacing w:val="0"/>
                <w:w w:val="100"/>
                <w:position w:val="0"/>
              </w:rPr>
              <w:t>124,539,551.00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0.2</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40" w:right="0" w:firstLine="0"/>
              <w:jc w:val="left"/>
            </w:pPr>
            <w:r>
              <w:rPr>
                <w:color w:val="000000"/>
                <w:spacing w:val="0"/>
                <w:w w:val="100"/>
                <w:position w:val="0"/>
              </w:rPr>
              <w:t>2,241,056,886.31</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widowControl w:val="0"/>
        <w:spacing w:after="79" w:line="1" w:lineRule="exact"/>
      </w:pPr>
    </w:p>
    <w:p>
      <w:pPr>
        <w:pStyle w:val="Style54"/>
        <w:keepNext w:val="0"/>
        <w:keepLines w:val="0"/>
        <w:widowControl w:val="0"/>
        <w:shd w:val="clear" w:color="auto" w:fill="auto"/>
        <w:bidi w:val="0"/>
        <w:spacing w:before="0" w:after="80" w:line="240" w:lineRule="auto"/>
        <w:ind w:left="0" w:right="0" w:firstLine="420"/>
        <w:jc w:val="left"/>
      </w:pPr>
      <w:r>
        <w:rPr>
          <w:b w:val="0"/>
          <w:bCs w:val="0"/>
          <w:color w:val="000000"/>
          <w:spacing w:val="0"/>
          <w:w w:val="100"/>
          <w:position w:val="0"/>
        </w:rPr>
        <w:t>未分配利润的其他说明：</w:t>
      </w:r>
    </w:p>
    <w:p>
      <w:pPr>
        <w:pStyle w:val="Style54"/>
        <w:keepNext w:val="0"/>
        <w:keepLines w:val="0"/>
        <w:widowControl w:val="0"/>
        <w:shd w:val="clear" w:color="auto" w:fill="auto"/>
        <w:bidi w:val="0"/>
        <w:spacing w:before="0" w:after="380" w:line="240" w:lineRule="auto"/>
        <w:ind w:left="0" w:right="0" w:firstLine="420"/>
        <w:jc w:val="left"/>
      </w:pPr>
      <w:r>
        <w:rPr>
          <w:b w:val="0"/>
          <w:bCs w:val="0"/>
          <w:color w:val="000000"/>
          <w:spacing w:val="0"/>
          <w:w w:val="100"/>
          <w:position w:val="0"/>
        </w:rPr>
        <w:t xml:space="preserve">经本公司2013年4月23日股东大会决议通过，本公司以2012年末总股本622,697,755股本为基数, </w:t>
      </w:r>
      <w:r>
        <w:rPr>
          <w:b w:val="0"/>
          <w:bCs w:val="0"/>
          <w:color w:val="000000"/>
          <w:spacing w:val="0"/>
          <w:w w:val="100"/>
          <w:position w:val="0"/>
        </w:rPr>
        <w:t>向全体股东每10股送2股红股、派发现金股利3元（含税），上述利润分配已于2013年5月20日实施。</w:t>
      </w:r>
    </w:p>
    <w:p>
      <w:pPr>
        <w:pStyle w:val="Style44"/>
        <w:keepNext/>
        <w:keepLines/>
        <w:widowControl w:val="0"/>
        <w:shd w:val="clear" w:color="auto" w:fill="auto"/>
        <w:bidi w:val="0"/>
        <w:spacing w:before="0" w:after="380" w:line="240" w:lineRule="auto"/>
        <w:ind w:left="0" w:right="0" w:firstLine="42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74"/>
      <w:bookmarkEnd w:id="1175"/>
      <w:bookmarkEnd w:id="1177"/>
    </w:p>
    <w:p>
      <w:pPr>
        <w:pStyle w:val="Style44"/>
        <w:keepNext/>
        <w:keepLines/>
        <w:widowControl w:val="0"/>
        <w:shd w:val="clear" w:color="auto" w:fill="auto"/>
        <w:bidi w:val="0"/>
        <w:spacing w:before="0" w:after="340" w:line="240" w:lineRule="auto"/>
        <w:ind w:left="0" w:right="0" w:firstLine="420"/>
        <w:jc w:val="left"/>
      </w:pPr>
      <w:bookmarkStart w:id="1174" w:name="bookmark1174"/>
      <w:bookmarkStart w:id="1175" w:name="bookmark1175"/>
      <w:bookmarkStart w:id="1178" w:name="bookmark1178"/>
      <w:r>
        <w:rPr>
          <w:color w:val="000000"/>
          <w:spacing w:val="0"/>
          <w:w w:val="100"/>
          <w:position w:val="0"/>
        </w:rPr>
        <w:t>⑴营业收入、营业成本</w:t>
      </w:r>
      <w:bookmarkEnd w:id="1174"/>
      <w:bookmarkEnd w:id="1175"/>
      <w:bookmarkEnd w:id="1178"/>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2,515,897,353.80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2,168,409,553.00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1,141,832,667.12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1,034,826,018.55</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179" w:name="bookmark1179"/>
      <w:bookmarkStart w:id="1180" w:name="bookmark1180"/>
      <w:bookmarkStart w:id="1181" w:name="bookmark1181"/>
      <w:r>
        <w:rPr>
          <w:color w:val="000000"/>
          <w:spacing w:val="0"/>
          <w:w w:val="100"/>
          <w:position w:val="0"/>
        </w:rPr>
        <w:t>（2）主营业务（分行业）</w:t>
      </w:r>
      <w:bookmarkEnd w:id="1179"/>
      <w:bookmarkEnd w:id="1180"/>
      <w:bookmarkEnd w:id="1181"/>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①制造业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2,158,166,213.01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979,243,160.68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1,915,147,554.59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924,922,222.95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357,731,140.79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162,589,506.44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253,261,998.41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109,903,795.60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2,515,897,353.80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1,141,832,667.12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2,168,409,553.00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1,034,826,018.55</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182" w:name="bookmark1182"/>
      <w:bookmarkStart w:id="1183" w:name="bookmark1183"/>
      <w:bookmarkStart w:id="1184" w:name="bookmark1184"/>
      <w:r>
        <w:rPr>
          <w:color w:val="000000"/>
          <w:spacing w:val="0"/>
          <w:w w:val="100"/>
          <w:position w:val="0"/>
        </w:rPr>
        <w:t>（3）主营业务（分产品）</w:t>
      </w:r>
      <w:bookmarkEnd w:id="1182"/>
      <w:bookmarkEnd w:id="1183"/>
      <w:bookmarkEnd w:id="1184"/>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w:t>
            </w:r>
            <w:r>
              <w:rPr>
                <w:color w:val="000000"/>
                <w:spacing w:val="0"/>
                <w:w w:val="100"/>
                <w:position w:val="0"/>
              </w:rPr>
              <w:t>ATM</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1,868,151,233.62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left"/>
            </w:pPr>
            <w:r>
              <w:rPr>
                <w:color w:val="000000"/>
                <w:spacing w:val="0"/>
                <w:w w:val="100"/>
                <w:position w:val="0"/>
              </w:rPr>
              <w:t>821,964,136.10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1,776,862,734.63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841,692,583.39</w:t>
            </w:r>
          </w:p>
        </w:tc>
      </w:tr>
    </w:tbl>
    <w:p>
      <w:pPr>
        <w:spacing w:lineRule="exact" w:line="1"/>
        <w:rPr>
          <w:sz w:val="2"/>
          <w:szCs w:val="2"/>
        </w:rPr>
      </w:pPr>
      <w:r>
        <w:br w:type="page"/>
      </w:r>
    </w:p>
    <w:tbl>
      <w:tblPr>
        <w:tblOverlap w:val="never"/>
        <w:jc w:val="center"/>
        <w:tblLayout w:type="fixed"/>
      </w:tblPr>
      <w:tblGrid>
        <w:gridCol w:w="2530"/>
        <w:gridCol w:w="1728"/>
        <w:gridCol w:w="1858"/>
        <w:gridCol w:w="1728"/>
        <w:gridCol w:w="1738"/>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w:t>
            </w: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65,283,244.43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44,796,845.31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31,438,214.33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22,968,434.51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③清分机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73,742,162.85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43,718,221.09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④设备配件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150,989,572.11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68,763,958.18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106,846,605.63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60,261,205.05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⑤</w:t>
            </w:r>
            <w:r>
              <w:rPr>
                <w:color w:val="000000"/>
                <w:spacing w:val="0"/>
                <w:w w:val="100"/>
                <w:position w:val="0"/>
              </w:rPr>
              <w:t>ATM</w:t>
            </w:r>
            <w:r>
              <w:rPr>
                <w:rFonts w:ascii="SimSun" w:eastAsia="SimSun" w:hAnsi="SimSun" w:cs="SimSun"/>
                <w:color w:val="000000"/>
                <w:spacing w:val="0"/>
                <w:w w:val="100"/>
                <w:position w:val="0"/>
              </w:rPr>
              <w:t>营运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20,637,334.77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23,696,960.11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21,550,579.96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19,549,443.72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⑥设备维护及服务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335,625,704.47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136,714,338.29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231,711,418.45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90,354,351.88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⑦环保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1,468,101.55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2,178,208.04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2,515,897,353.80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1,141,832,667.12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2,168,409,553.00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1,034,826,018.55</w:t>
            </w:r>
          </w:p>
        </w:tc>
      </w:tr>
    </w:tbl>
    <w:p>
      <w:pPr>
        <w:widowControl w:val="0"/>
        <w:spacing w:after="319" w:line="1" w:lineRule="exact"/>
      </w:pPr>
    </w:p>
    <w:p>
      <w:pPr>
        <w:pStyle w:val="Style44"/>
        <w:keepNext/>
        <w:keepLines/>
        <w:widowControl w:val="0"/>
        <w:numPr>
          <w:ilvl w:val="0"/>
          <w:numId w:val="89"/>
        </w:numPr>
        <w:shd w:val="clear" w:color="auto" w:fill="auto"/>
        <w:bidi w:val="0"/>
        <w:spacing w:before="0" w:after="320" w:line="240" w:lineRule="auto"/>
        <w:ind w:left="0" w:right="0" w:firstLine="42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主营业务(分地区)</w:t>
      </w:r>
      <w:bookmarkEnd w:id="1185"/>
      <w:bookmarkEnd w:id="1186"/>
      <w:bookmarkEnd w:id="1188"/>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①国内地区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2,347,229,382.85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1,059,571,367.76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2,065,190,354.60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975,343,001.92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②国外地区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168,667,970.95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both"/>
            </w:pPr>
            <w:r>
              <w:rPr>
                <w:color w:val="000000"/>
                <w:spacing w:val="0"/>
                <w:w w:val="100"/>
                <w:position w:val="0"/>
              </w:rPr>
              <w:t>82,261,299.36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103,219,198.40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59,483,016.63</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2,515,897,353.80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1,141,832,667.12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2,168,409,553.00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1,034,826,018.55</w:t>
            </w:r>
          </w:p>
        </w:tc>
      </w:tr>
    </w:tbl>
    <w:p>
      <w:pPr>
        <w:widowControl w:val="0"/>
        <w:spacing w:after="319" w:line="1" w:lineRule="exact"/>
      </w:pPr>
    </w:p>
    <w:p>
      <w:pPr>
        <w:pStyle w:val="Style44"/>
        <w:keepNext/>
        <w:keepLines/>
        <w:widowControl w:val="0"/>
        <w:numPr>
          <w:ilvl w:val="0"/>
          <w:numId w:val="89"/>
        </w:numPr>
        <w:shd w:val="clear" w:color="auto" w:fill="auto"/>
        <w:bidi w:val="0"/>
        <w:spacing w:before="0" w:after="320" w:line="240" w:lineRule="auto"/>
        <w:ind w:left="0" w:right="0" w:firstLine="42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公司来自前五名客户的营业收入情况</w:t>
      </w:r>
      <w:bookmarkEnd w:id="1189"/>
      <w:bookmarkEnd w:id="1190"/>
      <w:bookmarkEnd w:id="1192"/>
    </w:p>
    <w:tbl>
      <w:tblPr>
        <w:tblOverlap w:val="never"/>
        <w:jc w:val="center"/>
        <w:tblLayout w:type="fixed"/>
      </w:tblPr>
      <w:tblGrid>
        <w:gridCol w:w="2597"/>
        <w:gridCol w:w="2846"/>
        <w:gridCol w:w="413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257,299,977.02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200,986,000.27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175,469,417.69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158,320,038.75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104,608,973.45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80" w:right="0" w:firstLine="0"/>
              <w:jc w:val="left"/>
            </w:pPr>
            <w:r>
              <w:rPr>
                <w:color w:val="000000"/>
                <w:spacing w:val="0"/>
                <w:w w:val="100"/>
                <w:position w:val="0"/>
              </w:rPr>
              <w:t>896,684,407.18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35.64%</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2</w:t>
      </w:r>
      <w:r>
        <w:rPr>
          <w:color w:val="000000"/>
          <w:spacing w:val="0"/>
          <w:w w:val="100"/>
          <w:position w:val="0"/>
        </w:rPr>
        <w:t>、营业税金及附加</w:t>
      </w:r>
      <w:bookmarkEnd w:id="1193"/>
      <w:bookmarkEnd w:id="1194"/>
      <w:bookmarkEnd w:id="1196"/>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4,978,179.71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14,281,212.89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17,398,184.09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15,075,464.73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流转税的</w:t>
            </w:r>
            <w:r>
              <w:rPr>
                <w:color w:val="000000"/>
                <w:spacing w:val="0"/>
                <w:w w:val="100"/>
                <w:position w:val="0"/>
              </w:rPr>
              <w:t>7%</w:t>
            </w:r>
            <w:r>
              <w:rPr>
                <w:rFonts w:ascii="SimSun" w:eastAsia="SimSun" w:hAnsi="SimSun" w:cs="SimSun"/>
                <w:color w:val="000000"/>
                <w:spacing w:val="0"/>
                <w:w w:val="100"/>
                <w:position w:val="0"/>
              </w:rPr>
              <w:t>、</w:t>
            </w:r>
            <w:r>
              <w:rPr>
                <w:color w:val="000000"/>
                <w:spacing w:val="0"/>
                <w:w w:val="100"/>
                <w:position w:val="0"/>
              </w:rPr>
              <w:t>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7,461,480.88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6,477,960.51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流转税的</w:t>
            </w:r>
            <w:r>
              <w:rPr>
                <w:color w:val="000000"/>
                <w:spacing w:val="0"/>
                <w:w w:val="100"/>
                <w:position w:val="0"/>
              </w:rPr>
              <w:t>3%</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4,974,320.57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4,287,605.81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流转税的</w:t>
            </w: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pPr>
            <w:r>
              <w:rPr>
                <w:color w:val="000000"/>
                <w:spacing w:val="0"/>
                <w:w w:val="100"/>
                <w:position w:val="0"/>
              </w:rPr>
              <w:t>34,812,165.25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40,122,243.94</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4"/>
        <w:keepNext/>
        <w:keepLines/>
        <w:widowControl w:val="0"/>
        <w:shd w:val="clear" w:color="auto" w:fill="auto"/>
        <w:bidi w:val="0"/>
        <w:spacing w:before="0" w:after="320" w:line="240" w:lineRule="auto"/>
        <w:ind w:left="0" w:right="0" w:firstLine="42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197"/>
      <w:bookmarkEnd w:id="1198"/>
      <w:bookmarkEnd w:id="120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157,453,700.16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128,188,761.02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46,168,993.27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43,413,162.59</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65,439,312.67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40,390,797.05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39,893,408.87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33,072,845.28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23,317,150.78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17,916,817.46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房租及物业管理费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17,807,887.12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12,709,775.82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代理费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30,805,474.29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15,105,462.92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58,196,026.28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42,103,637.44</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439,081,953.44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332,901,259.58</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01"/>
      <w:bookmarkEnd w:id="1202"/>
      <w:bookmarkEnd w:id="120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研究与开发费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140,431,555.62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115,604,767.38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45,668,732.37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39,181,604.22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40,526,904.14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26,996,177.27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16,382,398.50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12,394,956.00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5,434,355.04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10,154,553.47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58,507,436.41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53,528,407.70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306,951,382.08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257,860,466.04</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05"/>
      <w:bookmarkEnd w:id="1206"/>
      <w:bookmarkEnd w:id="120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36,324.16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129,644.82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-12,255,122.27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-10,918,727.02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1,205,725.85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-1,906,947.22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545,905.24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1,119,482.97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-10,467,167.02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-11,576,546.45</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42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209"/>
      <w:bookmarkEnd w:id="1210"/>
      <w:bookmarkEnd w:id="1212"/>
    </w:p>
    <w:p>
      <w:pPr>
        <w:pStyle w:val="Style44"/>
        <w:keepNext/>
        <w:keepLines/>
        <w:widowControl w:val="0"/>
        <w:shd w:val="clear" w:color="auto" w:fill="auto"/>
        <w:bidi w:val="0"/>
        <w:spacing w:before="0" w:after="320" w:line="240" w:lineRule="auto"/>
        <w:ind w:left="0" w:right="0" w:firstLine="420"/>
        <w:jc w:val="left"/>
      </w:pPr>
      <w:bookmarkStart w:id="1209" w:name="bookmark1209"/>
      <w:bookmarkStart w:id="1210" w:name="bookmark1210"/>
      <w:bookmarkStart w:id="1213" w:name="bookmark1213"/>
      <w:r>
        <w:rPr>
          <w:color w:val="000000"/>
          <w:spacing w:val="0"/>
          <w:w w:val="100"/>
          <w:position w:val="0"/>
        </w:rPr>
        <w:t>(1)投资收益明细情况</w:t>
      </w:r>
      <w:bookmarkEnd w:id="1209"/>
      <w:bookmarkEnd w:id="1210"/>
      <w:bookmarkEnd w:id="1213"/>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-8,395,206.34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-8,282,242.98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17,885,990.85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9,490,784.51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pPr>
            <w:r>
              <w:rPr>
                <w:color w:val="000000"/>
                <w:spacing w:val="0"/>
                <w:w w:val="100"/>
                <w:position w:val="0"/>
              </w:rPr>
              <w:t>-8,282,242.98</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14" w:name="bookmark1214"/>
      <w:bookmarkStart w:id="1215" w:name="bookmark1215"/>
      <w:bookmarkStart w:id="1216" w:name="bookmark1216"/>
      <w:r>
        <w:rPr>
          <w:color w:val="000000"/>
          <w:spacing w:val="0"/>
          <w:w w:val="100"/>
          <w:position w:val="0"/>
        </w:rPr>
        <w:t>(2)按权益法核算的长期股权投资收益</w:t>
      </w:r>
      <w:bookmarkEnd w:id="1214"/>
      <w:bookmarkEnd w:id="1215"/>
      <w:bookmarkEnd w:id="1216"/>
    </w:p>
    <w:tbl>
      <w:tblPr>
        <w:tblOverlap w:val="never"/>
        <w:jc w:val="center"/>
        <w:tblLayout w:type="fixed"/>
      </w:tblPr>
      <w:tblGrid>
        <w:gridCol w:w="2928"/>
        <w:gridCol w:w="1997"/>
        <w:gridCol w:w="1723"/>
        <w:gridCol w:w="2933"/>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-8,345,452.83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-8,145,472.93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合营企业经营亏损</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428,027.69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本期新增投资</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云南云通金融外包服务有限公司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-477,781.20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-136,770.05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合营企业经营亏损</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-8,395,206.34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-8,282,242.98</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、资产减值损失</w:t>
      </w:r>
      <w:bookmarkEnd w:id="1217"/>
      <w:bookmarkEnd w:id="1218"/>
      <w:bookmarkEnd w:id="1220"/>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-296,689.55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-1,252,368.99</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-296,689.55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-1,252,368.99</w:t>
            </w:r>
          </w:p>
        </w:tc>
      </w:tr>
    </w:tbl>
    <w:p>
      <w:pPr>
        <w:spacing w:lineRule="exact" w:line="1"/>
        <w:rPr>
          <w:sz w:val="2"/>
          <w:szCs w:val="2"/>
        </w:rPr>
      </w:pPr>
      <w:r>
        <w:br w:type="page"/>
      </w:r>
    </w:p>
    <w:p>
      <w:pPr>
        <w:pStyle w:val="Style44"/>
        <w:keepNext/>
        <w:keepLines/>
        <w:widowControl w:val="0"/>
        <w:shd w:val="clear" w:color="auto" w:fill="auto"/>
        <w:bidi w:val="0"/>
        <w:spacing w:before="0" w:after="380" w:line="240" w:lineRule="auto"/>
        <w:ind w:left="0" w:right="0" w:firstLine="42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221"/>
      <w:bookmarkEnd w:id="1222"/>
      <w:bookmarkEnd w:id="1224"/>
    </w:p>
    <w:p>
      <w:pPr>
        <w:pStyle w:val="Style44"/>
        <w:keepNext/>
        <w:keepLines/>
        <w:widowControl w:val="0"/>
        <w:shd w:val="clear" w:color="auto" w:fill="auto"/>
        <w:bidi w:val="0"/>
        <w:spacing w:before="0" w:after="320" w:line="240" w:lineRule="auto"/>
        <w:ind w:left="0" w:right="0" w:firstLine="420"/>
        <w:jc w:val="left"/>
      </w:pPr>
      <w:bookmarkStart w:id="1221" w:name="bookmark1221"/>
      <w:bookmarkStart w:id="1222" w:name="bookmark1222"/>
      <w:bookmarkStart w:id="1225" w:name="bookmark1225"/>
      <w:r>
        <w:rPr>
          <w:color w:val="000000"/>
          <w:spacing w:val="0"/>
          <w:w w:val="100"/>
          <w:position w:val="0"/>
        </w:rPr>
        <w:t>⑴营业外收入情况</w:t>
      </w:r>
      <w:bookmarkEnd w:id="1221"/>
      <w:bookmarkEnd w:id="1222"/>
      <w:bookmarkEnd w:id="1225"/>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555,339.61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131,672.33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555,339.61</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555,339.61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131,672.33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555,339.61</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533,115.60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161,870,816.85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140,134,114.33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28,975,621.78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罚款及违约金赔款利得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73,783.45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347,854.34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73,783.45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1,521,919.97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588,434.15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1,521,919.97</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164,021,859.88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141,735,190.75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31,126,664.81</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26" w:name="bookmark1226"/>
      <w:bookmarkStart w:id="1227" w:name="bookmark1227"/>
      <w:bookmarkStart w:id="1228" w:name="bookmark1228"/>
      <w:r>
        <w:rPr>
          <w:color w:val="000000"/>
          <w:spacing w:val="0"/>
          <w:w w:val="100"/>
          <w:position w:val="0"/>
        </w:rPr>
        <w:t>(2)计入当期损益的政府补助</w:t>
      </w:r>
      <w:bookmarkEnd w:id="1226"/>
      <w:bookmarkEnd w:id="1227"/>
      <w:bookmarkEnd w:id="1228"/>
    </w:p>
    <w:tbl>
      <w:tblPr>
        <w:tblOverlap w:val="never"/>
        <w:jc w:val="center"/>
        <w:tblLayout w:type="fixed"/>
      </w:tblPr>
      <w:tblGrid>
        <w:gridCol w:w="4862"/>
        <w:gridCol w:w="1262"/>
        <w:gridCol w:w="1258"/>
        <w:gridCol w:w="1128"/>
        <w:gridCol w:w="107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上期发生额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与资产相关</w:t>
            </w:r>
            <w:r>
              <w:rPr>
                <w:color w:val="000000"/>
                <w:spacing w:val="0"/>
                <w:w w:val="100"/>
                <w:position w:val="0"/>
              </w:rPr>
              <w:t xml:space="preserve">/ </w:t>
            </w: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是否属于非 经常性损益</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服务外包发展专项资金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1,315,400.00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2,856,800.00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两新</w:t>
            </w:r>
            <w:r>
              <w:rPr>
                <w:color w:val="000000"/>
                <w:spacing w:val="0"/>
                <w:w w:val="100"/>
                <w:position w:val="0"/>
              </w:rPr>
              <w:t>"</w:t>
            </w:r>
            <w:r>
              <w:rPr>
                <w:rFonts w:ascii="SimSun" w:eastAsia="SimSun" w:hAnsi="SimSun" w:cs="SimSun"/>
                <w:color w:val="000000"/>
                <w:spacing w:val="0"/>
                <w:w w:val="100"/>
                <w:position w:val="0"/>
              </w:rPr>
              <w:t>产品专项资金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知识产权专利资助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1,350,900.00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305,300.00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知识产权资助费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促进投保出口信用险专项资金补助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55,119.98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260,110.21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收广州市财政局广州市知识产权局</w:t>
            </w:r>
            <w:r>
              <w:rPr>
                <w:color w:val="000000"/>
                <w:spacing w:val="0"/>
                <w:w w:val="100"/>
                <w:position w:val="0"/>
              </w:rPr>
              <w:t>2012</w:t>
            </w:r>
            <w:r>
              <w:rPr>
                <w:rFonts w:ascii="SimSun" w:eastAsia="SimSun" w:hAnsi="SimSun" w:cs="SimSun"/>
                <w:color w:val="000000"/>
                <w:spacing w:val="0"/>
                <w:w w:val="100"/>
                <w:position w:val="0"/>
              </w:rPr>
              <w:t>年中央资助向国外申 请专利专项资金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1,853,400.00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社会保险补贴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100,065.39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21,297.66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科学技术经费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递延收益摊销转入科技三项费用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18,589,263.19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15,710,956.87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与资产、收益</w:t>
            </w:r>
          </w:p>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相关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软件退税款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132,895,195.07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117,431,287.59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引智项目资助经费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85,512.00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广州市知识产权示范企业奖励金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重点软件企业所得税奖励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1,762,250.00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年度科学技术奖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862"/>
        <w:gridCol w:w="1262"/>
        <w:gridCol w:w="1258"/>
        <w:gridCol w:w="1128"/>
        <w:gridCol w:w="1070"/>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年度就业先进单位奖励金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年广东省服务贸易发展专项资金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年战略性主导产业发展资金（自助服务设备平台生产技 术改造补贴）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广东省国际市场开拓专项资金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重点新产品奖励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w:t>
            </w:r>
            <w:r>
              <w:rPr>
                <w:color w:val="000000"/>
                <w:spacing w:val="0"/>
                <w:w w:val="100"/>
                <w:position w:val="0"/>
              </w:rPr>
              <w:t>2013</w:t>
            </w:r>
            <w:r>
              <w:rPr>
                <w:rFonts w:ascii="SimSun" w:eastAsia="SimSun" w:hAnsi="SimSun" w:cs="SimSun"/>
                <w:color w:val="000000"/>
                <w:spacing w:val="0"/>
                <w:w w:val="100"/>
                <w:position w:val="0"/>
              </w:rPr>
              <w:t>年科技兴贸和品牌建设专项资金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收广州开发区经济发展局</w:t>
            </w:r>
            <w:r>
              <w:rPr>
                <w:color w:val="000000"/>
                <w:spacing w:val="0"/>
                <w:w w:val="100"/>
                <w:position w:val="0"/>
              </w:rPr>
              <w:t>2012</w:t>
            </w:r>
            <w:r>
              <w:rPr>
                <w:rFonts w:ascii="SimSun" w:eastAsia="SimSun" w:hAnsi="SimSun" w:cs="SimSun"/>
                <w:color w:val="000000"/>
                <w:spacing w:val="0"/>
                <w:w w:val="100"/>
                <w:position w:val="0"/>
              </w:rPr>
              <w:t>年广州开发区服务外包扶持金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189,084.00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收划拨</w:t>
            </w:r>
            <w:r>
              <w:rPr>
                <w:color w:val="000000"/>
                <w:spacing w:val="0"/>
                <w:w w:val="100"/>
                <w:position w:val="0"/>
              </w:rPr>
              <w:t>2013</w:t>
            </w:r>
            <w:r>
              <w:rPr>
                <w:rFonts w:ascii="SimSun" w:eastAsia="SimSun" w:hAnsi="SimSun" w:cs="SimSun"/>
                <w:color w:val="000000"/>
                <w:spacing w:val="0"/>
                <w:w w:val="100"/>
                <w:position w:val="0"/>
              </w:rPr>
              <w:t>年引进国外技术和管理人才项目经费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收广州市财政局国库支付分局''广州市知识产权局奖金</w:t>
            </w: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收广州市知识产权局专利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收科信局拨第十四届中国专利优秀奖配套奖励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收科技部</w:t>
            </w:r>
            <w:r>
              <w:rPr>
                <w:color w:val="000000"/>
                <w:spacing w:val="0"/>
                <w:w w:val="100"/>
                <w:position w:val="0"/>
              </w:rPr>
              <w:t>"2013</w:t>
            </w:r>
            <w:r>
              <w:rPr>
                <w:rFonts w:ascii="SimSun" w:eastAsia="SimSun" w:hAnsi="SimSun" w:cs="SimSun"/>
                <w:color w:val="000000"/>
                <w:spacing w:val="0"/>
                <w:w w:val="100"/>
                <w:position w:val="0"/>
              </w:rPr>
              <w:t>年重点新产品</w:t>
            </w:r>
            <w:r>
              <w:rPr>
                <w:color w:val="000000"/>
                <w:spacing w:val="0"/>
                <w:w w:val="100"/>
                <w:position w:val="0"/>
              </w:rPr>
              <w:t>"</w:t>
            </w:r>
            <w:r>
              <w:rPr>
                <w:rFonts w:ascii="SimSun" w:eastAsia="SimSun" w:hAnsi="SimSun" w:cs="SimSun"/>
                <w:color w:val="000000"/>
                <w:spacing w:val="0"/>
                <w:w w:val="100"/>
                <w:position w:val="0"/>
              </w:rPr>
              <w:t>奖励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收市科信局</w:t>
            </w:r>
            <w:r>
              <w:rPr>
                <w:color w:val="000000"/>
                <w:spacing w:val="0"/>
                <w:w w:val="100"/>
                <w:position w:val="0"/>
              </w:rPr>
              <w:t>2012</w:t>
            </w:r>
            <w:r>
              <w:rPr>
                <w:rFonts w:ascii="SimSun" w:eastAsia="SimSun" w:hAnsi="SimSun" w:cs="SimSun"/>
                <w:color w:val="000000"/>
                <w:spacing w:val="0"/>
                <w:w w:val="100"/>
                <w:position w:val="0"/>
              </w:rPr>
              <w:t>年市科技奖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收广东省财政厅国库支付局转拨第十四届中国专利奖励经费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科信局拨市补助第一批珠江科技新星项目专项资金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收广州开发区经济发展局</w:t>
            </w:r>
            <w:r>
              <w:rPr>
                <w:color w:val="000000"/>
                <w:spacing w:val="0"/>
                <w:w w:val="100"/>
                <w:position w:val="0"/>
              </w:rPr>
              <w:t>2012</w:t>
            </w:r>
            <w:r>
              <w:rPr>
                <w:rFonts w:ascii="SimSun" w:eastAsia="SimSun" w:hAnsi="SimSun" w:cs="SimSun"/>
                <w:color w:val="000000"/>
                <w:spacing w:val="0"/>
                <w:w w:val="100"/>
                <w:position w:val="0"/>
              </w:rPr>
              <w:t>年质量强区专项资金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收营业税改征增值税财政扶持资金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724,444.22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收深圳市福田区财政局国库科拨付区产业发展专项资金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161,870,816.85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140,134,114.33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229"/>
      <w:bookmarkEnd w:id="1230"/>
      <w:bookmarkEnd w:id="1232"/>
    </w:p>
    <w:tbl>
      <w:tblPr>
        <w:tblOverlap w:val="never"/>
        <w:jc w:val="center"/>
        <w:tblLayout w:type="fixed"/>
      </w:tblPr>
      <w:tblGrid>
        <w:gridCol w:w="3725"/>
        <w:gridCol w:w="2021"/>
        <w:gridCol w:w="1910"/>
        <w:gridCol w:w="1925"/>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计入当期非经常性损益 的金额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48,986.88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597,147.59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48,986.88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48,986.88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597,147.59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48,986.88</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220,000.00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其中：公益性捐赠支出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63,000.00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220,000.00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罚款及滞纳金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117,990.31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299,240.54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117,990.31</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赔款支出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171,066.68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439,919.27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171,066.68</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1,000,245.00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1,000,245.00</w:t>
            </w:r>
          </w:p>
        </w:tc>
      </w:tr>
    </w:tbl>
    <w:tbl>
      <w:tblPr>
        <w:tblOverlap w:val="never"/>
        <w:jc w:val="center"/>
        <w:tblLayout w:type="fixed"/>
      </w:tblPr>
      <w:tblGrid>
        <w:gridCol w:w="3725"/>
        <w:gridCol w:w="2021"/>
        <w:gridCol w:w="1910"/>
        <w:gridCol w:w="1925"/>
      </w:tblGrid>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1,558,288.87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1,399,307.40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1,558,288.87</w:t>
            </w:r>
          </w:p>
        </w:tc>
      </w:tr>
    </w:tbl>
    <w:p>
      <w:pPr>
        <w:widowControl w:val="0"/>
        <w:spacing w:after="299" w:line="1" w:lineRule="exact"/>
      </w:pPr>
    </w:p>
    <w:p>
      <w:pPr>
        <w:pStyle w:val="Style33"/>
        <w:keepNext w:val="0"/>
        <w:keepLines w:val="0"/>
        <w:widowControl w:val="0"/>
        <w:shd w:val="clear" w:color="auto" w:fill="auto"/>
        <w:bidi w:val="0"/>
        <w:spacing w:before="0" w:after="0" w:line="240" w:lineRule="auto"/>
        <w:ind w:left="403" w:right="0" w:firstLine="0"/>
        <w:jc w:val="left"/>
        <w:rPr>
          <w:sz w:val="20"/>
          <w:szCs w:val="20"/>
        </w:rPr>
      </w:pPr>
      <w:r>
        <w:rPr>
          <w:rFonts w:ascii="Times New Roman" w:eastAsia="Times New Roman" w:hAnsi="Times New Roman" w:cs="Times New Roman"/>
          <w:b/>
          <w:bCs/>
          <w:color w:val="000000"/>
          <w:spacing w:val="0"/>
          <w:w w:val="100"/>
          <w:position w:val="0"/>
          <w:sz w:val="20"/>
          <w:szCs w:val="20"/>
        </w:rPr>
        <w:t>40</w:t>
      </w:r>
      <w:r>
        <w:rPr>
          <w:b/>
          <w:bCs/>
          <w:color w:val="000000"/>
          <w:spacing w:val="0"/>
          <w:w w:val="100"/>
          <w:position w:val="0"/>
          <w:sz w:val="20"/>
          <w:szCs w:val="20"/>
        </w:rPr>
        <w:t>、所得税费用</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94,435,421.19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74,921,974.21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-1,112,218.70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-9,424,240.62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上年企业所得税汇算清缴补计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-28,451,002.95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736,090.53</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64,872,199.54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66,233,824.12</w:t>
            </w:r>
          </w:p>
        </w:tc>
      </w:tr>
    </w:tbl>
    <w:p>
      <w:pPr>
        <w:widowControl w:val="0"/>
        <w:spacing w:after="199" w:line="1" w:lineRule="exact"/>
      </w:pPr>
    </w:p>
    <w:p>
      <w:pPr>
        <w:pStyle w:val="Style44"/>
        <w:keepNext/>
        <w:keepLines/>
        <w:widowControl w:val="0"/>
        <w:shd w:val="clear" w:color="auto" w:fill="auto"/>
        <w:bidi w:val="0"/>
        <w:spacing w:before="0" w:after="300" w:line="392" w:lineRule="exact"/>
        <w:ind w:left="0" w:right="0" w:firstLine="440"/>
        <w:jc w:val="both"/>
      </w:pPr>
      <w:bookmarkStart w:id="1233" w:name="bookmark1233"/>
      <w:bookmarkStart w:id="1234" w:name="bookmark1234"/>
      <w:bookmarkStart w:id="1235" w:name="bookmark1235"/>
      <w:bookmarkStart w:id="1236" w:name="bookmark1236"/>
      <w:r>
        <w:rPr>
          <w:color w:val="000000"/>
          <w:spacing w:val="0"/>
          <w:w w:val="100"/>
          <w:position w:val="0"/>
        </w:rPr>
        <w:t>4</w:t>
      </w:r>
      <w:bookmarkEnd w:id="1235"/>
      <w:r>
        <w:rPr>
          <w:color w:val="000000"/>
          <w:spacing w:val="0"/>
          <w:w w:val="100"/>
          <w:position w:val="0"/>
        </w:rPr>
        <w:t>1、基本每股收益和稀释每股收益的计算过程</w:t>
      </w:r>
      <w:bookmarkEnd w:id="1233"/>
      <w:bookmarkEnd w:id="1234"/>
      <w:bookmarkEnd w:id="1236"/>
    </w:p>
    <w:p>
      <w:pPr>
        <w:pStyle w:val="Style44"/>
        <w:keepNext/>
        <w:keepLines/>
        <w:widowControl w:val="0"/>
        <w:numPr>
          <w:ilvl w:val="0"/>
          <w:numId w:val="97"/>
        </w:numPr>
        <w:shd w:val="clear" w:color="auto" w:fill="auto"/>
        <w:tabs>
          <w:tab w:pos="874" w:val="left"/>
        </w:tabs>
        <w:bidi w:val="0"/>
        <w:spacing w:before="0" w:after="0" w:line="392" w:lineRule="exact"/>
        <w:ind w:left="0" w:right="0" w:firstLine="440"/>
        <w:jc w:val="both"/>
      </w:pPr>
      <w:bookmarkStart w:id="1233" w:name="bookmark1233"/>
      <w:bookmarkStart w:id="1234" w:name="bookmark1234"/>
      <w:bookmarkStart w:id="1237" w:name="bookmark1237"/>
      <w:bookmarkStart w:id="1238" w:name="bookmark1238"/>
      <w:bookmarkEnd w:id="1237"/>
      <w:r>
        <w:rPr>
          <w:color w:val="000000"/>
          <w:spacing w:val="0"/>
          <w:w w:val="100"/>
          <w:position w:val="0"/>
        </w:rPr>
        <w:t>基本每股收益</w:t>
      </w:r>
      <w:bookmarkEnd w:id="1233"/>
      <w:bookmarkEnd w:id="1234"/>
      <w:bookmarkEnd w:id="1238"/>
    </w:p>
    <w:p>
      <w:pPr>
        <w:pStyle w:val="Style54"/>
        <w:keepNext w:val="0"/>
        <w:keepLines w:val="0"/>
        <w:widowControl w:val="0"/>
        <w:shd w:val="clear" w:color="auto" w:fill="auto"/>
        <w:bidi w:val="0"/>
        <w:spacing w:before="0" w:after="0" w:line="392" w:lineRule="exact"/>
        <w:ind w:left="0" w:right="0" w:firstLine="440"/>
        <w:jc w:val="both"/>
        <w:rPr>
          <w:sz w:val="26"/>
          <w:szCs w:val="26"/>
        </w:rPr>
      </w:pPr>
      <w:r>
        <w:rPr>
          <w:b w:val="0"/>
          <w:bCs w:val="0"/>
          <w:color w:val="000000"/>
          <w:spacing w:val="0"/>
          <w:w w:val="100"/>
          <w:position w:val="0"/>
          <w:sz w:val="20"/>
          <w:szCs w:val="20"/>
        </w:rPr>
        <w:t>基本每股收益</w:t>
      </w:r>
      <w:r>
        <w:rPr>
          <w:b w:val="0"/>
          <w:bCs w:val="0"/>
          <w:smallCaps/>
          <w:color w:val="000000"/>
          <w:spacing w:val="0"/>
          <w:w w:val="100"/>
          <w:position w:val="0"/>
          <w:sz w:val="26"/>
          <w:szCs w:val="26"/>
        </w:rPr>
        <w:t>=po：s</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S= S0 + S1+SiXMi^M0 -SJXMJ^MQ-Sk</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其中：</w:t>
      </w:r>
      <w:r>
        <w:rPr>
          <w:b w:val="0"/>
          <w:bCs w:val="0"/>
          <w:color w:val="000000"/>
          <w:spacing w:val="0"/>
          <w:w w:val="100"/>
          <w:position w:val="0"/>
        </w:rPr>
        <w:t>P0</w:t>
      </w:r>
      <w:r>
        <w:rPr>
          <w:b w:val="0"/>
          <w:bCs w:val="0"/>
          <w:color w:val="000000"/>
          <w:spacing w:val="0"/>
          <w:w w:val="100"/>
          <w:position w:val="0"/>
        </w:rPr>
        <w:t>为归属于公司普通股股东的净利润或扣除非经常性损益后归属于普通股股东的净利润；</w:t>
      </w:r>
      <w:r>
        <w:rPr>
          <w:b w:val="0"/>
          <w:bCs w:val="0"/>
          <w:color w:val="000000"/>
          <w:spacing w:val="0"/>
          <w:w w:val="100"/>
          <w:position w:val="0"/>
        </w:rPr>
        <w:t>S</w:t>
      </w:r>
      <w:r>
        <w:rPr>
          <w:b w:val="0"/>
          <w:bCs w:val="0"/>
          <w:color w:val="000000"/>
          <w:spacing w:val="0"/>
          <w:w w:val="100"/>
          <w:position w:val="0"/>
        </w:rPr>
        <w:t>为 发行在外的普通股加权平均数；</w:t>
      </w:r>
      <w:r>
        <w:rPr>
          <w:b w:val="0"/>
          <w:bCs w:val="0"/>
          <w:color w:val="000000"/>
          <w:spacing w:val="0"/>
          <w:w w:val="100"/>
          <w:position w:val="0"/>
        </w:rPr>
        <w:t>S0</w:t>
      </w:r>
      <w:r>
        <w:rPr>
          <w:b w:val="0"/>
          <w:bCs w:val="0"/>
          <w:color w:val="000000"/>
          <w:spacing w:val="0"/>
          <w:w w:val="100"/>
          <w:position w:val="0"/>
        </w:rPr>
        <w:t>为期初股份总数；</w:t>
      </w:r>
      <w:r>
        <w:rPr>
          <w:b w:val="0"/>
          <w:bCs w:val="0"/>
          <w:color w:val="000000"/>
          <w:spacing w:val="0"/>
          <w:w w:val="100"/>
          <w:position w:val="0"/>
        </w:rPr>
        <w:t>S1</w:t>
      </w:r>
      <w:r>
        <w:rPr>
          <w:b w:val="0"/>
          <w:bCs w:val="0"/>
          <w:color w:val="000000"/>
          <w:spacing w:val="0"/>
          <w:w w:val="100"/>
          <w:position w:val="0"/>
        </w:rPr>
        <w:t>为报告期因公积金转增股本或股票股利分配等增加 股份数；</w:t>
      </w:r>
      <w:r>
        <w:rPr>
          <w:b w:val="0"/>
          <w:bCs w:val="0"/>
          <w:color w:val="000000"/>
          <w:spacing w:val="0"/>
          <w:w w:val="100"/>
          <w:position w:val="0"/>
        </w:rPr>
        <w:t>Si</w:t>
      </w:r>
      <w:r>
        <w:rPr>
          <w:b w:val="0"/>
          <w:bCs w:val="0"/>
          <w:color w:val="000000"/>
          <w:spacing w:val="0"/>
          <w:w w:val="100"/>
          <w:position w:val="0"/>
        </w:rPr>
        <w:t>为报告期因发行新股或债转股等增加股份数；</w:t>
      </w:r>
      <w:r>
        <w:rPr>
          <w:b w:val="0"/>
          <w:bCs w:val="0"/>
          <w:color w:val="000000"/>
          <w:spacing w:val="0"/>
          <w:w w:val="100"/>
          <w:position w:val="0"/>
        </w:rPr>
        <w:t>Sj</w:t>
      </w:r>
      <w:r>
        <w:rPr>
          <w:b w:val="0"/>
          <w:bCs w:val="0"/>
          <w:color w:val="000000"/>
          <w:spacing w:val="0"/>
          <w:w w:val="100"/>
          <w:position w:val="0"/>
        </w:rPr>
        <w:t>为报告期因回购等减少股份数；</w:t>
      </w:r>
      <w:r>
        <w:rPr>
          <w:b w:val="0"/>
          <w:bCs w:val="0"/>
          <w:color w:val="000000"/>
          <w:spacing w:val="0"/>
          <w:w w:val="100"/>
          <w:position w:val="0"/>
        </w:rPr>
        <w:t>Sk</w:t>
      </w:r>
      <w:r>
        <w:rPr>
          <w:b w:val="0"/>
          <w:bCs w:val="0"/>
          <w:color w:val="000000"/>
          <w:spacing w:val="0"/>
          <w:w w:val="100"/>
          <w:position w:val="0"/>
        </w:rPr>
        <w:t>为报告期缩 股数；</w:t>
      </w:r>
      <w:r>
        <w:rPr>
          <w:b w:val="0"/>
          <w:bCs w:val="0"/>
          <w:color w:val="000000"/>
          <w:spacing w:val="0"/>
          <w:w w:val="100"/>
          <w:position w:val="0"/>
        </w:rPr>
        <w:t>M0</w:t>
      </w:r>
      <w:r>
        <w:rPr>
          <w:b w:val="0"/>
          <w:bCs w:val="0"/>
          <w:color w:val="000000"/>
          <w:spacing w:val="0"/>
          <w:w w:val="100"/>
          <w:position w:val="0"/>
        </w:rPr>
        <w:t>报告期月份数</w:t>
      </w:r>
      <w:r>
        <w:rPr>
          <w:b w:val="0"/>
          <w:bCs w:val="0"/>
          <w:color w:val="000000"/>
          <w:spacing w:val="0"/>
          <w:w w:val="100"/>
          <w:position w:val="0"/>
        </w:rPr>
        <w:t>；Mi</w:t>
      </w:r>
      <w:r>
        <w:rPr>
          <w:b w:val="0"/>
          <w:bCs w:val="0"/>
          <w:color w:val="000000"/>
          <w:spacing w:val="0"/>
          <w:w w:val="100"/>
          <w:position w:val="0"/>
        </w:rPr>
        <w:t>为增加股份次月起至报告期期末的累计月数；</w:t>
      </w:r>
      <w:r>
        <w:rPr>
          <w:b w:val="0"/>
          <w:bCs w:val="0"/>
          <w:color w:val="000000"/>
          <w:spacing w:val="0"/>
          <w:w w:val="100"/>
          <w:position w:val="0"/>
        </w:rPr>
        <w:t>Mj</w:t>
      </w:r>
      <w:r>
        <w:rPr>
          <w:b w:val="0"/>
          <w:bCs w:val="0"/>
          <w:color w:val="000000"/>
          <w:spacing w:val="0"/>
          <w:w w:val="100"/>
          <w:position w:val="0"/>
        </w:rPr>
        <w:t>为减少股份次月起至报告期期 末的累计月数。</w:t>
      </w:r>
    </w:p>
    <w:p>
      <w:pPr>
        <w:pStyle w:val="Style54"/>
        <w:keepNext w:val="0"/>
        <w:keepLines w:val="0"/>
        <w:widowControl w:val="0"/>
        <w:numPr>
          <w:ilvl w:val="0"/>
          <w:numId w:val="97"/>
        </w:numPr>
        <w:shd w:val="clear" w:color="auto" w:fill="auto"/>
        <w:tabs>
          <w:tab w:pos="874" w:val="left"/>
        </w:tabs>
        <w:bidi w:val="0"/>
        <w:spacing w:before="0" w:after="0" w:line="392" w:lineRule="exact"/>
        <w:ind w:left="0" w:right="0" w:firstLine="440"/>
        <w:jc w:val="both"/>
      </w:pPr>
      <w:bookmarkStart w:id="1239" w:name="bookmark1239"/>
      <w:bookmarkEnd w:id="1239"/>
      <w:r>
        <w:rPr>
          <w:color w:val="000000"/>
          <w:spacing w:val="0"/>
          <w:w w:val="100"/>
          <w:position w:val="0"/>
        </w:rPr>
        <w:t>稀释每股收益</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稀释每股收益</w:t>
      </w:r>
      <w:r>
        <w:rPr>
          <w:b w:val="0"/>
          <w:bCs w:val="0"/>
          <w:color w:val="000000"/>
          <w:spacing w:val="0"/>
          <w:w w:val="100"/>
          <w:position w:val="0"/>
        </w:rPr>
        <w:t>=P1/(S0 + S1 + SiXMi：M0-SjXMj：M0-Sk+</w:t>
      </w:r>
      <w:r>
        <w:rPr>
          <w:b w:val="0"/>
          <w:bCs w:val="0"/>
          <w:color w:val="000000"/>
          <w:spacing w:val="0"/>
          <w:w w:val="100"/>
          <w:position w:val="0"/>
        </w:rPr>
        <w:t>认股权证、股份期权、可转换债券等增加 的普通股加权平均数)</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其中</w:t>
      </w:r>
      <w:r>
        <w:rPr>
          <w:b w:val="0"/>
          <w:bCs w:val="0"/>
          <w:color w:val="000000"/>
          <w:spacing w:val="0"/>
          <w:w w:val="100"/>
          <w:position w:val="0"/>
        </w:rPr>
        <w:t>，P1</w:t>
      </w:r>
      <w:r>
        <w:rPr>
          <w:b w:val="0"/>
          <w:bCs w:val="0"/>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①基本每股收益</w:t>
      </w:r>
    </w:p>
    <w:p>
      <w:pPr>
        <w:pStyle w:val="Style54"/>
        <w:keepNext w:val="0"/>
        <w:keepLines w:val="0"/>
        <w:widowControl w:val="0"/>
        <w:shd w:val="clear" w:color="auto" w:fill="auto"/>
        <w:bidi w:val="0"/>
        <w:spacing w:before="0" w:after="440" w:line="392" w:lineRule="exact"/>
        <w:ind w:left="0" w:right="0" w:firstLine="440"/>
        <w:jc w:val="both"/>
      </w:pPr>
      <w:r>
        <w:rPr>
          <w:b w:val="0"/>
          <w:bCs w:val="0"/>
          <w:color w:val="000000"/>
          <w:spacing w:val="0"/>
          <w:w w:val="100"/>
          <w:position w:val="0"/>
        </w:rPr>
        <w:t>基本每股收益以归属于本公司普通股股东的合并净利润除以本公司发行在外普通股的加权平均数计</w:t>
      </w:r>
    </w:p>
    <w:tbl>
      <w:tblPr>
        <w:tblOverlap w:val="never"/>
        <w:jc w:val="center"/>
        <w:tblLayout w:type="fixed"/>
      </w:tblPr>
      <w:tblGrid>
        <w:gridCol w:w="4680"/>
        <w:gridCol w:w="2558"/>
        <w:gridCol w:w="227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归属于本公司普通股股东的合并净利润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705,076,417.95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578,631,983.99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本公司发行在外普通股的加权平均数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747,237,306.00</w:t>
            </w:r>
          </w:p>
        </w:tc>
      </w:tr>
      <w:tr>
        <w:trPr>
          <w:trHeight w:val="41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0.77</w:t>
            </w:r>
          </w:p>
        </w:tc>
      </w:tr>
    </w:tbl>
    <w:p>
      <w:pPr>
        <w:pStyle w:val="Style33"/>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普通股的加权平均数计算过程如下:</w:t>
      </w:r>
      <w:r>
        <w:br w:type="page"/>
      </w:r>
    </w:p>
    <w:tbl>
      <w:tblPr>
        <w:tblOverlap w:val="never"/>
        <w:jc w:val="center"/>
        <w:tblLayout w:type="fixed"/>
      </w:tblPr>
      <w:tblGrid>
        <w:gridCol w:w="4680"/>
        <w:gridCol w:w="2558"/>
        <w:gridCol w:w="227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年初已发行普通股股数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622,697,755.00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124,539,551.00</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年末发行在外的普通股加权数</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747,237,306.00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747,237,306.00</w:t>
            </w:r>
          </w:p>
        </w:tc>
      </w:tr>
    </w:tbl>
    <w:p>
      <w:pPr>
        <w:widowControl w:val="0"/>
        <w:spacing w:after="219" w:line="1" w:lineRule="exact"/>
      </w:pPr>
    </w:p>
    <w:p>
      <w:pPr>
        <w:pStyle w:val="Style54"/>
        <w:keepNext w:val="0"/>
        <w:keepLines w:val="0"/>
        <w:widowControl w:val="0"/>
        <w:shd w:val="clear" w:color="auto" w:fill="auto"/>
        <w:bidi w:val="0"/>
        <w:spacing w:before="0" w:after="320" w:line="240" w:lineRule="auto"/>
        <w:ind w:left="0" w:right="0" w:firstLine="340"/>
        <w:jc w:val="left"/>
      </w:pPr>
      <w:r>
        <w:rPr>
          <w:b w:val="0"/>
          <w:bCs w:val="0"/>
          <w:color w:val="000000"/>
          <w:spacing w:val="0"/>
          <w:w w:val="100"/>
          <w:position w:val="0"/>
          <w:sz w:val="18"/>
          <w:szCs w:val="18"/>
        </w:rPr>
        <w:t>②</w:t>
      </w:r>
      <w:r>
        <w:rPr>
          <w:b w:val="0"/>
          <w:bCs w:val="0"/>
          <w:color w:val="000000"/>
          <w:spacing w:val="0"/>
          <w:w w:val="100"/>
          <w:position w:val="0"/>
        </w:rPr>
        <w:t>稀释每股收益</w:t>
      </w:r>
    </w:p>
    <w:p>
      <w:pPr>
        <w:pStyle w:val="Style54"/>
        <w:keepNext w:val="0"/>
        <w:keepLines w:val="0"/>
        <w:widowControl w:val="0"/>
        <w:shd w:val="clear" w:color="auto" w:fill="auto"/>
        <w:bidi w:val="0"/>
        <w:spacing w:before="0" w:after="140" w:line="240" w:lineRule="auto"/>
        <w:ind w:left="0" w:right="0" w:firstLine="340"/>
        <w:jc w:val="left"/>
      </w:pPr>
      <w:r>
        <w:rPr>
          <w:b w:val="0"/>
          <w:bCs w:val="0"/>
          <w:color w:val="000000"/>
          <w:spacing w:val="0"/>
          <w:w w:val="100"/>
          <w:position w:val="0"/>
        </w:rPr>
        <w:t>稀释每股收益以调整后的归属于本公司普通股股东的合并净利润除以调整后的本公司发行在外普通股</w:t>
      </w:r>
    </w:p>
    <w:p>
      <w:pPr>
        <w:pStyle w:val="Style54"/>
        <w:keepNext w:val="0"/>
        <w:keepLines w:val="0"/>
        <w:widowControl w:val="0"/>
        <w:shd w:val="clear" w:color="auto" w:fill="auto"/>
        <w:bidi w:val="0"/>
        <w:spacing w:before="0" w:after="60" w:line="240" w:lineRule="auto"/>
        <w:ind w:left="0" w:right="0" w:firstLine="0"/>
        <w:jc w:val="left"/>
      </w:pPr>
      <w:r>
        <w:rPr>
          <w:b w:val="0"/>
          <w:bCs w:val="0"/>
          <w:color w:val="000000"/>
          <w:spacing w:val="0"/>
          <w:w w:val="100"/>
          <w:position w:val="0"/>
        </w:rPr>
        <w:t>的加权平均数计算：</w:t>
      </w:r>
    </w:p>
    <w:tbl>
      <w:tblPr>
        <w:tblOverlap w:val="never"/>
        <w:jc w:val="center"/>
        <w:tblLayout w:type="fixed"/>
      </w:tblPr>
      <w:tblGrid>
        <w:gridCol w:w="4680"/>
        <w:gridCol w:w="2558"/>
        <w:gridCol w:w="227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归属于本公司普通股股东的合并净利润（稀释）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705,076,417.95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578,631,983.99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本公司发行在外普通股的加权平均数（稀释）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747,237,306.00</w:t>
            </w:r>
          </w:p>
        </w:tc>
      </w:tr>
      <w:tr>
        <w:trPr>
          <w:trHeight w:val="40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0.94</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0.77</w:t>
            </w:r>
          </w:p>
        </w:tc>
      </w:tr>
    </w:tbl>
    <w:p>
      <w:pPr>
        <w:widowControl w:val="0"/>
        <w:spacing w:after="219" w:line="1" w:lineRule="exact"/>
      </w:pPr>
    </w:p>
    <w:p>
      <w:pPr>
        <w:pStyle w:val="Style54"/>
        <w:keepNext w:val="0"/>
        <w:keepLines w:val="0"/>
        <w:widowControl w:val="0"/>
        <w:shd w:val="clear" w:color="auto" w:fill="auto"/>
        <w:bidi w:val="0"/>
        <w:spacing w:before="0" w:after="220" w:line="240" w:lineRule="auto"/>
        <w:ind w:left="0" w:right="0" w:firstLine="420"/>
        <w:jc w:val="left"/>
      </w:pPr>
      <w:r>
        <w:rPr>
          <w:b w:val="0"/>
          <w:bCs w:val="0"/>
          <w:color w:val="000000"/>
          <w:spacing w:val="0"/>
          <w:w w:val="100"/>
          <w:position w:val="0"/>
        </w:rPr>
        <w:t>普通股的加权平均数（稀释）计算过程如下:</w:t>
      </w:r>
    </w:p>
    <w:tbl>
      <w:tblPr>
        <w:tblOverlap w:val="never"/>
        <w:jc w:val="center"/>
        <w:tblLayout w:type="fixed"/>
      </w:tblPr>
      <w:tblGrid>
        <w:gridCol w:w="4680"/>
        <w:gridCol w:w="2558"/>
        <w:gridCol w:w="227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16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计算基本每股收益时年末发行在外的普通股加权平均数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747,237,306.00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622,697,755.00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124,539,551.00</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年末普通股的加权平均数（稀释）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747,237,306.00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747,237,306.00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240"/>
      <w:bookmarkEnd w:id="1241"/>
      <w:bookmarkEnd w:id="1243"/>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可供出售金融资产产生的利得（损失）金额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-1,135,777.92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-2,496,227.86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减：可供出售金融资产产生的所得税影响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-1,135,777.92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-2,496,227.86</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减:按照权益法核算的在被投资单位其他综合收益中所 享有的份额产生的所得税影响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现金流量套期工具产生的利得（或损失）金额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减：现金流量套期工具产生的所得税影响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前期计入其他综合收益当期转入损益的净额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56"/>
        <w:gridCol w:w="2525"/>
        <w:gridCol w:w="24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转为被套期项目初始确认金额的调整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807,195.38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-297,387.23</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减：处置境外经营当期转入损益的净额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807,195.38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-297,387.23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减：由其他计入其他综合收益产生的所得税影响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前期其他计入其他综合收益当期转入损益的净额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-328,582.54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-2,793,615.09</w:t>
            </w:r>
          </w:p>
        </w:tc>
      </w:tr>
    </w:tbl>
    <w:p>
      <w:pPr>
        <w:widowControl w:val="0"/>
        <w:spacing w:after="119" w:line="1" w:lineRule="exact"/>
      </w:pPr>
    </w:p>
    <w:p>
      <w:pPr>
        <w:pStyle w:val="Style54"/>
        <w:keepNext w:val="0"/>
        <w:keepLines w:val="0"/>
        <w:widowControl w:val="0"/>
        <w:shd w:val="clear" w:color="auto" w:fill="auto"/>
        <w:bidi w:val="0"/>
        <w:spacing w:before="0" w:after="0" w:line="240" w:lineRule="auto"/>
        <w:ind w:left="0" w:right="0" w:firstLine="440"/>
        <w:jc w:val="left"/>
      </w:pPr>
      <w:r>
        <w:rPr>
          <w:b w:val="0"/>
          <w:bCs w:val="0"/>
          <w:color w:val="000000"/>
          <w:spacing w:val="0"/>
          <w:w w:val="100"/>
          <w:position w:val="0"/>
        </w:rPr>
        <w:t>其他综合收益说明:</w:t>
      </w:r>
    </w:p>
    <w:p>
      <w:pPr>
        <w:pStyle w:val="Style54"/>
        <w:keepNext w:val="0"/>
        <w:keepLines w:val="0"/>
        <w:widowControl w:val="0"/>
        <w:shd w:val="clear" w:color="auto" w:fill="auto"/>
        <w:bidi w:val="0"/>
        <w:spacing w:before="0" w:after="380" w:line="390" w:lineRule="exact"/>
        <w:ind w:left="0" w:right="0" w:firstLine="440"/>
        <w:jc w:val="both"/>
      </w:pPr>
      <w:r>
        <w:rPr>
          <w:b w:val="0"/>
          <w:bCs w:val="0"/>
          <w:color w:val="000000"/>
          <w:spacing w:val="0"/>
          <w:w w:val="100"/>
          <w:position w:val="0"/>
        </w:rPr>
        <w:t xml:space="preserve">本公司的子公司 </w:t>
      </w:r>
      <w:r>
        <w:rPr>
          <w:b w:val="0"/>
          <w:bCs w:val="0"/>
          <w:color w:val="000000"/>
          <w:spacing w:val="0"/>
          <w:w w:val="100"/>
          <w:position w:val="0"/>
        </w:rPr>
        <w:t xml:space="preserve">GRG Banking Equipment (HK) Co., Limited </w:t>
      </w:r>
      <w:r>
        <w:rPr>
          <w:b w:val="0"/>
          <w:bCs w:val="0"/>
          <w:color w:val="000000"/>
          <w:spacing w:val="0"/>
          <w:w w:val="100"/>
          <w:position w:val="0"/>
        </w:rPr>
        <w:t xml:space="preserve">在本期末持有 </w:t>
      </w:r>
      <w:r>
        <w:rPr>
          <w:b w:val="0"/>
          <w:bCs w:val="0"/>
          <w:color w:val="000000"/>
          <w:spacing w:val="0"/>
          <w:w w:val="100"/>
          <w:position w:val="0"/>
        </w:rPr>
        <w:t>GRG INTERNATIONAL LTD(GRGI)</w:t>
      </w:r>
      <w:r>
        <w:rPr>
          <w:b w:val="0"/>
          <w:bCs w:val="0"/>
          <w:color w:val="000000"/>
          <w:spacing w:val="0"/>
          <w:w w:val="100"/>
          <w:position w:val="0"/>
        </w:rPr>
        <w:t xml:space="preserve">股份 </w:t>
      </w:r>
      <w:r>
        <w:rPr>
          <w:b w:val="0"/>
          <w:bCs w:val="0"/>
          <w:color w:val="000000"/>
          <w:spacing w:val="0"/>
          <w:w w:val="100"/>
          <w:position w:val="0"/>
        </w:rPr>
        <w:t>10,097,282.0</w:t>
      </w:r>
      <w:r>
        <w:rPr>
          <w:b w:val="0"/>
          <w:bCs w:val="0"/>
          <w:color w:val="000000"/>
          <w:spacing w:val="0"/>
          <w:w w:val="100"/>
          <w:position w:val="0"/>
        </w:rPr>
        <w:t xml:space="preserve">。股，购买成本为1,340, </w:t>
      </w:r>
      <w:r>
        <w:rPr>
          <w:b w:val="0"/>
          <w:bCs w:val="0"/>
          <w:color w:val="000000"/>
          <w:spacing w:val="0"/>
          <w:w w:val="100"/>
          <w:position w:val="0"/>
        </w:rPr>
        <w:t>500.40 AUD，</w:t>
      </w:r>
      <w:r>
        <w:rPr>
          <w:b w:val="0"/>
          <w:bCs w:val="0"/>
          <w:color w:val="000000"/>
          <w:spacing w:val="0"/>
          <w:w w:val="100"/>
          <w:position w:val="0"/>
        </w:rPr>
        <w:t>折合为人民币</w:t>
      </w:r>
      <w:r>
        <w:rPr>
          <w:b w:val="0"/>
          <w:bCs w:val="0"/>
          <w:color w:val="000000"/>
          <w:spacing w:val="0"/>
          <w:w w:val="100"/>
          <w:position w:val="0"/>
        </w:rPr>
        <w:t>8,615,098.78</w:t>
      </w:r>
      <w:r>
        <w:rPr>
          <w:b w:val="0"/>
          <w:bCs w:val="0"/>
          <w:color w:val="000000"/>
          <w:spacing w:val="0"/>
          <w:w w:val="100"/>
          <w:position w:val="0"/>
        </w:rPr>
        <w:t>元。2013 年12月31日该公司股票收市价为</w:t>
      </w:r>
      <w:r>
        <w:rPr>
          <w:b w:val="0"/>
          <w:bCs w:val="0"/>
          <w:color w:val="000000"/>
          <w:spacing w:val="0"/>
          <w:w w:val="100"/>
          <w:position w:val="0"/>
        </w:rPr>
        <w:t>0.099AUD,</w:t>
      </w:r>
      <w:r>
        <w:rPr>
          <w:b w:val="0"/>
          <w:bCs w:val="0"/>
          <w:color w:val="000000"/>
          <w:spacing w:val="0"/>
          <w:w w:val="100"/>
          <w:position w:val="0"/>
        </w:rPr>
        <w:t xml:space="preserve">按2013年12月31日汇率折算人民币期末公允价值为 5, 428, </w:t>
      </w:r>
      <w:r>
        <w:rPr>
          <w:b w:val="0"/>
          <w:bCs w:val="0"/>
          <w:color w:val="000000"/>
          <w:spacing w:val="0"/>
          <w:w w:val="100"/>
          <w:position w:val="0"/>
        </w:rPr>
        <w:t xml:space="preserve">305. </w:t>
      </w:r>
      <w:r>
        <w:rPr>
          <w:b w:val="0"/>
          <w:bCs w:val="0"/>
          <w:color w:val="000000"/>
          <w:spacing w:val="0"/>
          <w:w w:val="100"/>
          <w:position w:val="0"/>
        </w:rPr>
        <w:t>54元，累计公允价值增加</w:t>
      </w:r>
      <w:r>
        <w:rPr>
          <w:b w:val="0"/>
          <w:bCs w:val="0"/>
          <w:color w:val="000000"/>
          <w:spacing w:val="0"/>
          <w:w w:val="100"/>
          <w:position w:val="0"/>
        </w:rPr>
        <w:t>-3,186,793.24</w:t>
      </w:r>
      <w:r>
        <w:rPr>
          <w:b w:val="0"/>
          <w:bCs w:val="0"/>
          <w:color w:val="000000"/>
          <w:spacing w:val="0"/>
          <w:w w:val="100"/>
          <w:position w:val="0"/>
        </w:rPr>
        <w:t xml:space="preserve">元转入资本公积，其中：前期累计公允价值增加 </w:t>
      </w:r>
      <w:r>
        <w:rPr>
          <w:b w:val="0"/>
          <w:bCs w:val="0"/>
          <w:color w:val="000000"/>
          <w:spacing w:val="0"/>
          <w:w w:val="100"/>
          <w:position w:val="0"/>
        </w:rPr>
        <w:t>-2,051,015.3</w:t>
      </w:r>
      <w:r>
        <w:rPr>
          <w:b w:val="0"/>
          <w:bCs w:val="0"/>
          <w:color w:val="000000"/>
          <w:spacing w:val="0"/>
          <w:w w:val="100"/>
          <w:position w:val="0"/>
        </w:rPr>
        <w:t>2元，本期公允价值增加</w:t>
      </w:r>
      <w:r>
        <w:rPr>
          <w:b w:val="0"/>
          <w:bCs w:val="0"/>
          <w:color w:val="000000"/>
          <w:spacing w:val="0"/>
          <w:w w:val="100"/>
          <w:position w:val="0"/>
        </w:rPr>
        <w:t>-1,135,777.9</w:t>
      </w:r>
      <w:r>
        <w:rPr>
          <w:b w:val="0"/>
          <w:bCs w:val="0"/>
          <w:color w:val="000000"/>
          <w:spacing w:val="0"/>
          <w:w w:val="100"/>
          <w:position w:val="0"/>
        </w:rPr>
        <w:t>2元计入其他综合收益。</w:t>
      </w:r>
    </w:p>
    <w:p>
      <w:pPr>
        <w:pStyle w:val="Style44"/>
        <w:keepNext/>
        <w:keepLines/>
        <w:widowControl w:val="0"/>
        <w:shd w:val="clear" w:color="auto" w:fill="auto"/>
        <w:bidi w:val="0"/>
        <w:spacing w:before="0" w:after="380" w:line="240" w:lineRule="auto"/>
        <w:ind w:left="0" w:right="0" w:firstLine="44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4</w:t>
      </w:r>
      <w:bookmarkEnd w:id="1246"/>
      <w:r>
        <w:rPr>
          <w:rFonts w:ascii="Times New Roman" w:eastAsia="Times New Roman" w:hAnsi="Times New Roman" w:cs="Times New Roman"/>
          <w:color w:val="000000"/>
          <w:spacing w:val="0"/>
          <w:w w:val="100"/>
          <w:position w:val="0"/>
        </w:rPr>
        <w:t>3</w:t>
      </w:r>
      <w:r>
        <w:rPr>
          <w:color w:val="000000"/>
          <w:spacing w:val="0"/>
          <w:w w:val="100"/>
          <w:position w:val="0"/>
        </w:rPr>
        <w:t>、现金流量表附注</w:t>
      </w:r>
      <w:bookmarkEnd w:id="1244"/>
      <w:bookmarkEnd w:id="1245"/>
      <w:bookmarkEnd w:id="1247"/>
    </w:p>
    <w:p>
      <w:pPr>
        <w:pStyle w:val="Style44"/>
        <w:keepNext/>
        <w:keepLines/>
        <w:widowControl w:val="0"/>
        <w:shd w:val="clear" w:color="auto" w:fill="auto"/>
        <w:bidi w:val="0"/>
        <w:spacing w:before="0" w:after="320" w:line="240" w:lineRule="auto"/>
        <w:ind w:left="0" w:right="0" w:firstLine="440"/>
        <w:jc w:val="left"/>
      </w:pPr>
      <w:bookmarkStart w:id="1244" w:name="bookmark1244"/>
      <w:bookmarkStart w:id="1245" w:name="bookmark1245"/>
      <w:bookmarkStart w:id="1248" w:name="bookmark1248"/>
      <w:r>
        <w:rPr>
          <w:color w:val="000000"/>
          <w:spacing w:val="0"/>
          <w:w w:val="100"/>
          <w:position w:val="0"/>
        </w:rPr>
        <w:t>(1)收到的其他与经营活动有关的现金</w:t>
      </w:r>
      <w:bookmarkEnd w:id="1244"/>
      <w:bookmarkEnd w:id="1245"/>
      <w:bookmarkEnd w:id="1248"/>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政府补助或专项拨款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35,235,358.59</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收回员工借款等</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16,095,955.46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12,255,122.27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退押金保证金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20" w:right="0" w:firstLine="0"/>
              <w:jc w:val="left"/>
            </w:pPr>
            <w:r>
              <w:rPr>
                <w:color w:val="000000"/>
                <w:spacing w:val="0"/>
                <w:w w:val="100"/>
                <w:position w:val="0"/>
              </w:rPr>
              <w:t>251,909,250.00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15,211,335.19</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20" w:right="0" w:firstLine="0"/>
              <w:jc w:val="left"/>
            </w:pPr>
            <w:r>
              <w:rPr>
                <w:color w:val="000000"/>
                <w:spacing w:val="0"/>
                <w:w w:val="100"/>
                <w:position w:val="0"/>
              </w:rPr>
              <w:t>330,707,021.51</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249" w:name="bookmark1249"/>
      <w:bookmarkStart w:id="1250" w:name="bookmark1250"/>
      <w:bookmarkStart w:id="1251" w:name="bookmark1251"/>
      <w:r>
        <w:rPr>
          <w:color w:val="000000"/>
          <w:spacing w:val="0"/>
          <w:w w:val="100"/>
          <w:position w:val="0"/>
        </w:rPr>
        <w:t>(2)支付的其他与经营活动有关的现金</w:t>
      </w:r>
      <w:bookmarkEnd w:id="1249"/>
      <w:bookmarkEnd w:id="1250"/>
      <w:bookmarkEnd w:id="1251"/>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20" w:right="0" w:firstLine="0"/>
              <w:jc w:val="left"/>
            </w:pPr>
            <w:r>
              <w:rPr>
                <w:color w:val="000000"/>
                <w:spacing w:val="0"/>
                <w:w w:val="100"/>
                <w:position w:val="0"/>
              </w:rPr>
              <w:t>287,453,203.56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职工借款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both"/>
            </w:pPr>
            <w:r>
              <w:rPr>
                <w:color w:val="000000"/>
                <w:spacing w:val="0"/>
                <w:w w:val="100"/>
                <w:position w:val="0"/>
              </w:rPr>
              <w:t>64,515,427.81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付押金保证金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20" w:right="0" w:firstLine="0"/>
              <w:jc w:val="left"/>
            </w:pPr>
            <w:r>
              <w:rPr>
                <w:color w:val="000000"/>
                <w:spacing w:val="0"/>
                <w:w w:val="100"/>
                <w:position w:val="0"/>
              </w:rPr>
              <w:t>253,732,965.50</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捐赠支出</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220,000.00</w:t>
            </w:r>
          </w:p>
        </w:tc>
      </w:tr>
    </w:tbl>
    <w:p>
      <w:pPr>
        <w:spacing w:lineRule="exact" w:line="1"/>
        <w:rPr>
          <w:sz w:val="2"/>
          <w:szCs w:val="2"/>
        </w:rPr>
      </w:pP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其他往来款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43,887,308.78</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649,808,905.65</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color w:val="000000"/>
          <w:spacing w:val="0"/>
          <w:w w:val="100"/>
          <w:position w:val="0"/>
        </w:rPr>
        <w:t>3）收到的其他与投资活动有关的现金</w:t>
      </w:r>
      <w:bookmarkEnd w:id="1252"/>
      <w:bookmarkEnd w:id="1253"/>
      <w:bookmarkEnd w:id="1255"/>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日的现金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56,140,229.11</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920" w:right="0" w:firstLine="0"/>
              <w:jc w:val="left"/>
            </w:pPr>
            <w:r>
              <w:rPr>
                <w:color w:val="000000"/>
                <w:spacing w:val="0"/>
                <w:w w:val="100"/>
                <w:position w:val="0"/>
              </w:rPr>
              <w:t>56,140,229.11</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color w:val="000000"/>
          <w:spacing w:val="0"/>
          <w:w w:val="100"/>
          <w:position w:val="0"/>
        </w:rPr>
        <w:t>4）支付的其他与筹资活动有关的现金</w:t>
      </w:r>
      <w:bookmarkEnd w:id="1256"/>
      <w:bookmarkEnd w:id="1257"/>
      <w:bookmarkEnd w:id="1259"/>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控股子公司减资支付股东的现金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3,430,000.00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子公司收购小股东股权支付的现金</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2,250,000.00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left"/>
            </w:pPr>
            <w:r>
              <w:rPr>
                <w:color w:val="000000"/>
                <w:spacing w:val="0"/>
                <w:w w:val="100"/>
                <w:position w:val="0"/>
              </w:rPr>
              <w:t>5,680,000.00</w:t>
            </w:r>
          </w:p>
        </w:tc>
      </w:tr>
    </w:tbl>
    <w:p>
      <w:pPr>
        <w:widowControl w:val="0"/>
        <w:spacing w:after="139" w:line="1" w:lineRule="exact"/>
      </w:pPr>
    </w:p>
    <w:p>
      <w:pPr>
        <w:pStyle w:val="Style54"/>
        <w:keepNext w:val="0"/>
        <w:keepLines w:val="0"/>
        <w:widowControl w:val="0"/>
        <w:shd w:val="clear" w:color="auto" w:fill="auto"/>
        <w:bidi w:val="0"/>
        <w:spacing w:before="0" w:after="180" w:line="240" w:lineRule="auto"/>
        <w:ind w:left="0" w:right="0" w:firstLine="440"/>
        <w:jc w:val="left"/>
      </w:pPr>
      <w:r>
        <w:rPr>
          <w:b w:val="0"/>
          <w:bCs w:val="0"/>
          <w:color w:val="000000"/>
          <w:spacing w:val="0"/>
          <w:w w:val="100"/>
          <w:position w:val="0"/>
        </w:rPr>
        <w:t>支付的其他与筹资活动有关的现金说明：</w:t>
      </w:r>
    </w:p>
    <w:p>
      <w:pPr>
        <w:pStyle w:val="Style54"/>
        <w:keepNext w:val="0"/>
        <w:keepLines w:val="0"/>
        <w:widowControl w:val="0"/>
        <w:shd w:val="clear" w:color="auto" w:fill="auto"/>
        <w:bidi w:val="0"/>
        <w:spacing w:before="0" w:after="140" w:line="240" w:lineRule="auto"/>
        <w:ind w:left="0" w:right="0" w:firstLine="440"/>
        <w:jc w:val="left"/>
      </w:pPr>
      <w:r>
        <w:rPr>
          <w:b w:val="0"/>
          <w:bCs w:val="0"/>
          <w:color w:val="000000"/>
          <w:spacing w:val="0"/>
          <w:w w:val="100"/>
          <w:position w:val="0"/>
        </w:rPr>
        <w:t>①石家庄市银通金融服务有限公司以不改变出资比例为前提，减少各股东出资，减资</w:t>
      </w:r>
      <w:r>
        <w:rPr>
          <w:b w:val="0"/>
          <w:bCs w:val="0"/>
          <w:color w:val="000000"/>
          <w:spacing w:val="0"/>
          <w:w w:val="100"/>
          <w:position w:val="0"/>
        </w:rPr>
        <w:t>700.00</w:t>
      </w:r>
      <w:r>
        <w:rPr>
          <w:b w:val="0"/>
          <w:bCs w:val="0"/>
          <w:color w:val="000000"/>
          <w:spacing w:val="0"/>
          <w:w w:val="100"/>
          <w:position w:val="0"/>
        </w:rPr>
        <w:t xml:space="preserve">万元后, </w:t>
      </w:r>
      <w:r>
        <w:rPr>
          <w:b w:val="0"/>
          <w:bCs w:val="0"/>
          <w:color w:val="000000"/>
          <w:spacing w:val="0"/>
          <w:w w:val="100"/>
          <w:position w:val="0"/>
        </w:rPr>
        <w:t>各股东出资比例保持不变。</w:t>
      </w:r>
    </w:p>
    <w:p>
      <w:pPr>
        <w:pStyle w:val="Style54"/>
        <w:keepNext w:val="0"/>
        <w:keepLines w:val="0"/>
        <w:widowControl w:val="0"/>
        <w:shd w:val="clear" w:color="auto" w:fill="auto"/>
        <w:bidi w:val="0"/>
        <w:spacing w:before="0" w:after="380" w:line="240" w:lineRule="auto"/>
        <w:ind w:left="0" w:right="0" w:firstLine="440"/>
        <w:jc w:val="left"/>
      </w:pPr>
      <w:r>
        <w:rPr>
          <w:b w:val="0"/>
          <w:bCs w:val="0"/>
          <w:color w:val="000000"/>
          <w:spacing w:val="0"/>
          <w:w w:val="100"/>
          <w:position w:val="0"/>
        </w:rPr>
        <w:t>②江苏保通金融外包服务有限公司股权变更为100%，支付股权转让款225万元。</w:t>
      </w:r>
    </w:p>
    <w:p>
      <w:pPr>
        <w:pStyle w:val="Style44"/>
        <w:keepNext/>
        <w:keepLines/>
        <w:widowControl w:val="0"/>
        <w:shd w:val="clear" w:color="auto" w:fill="auto"/>
        <w:bidi w:val="0"/>
        <w:spacing w:before="0" w:after="380" w:line="240" w:lineRule="auto"/>
        <w:ind w:left="0" w:right="0" w:firstLine="44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260"/>
      <w:bookmarkEnd w:id="1261"/>
      <w:bookmarkEnd w:id="1263"/>
    </w:p>
    <w:p>
      <w:pPr>
        <w:pStyle w:val="Style44"/>
        <w:keepNext/>
        <w:keepLines/>
        <w:widowControl w:val="0"/>
        <w:shd w:val="clear" w:color="auto" w:fill="auto"/>
        <w:bidi w:val="0"/>
        <w:spacing w:before="0" w:after="320" w:line="240" w:lineRule="auto"/>
        <w:ind w:left="0" w:right="0" w:firstLine="440"/>
        <w:jc w:val="left"/>
      </w:pPr>
      <w:bookmarkStart w:id="1260" w:name="bookmark1260"/>
      <w:bookmarkStart w:id="1261" w:name="bookmark1261"/>
      <w:bookmarkStart w:id="1264" w:name="bookmark1264"/>
      <w:r>
        <w:rPr>
          <w:color w:val="000000"/>
          <w:spacing w:val="0"/>
          <w:w w:val="100"/>
          <w:position w:val="0"/>
        </w:rPr>
        <w:t>（1）现金流量表补充资料</w:t>
      </w:r>
      <w:bookmarkEnd w:id="1260"/>
      <w:bookmarkEnd w:id="1261"/>
      <w:bookmarkEnd w:id="1264"/>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711,065,198.46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581,348,296.58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-296,689.55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-1,252,368.99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39,150,082.39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30,942,014.75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923,380.84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833,979.21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1,139,803.73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1,054,760.23</w:t>
            </w:r>
          </w:p>
        </w:tc>
      </w:tr>
      <w:tr>
        <w:trPr>
          <w:trHeight w:val="715"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-506,352.73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465,475.26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1,767,147.56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-516,240.70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-9,490,784.51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8,282,242.98</w:t>
            </w:r>
          </w:p>
        </w:tc>
      </w:tr>
    </w:tbl>
    <w:p>
      <w:pPr>
        <w:spacing w:lineRule="exact" w:line="1"/>
        <w:rPr>
          <w:sz w:val="2"/>
          <w:szCs w:val="2"/>
        </w:rPr>
      </w:pPr>
      <w:r>
        <w:br w:type="page"/>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-1,112,218.70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-9,424,240.62</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-339,179,892.38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-120,996,385.37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-79,642,527.56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159,118,859.54</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391,476,354.45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207,042,854.87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715,293,502.00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856,899,247.74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1,644,875,412.34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2,003,540,034.34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2,003,540,034.34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1,216,223,438.77</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-358,664,622.00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787,316,595.57</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65" w:name="bookmark1265"/>
      <w:bookmarkStart w:id="1266" w:name="bookmark1266"/>
      <w:bookmarkStart w:id="1267" w:name="bookmark1267"/>
      <w:r>
        <w:rPr>
          <w:color w:val="000000"/>
          <w:spacing w:val="0"/>
          <w:w w:val="100"/>
          <w:position w:val="0"/>
        </w:rPr>
        <w:t>（2）现金和现金等价物的构成</w:t>
      </w:r>
      <w:bookmarkEnd w:id="1265"/>
      <w:bookmarkEnd w:id="1266"/>
      <w:bookmarkEnd w:id="1267"/>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1,644,875,412.34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2,003,540,034.34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1,652,827.61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252,262.09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1,643,222,584.73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2,003,287,772.25</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1,644,875,412.34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2,003,540,034.34</w:t>
            </w:r>
          </w:p>
        </w:tc>
      </w:tr>
    </w:tbl>
    <w:p>
      <w:pPr>
        <w:sectPr>
          <w:headerReference w:type="default" r:id="rId29"/>
          <w:footerReference w:type="default" r:id="rId30"/>
          <w:footnotePr>
            <w:pos w:val="pageBottom"/>
            <w:numFmt w:val="decimal"/>
            <w:numRestart w:val="continuous"/>
          </w:footnotePr>
          <w:pgSz w:w="11900" w:h="16840"/>
          <w:pgMar w:top="1345" w:right="1059" w:bottom="1460" w:left="1058" w:header="0" w:footer="3" w:gutter="0"/>
          <w:cols w:space="720"/>
          <w:noEndnote/>
          <w:rtlGutter w:val="0"/>
          <w:docGrid w:linePitch="360"/>
        </w:sectPr>
      </w:pPr>
    </w:p>
    <w:p>
      <w:pPr>
        <w:pStyle w:val="Style31"/>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color w:val="000000"/>
          <w:spacing w:val="0"/>
          <w:w w:val="100"/>
          <w:position w:val="0"/>
          <w:sz w:val="24"/>
          <w:szCs w:val="24"/>
        </w:rPr>
        <w:t>八</w:t>
      </w:r>
      <w:bookmarkEnd w:id="1270"/>
      <w:r>
        <w:rPr>
          <w:color w:val="000000"/>
          <w:spacing w:val="0"/>
          <w:w w:val="100"/>
          <w:position w:val="0"/>
          <w:sz w:val="24"/>
          <w:szCs w:val="24"/>
        </w:rPr>
        <w:t>、关联方及关联交易</w:t>
      </w:r>
      <w:bookmarkEnd w:id="1268"/>
      <w:bookmarkEnd w:id="1269"/>
      <w:bookmarkEnd w:id="1271"/>
    </w:p>
    <w:p>
      <w:pPr>
        <w:pStyle w:val="Style44"/>
        <w:keepNext/>
        <w:keepLines/>
        <w:widowControl w:val="0"/>
        <w:shd w:val="clear" w:color="auto" w:fill="auto"/>
        <w:bidi w:val="0"/>
        <w:spacing w:before="0" w:after="320" w:line="240" w:lineRule="auto"/>
        <w:ind w:left="0" w:right="0" w:firstLine="42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color w:val="000000"/>
          <w:spacing w:val="0"/>
          <w:w w:val="100"/>
          <w:position w:val="0"/>
        </w:rPr>
        <w:t>、本企业的母公司情况</w:t>
      </w:r>
      <w:bookmarkEnd w:id="1272"/>
      <w:bookmarkEnd w:id="1273"/>
      <w:bookmarkEnd w:id="1275"/>
    </w:p>
    <w:tbl>
      <w:tblPr>
        <w:tblOverlap w:val="never"/>
        <w:jc w:val="center"/>
        <w:tblLayout w:type="fixed"/>
      </w:tblPr>
      <w:tblGrid>
        <w:gridCol w:w="1282"/>
        <w:gridCol w:w="854"/>
        <w:gridCol w:w="850"/>
        <w:gridCol w:w="1843"/>
        <w:gridCol w:w="1133"/>
        <w:gridCol w:w="1133"/>
        <w:gridCol w:w="1416"/>
        <w:gridCol w:w="1560"/>
        <w:gridCol w:w="1560"/>
        <w:gridCol w:w="1416"/>
        <w:gridCol w:w="100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持股比例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rPr>
              <w:t>母公司对本企业的 表决权比例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本企业最终控制 方</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组织机构代</w:t>
            </w:r>
          </w:p>
          <w:p>
            <w:pPr>
              <w:pStyle w:val="Style28"/>
              <w:keepNext w:val="0"/>
              <w:keepLines w:val="0"/>
              <w:widowControl w:val="0"/>
              <w:shd w:val="clear" w:color="auto" w:fill="auto"/>
              <w:bidi w:val="0"/>
              <w:spacing w:before="0" w:after="0" w:line="240" w:lineRule="auto"/>
              <w:ind w:left="0" w:right="400" w:firstLine="0"/>
              <w:jc w:val="right"/>
            </w:pPr>
            <w:r>
              <w:rPr>
                <w:rFonts w:ascii="SimSun" w:eastAsia="SimSun" w:hAnsi="SimSun" w:cs="SimSun"/>
                <w:color w:val="000000"/>
                <w:spacing w:val="0"/>
                <w:w w:val="100"/>
                <w:position w:val="0"/>
              </w:rPr>
              <w:t>码</w:t>
            </w:r>
          </w:p>
        </w:tc>
      </w:tr>
      <w:tr>
        <w:trPr>
          <w:trHeight w:val="7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100" w:line="240" w:lineRule="auto"/>
              <w:ind w:left="0" w:right="0" w:firstLine="0"/>
              <w:jc w:val="left"/>
            </w:pPr>
            <w:r>
              <w:rPr>
                <w:rFonts w:ascii="SimSun" w:eastAsia="SimSun" w:hAnsi="SimSun" w:cs="SimSun"/>
                <w:color w:val="000000"/>
                <w:spacing w:val="0"/>
                <w:w w:val="100"/>
                <w:position w:val="0"/>
              </w:rPr>
              <w:t>广州无线电集</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国有独资 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80" w:line="240" w:lineRule="auto"/>
              <w:ind w:left="0" w:right="0" w:firstLine="0"/>
              <w:jc w:val="left"/>
            </w:pPr>
            <w:r>
              <w:rPr>
                <w:rFonts w:ascii="SimSun" w:eastAsia="SimSun" w:hAnsi="SimSun" w:cs="SimSun"/>
                <w:color w:val="000000"/>
                <w:spacing w:val="0"/>
                <w:w w:val="100"/>
                <w:position w:val="0"/>
              </w:rPr>
              <w:t>广州市天河区黄埔大</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道西平云路</w:t>
            </w:r>
            <w:r>
              <w:rPr>
                <w:color w:val="000000"/>
                <w:spacing w:val="0"/>
                <w:w w:val="100"/>
                <w:position w:val="0"/>
              </w:rPr>
              <w:t>163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广州市国资委</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231216220</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color w:val="000000"/>
          <w:spacing w:val="0"/>
          <w:w w:val="100"/>
          <w:position w:val="0"/>
        </w:rPr>
        <w:t>、本企业的子公司情况</w:t>
      </w:r>
      <w:bookmarkEnd w:id="1276"/>
      <w:bookmarkEnd w:id="1277"/>
      <w:bookmarkEnd w:id="1279"/>
    </w:p>
    <w:tbl>
      <w:tblPr>
        <w:tblOverlap w:val="never"/>
        <w:jc w:val="center"/>
        <w:tblLayout w:type="fixed"/>
      </w:tblPr>
      <w:tblGrid>
        <w:gridCol w:w="2702"/>
        <w:gridCol w:w="1982"/>
        <w:gridCol w:w="1277"/>
        <w:gridCol w:w="850"/>
        <w:gridCol w:w="1277"/>
        <w:gridCol w:w="1982"/>
        <w:gridCol w:w="1416"/>
        <w:gridCol w:w="710"/>
        <w:gridCol w:w="710"/>
        <w:gridCol w:w="1142"/>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子公司全称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子公司类型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both"/>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组织机构代</w:t>
            </w:r>
          </w:p>
          <w:p>
            <w:pPr>
              <w:pStyle w:val="Style28"/>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码</w:t>
            </w: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深圳广电银通金融电子科技有限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服务营运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755664630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赵友永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清分处理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683277112</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GRG Banking Equipment (HK)</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Co.,Limited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投资控股及</w:t>
            </w:r>
            <w:r>
              <w:rPr>
                <w:color w:val="000000"/>
                <w:spacing w:val="0"/>
                <w:w w:val="100"/>
                <w:position w:val="0"/>
              </w:rPr>
              <w:t>ATM</w:t>
            </w: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3,000,000.00 </w:t>
            </w: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广州支点创业投资有限公司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创业投资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57804513-3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清分机生产及销售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05890371-2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06816096-7</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08273098-9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深圳鹏通金融服务有限公司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子公司的控股子公司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清分处理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56572417-X</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江苏保通金融外包服务有限公司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南京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清分处理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56294967-2</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石家庄市银通金融服务有限公司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子公司的控股子公司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石家庄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陈振光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清分处理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57280040-9</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广州广电银通金融电子科技有限</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全资子公司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有限责任公司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叶子瑜</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服务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58762288-7</w:t>
            </w:r>
          </w:p>
        </w:tc>
      </w:tr>
    </w:tbl>
    <w:p>
      <w:pPr>
        <w:spacing w:lineRule="exact" w:line="1"/>
        <w:rPr>
          <w:sz w:val="2"/>
          <w:szCs w:val="2"/>
        </w:rPr>
      </w:pPr>
      <w:r>
        <w:br w:type="page"/>
      </w:r>
    </w:p>
    <w:tbl>
      <w:tblPr>
        <w:tblOverlap w:val="never"/>
        <w:jc w:val="center"/>
        <w:tblLayout w:type="fixed"/>
      </w:tblPr>
      <w:tblGrid>
        <w:gridCol w:w="2702"/>
        <w:gridCol w:w="1982"/>
        <w:gridCol w:w="1277"/>
        <w:gridCol w:w="850"/>
        <w:gridCol w:w="1277"/>
        <w:gridCol w:w="1982"/>
        <w:gridCol w:w="1416"/>
        <w:gridCol w:w="710"/>
        <w:gridCol w:w="710"/>
        <w:gridCol w:w="1142"/>
      </w:tblGrid>
      <w:tr>
        <w:trPr>
          <w:trHeight w:val="3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上海欣辰通金融电子科技有限公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一人有限责任 公司</w:t>
            </w:r>
            <w:r>
              <w:rPr>
                <w:color w:val="000000"/>
                <w:spacing w:val="0"/>
                <w:w w:val="100"/>
                <w:position w:val="0"/>
              </w:rPr>
              <w:t>(</w:t>
            </w:r>
            <w:r>
              <w:rPr>
                <w:rFonts w:ascii="SimSun" w:eastAsia="SimSun" w:hAnsi="SimSun" w:cs="SimSun"/>
                <w:color w:val="000000"/>
                <w:spacing w:val="0"/>
                <w:w w:val="100"/>
                <w:position w:val="0"/>
              </w:rPr>
              <w:t>法人独资</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59167525-2</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宜昌宜通金融服务有限公司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子公司的控股子公司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有限责任公司</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法人独资</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宜昌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陈建良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07546584-9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投资控股及环保处理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279,400,000.00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78890328</w:t>
            </w:r>
            <w:r>
              <w:rPr>
                <w:rFonts w:ascii="SimSun" w:eastAsia="SimSun" w:hAnsi="SimSun" w:cs="SimSun"/>
                <w:color w:val="000000"/>
                <w:spacing w:val="0"/>
                <w:w w:val="100"/>
                <w:position w:val="0"/>
              </w:rPr>
              <w:t>-</w:t>
            </w:r>
            <w:r>
              <w:rPr>
                <w:color w:val="000000"/>
                <w:spacing w:val="0"/>
                <w:w w:val="100"/>
                <w:position w:val="0"/>
              </w:rPr>
              <w:t>X</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赣州中联环保科技开发有限公司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控股子公司的全资子公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其他房地产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672441837</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赣州龙源环保产业经营管理有限 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控股子公司的全资子公 司的全资子公司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68853266-1</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赣州中联电镀原料配送经营服务 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控股子公司的全资子公 司的全资子公司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赣州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叶子瑜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69373829-3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Hongkong Mexico, S.A. DE</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墨西哥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李叶东</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300,000.00 </w:t>
            </w:r>
            <w:r>
              <w:rPr>
                <w:rFonts w:ascii="SimSun" w:eastAsia="SimSun" w:hAnsi="SimSun" w:cs="SimSun"/>
                <w:color w:val="000000"/>
                <w:spacing w:val="0"/>
                <w:w w:val="100"/>
                <w:position w:val="0"/>
              </w:rPr>
              <w:t>比索</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Global ATM Parts Co.,Limited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卢丹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20,000.00 </w:t>
            </w: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 Turkiye Bankacilik</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Ekipmanlari Ltd</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土耳其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Hakan Soylu</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20,000.00 </w:t>
            </w:r>
            <w:r>
              <w:rPr>
                <w:rFonts w:ascii="SimSun" w:eastAsia="SimSun" w:hAnsi="SimSun" w:cs="SimSun"/>
                <w:color w:val="000000"/>
                <w:spacing w:val="0"/>
                <w:w w:val="100"/>
                <w:position w:val="0"/>
              </w:rPr>
              <w:t>里拉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GRG Banking Equipment (HK)</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Europe</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立陶宛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Pranas</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Griskevicius</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 xml:space="preserve">10,000.00 </w:t>
            </w:r>
            <w:r>
              <w:rPr>
                <w:rFonts w:ascii="SimSun" w:eastAsia="SimSun" w:hAnsi="SimSun" w:cs="SimSun"/>
                <w:color w:val="000000"/>
                <w:spacing w:val="0"/>
                <w:w w:val="100"/>
                <w:position w:val="0"/>
              </w:rPr>
              <w:t>立特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GRG Deutschland GmbH</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子公司的全资子公司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有限责任公司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德国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Hendrik Eckholt</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both"/>
            </w:pPr>
            <w:r>
              <w:rPr>
                <w:color w:val="000000"/>
                <w:spacing w:val="0"/>
                <w:w w:val="100"/>
                <w:position w:val="0"/>
              </w:rPr>
              <w:t>ATM</w:t>
            </w:r>
            <w:r>
              <w:rPr>
                <w:rFonts w:ascii="SimSun" w:eastAsia="SimSun" w:hAnsi="SimSun" w:cs="SimSun"/>
                <w:color w:val="000000"/>
                <w:spacing w:val="0"/>
                <w:w w:val="100"/>
                <w:position w:val="0"/>
              </w:rPr>
              <w:t>销售及维修服务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60"/>
              <w:jc w:val="both"/>
            </w:pPr>
            <w:r>
              <w:rPr>
                <w:color w:val="000000"/>
                <w:spacing w:val="0"/>
                <w:w w:val="100"/>
                <w:position w:val="0"/>
              </w:rPr>
              <w:t xml:space="preserve">50,000.00 </w:t>
            </w:r>
            <w:r>
              <w:rPr>
                <w:rFonts w:ascii="SimSun" w:eastAsia="SimSun" w:hAnsi="SimSun" w:cs="SimSun"/>
                <w:color w:val="000000"/>
                <w:spacing w:val="0"/>
                <w:w w:val="100"/>
                <w:position w:val="0"/>
              </w:rPr>
              <w:t>欧元</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220"/>
              <w:jc w:val="both"/>
            </w:pPr>
            <w:r>
              <w:rPr>
                <w:color w:val="000000"/>
                <w:spacing w:val="0"/>
                <w:w w:val="100"/>
                <w:position w:val="0"/>
              </w:rPr>
              <w:t>100%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color w:val="000000"/>
          <w:spacing w:val="0"/>
          <w:w w:val="100"/>
          <w:position w:val="0"/>
        </w:rPr>
        <w:t>、本企业的合营和联营企业情况</w:t>
      </w:r>
      <w:bookmarkEnd w:id="1280"/>
      <w:bookmarkEnd w:id="1281"/>
      <w:bookmarkEnd w:id="1283"/>
    </w:p>
    <w:tbl>
      <w:tblPr>
        <w:tblOverlap w:val="never"/>
        <w:jc w:val="center"/>
        <w:tblLayout w:type="fixed"/>
      </w:tblPr>
      <w:tblGrid>
        <w:gridCol w:w="1565"/>
        <w:gridCol w:w="2270"/>
        <w:gridCol w:w="850"/>
        <w:gridCol w:w="1277"/>
        <w:gridCol w:w="1982"/>
        <w:gridCol w:w="1421"/>
        <w:gridCol w:w="1133"/>
        <w:gridCol w:w="1277"/>
        <w:gridCol w:w="850"/>
        <w:gridCol w:w="1426"/>
      </w:tblGrid>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本企业在被投 资单位表决权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1565"/>
        <w:gridCol w:w="2270"/>
        <w:gridCol w:w="850"/>
        <w:gridCol w:w="1277"/>
        <w:gridCol w:w="1982"/>
        <w:gridCol w:w="1421"/>
        <w:gridCol w:w="1133"/>
        <w:gridCol w:w="1277"/>
        <w:gridCol w:w="850"/>
        <w:gridCol w:w="1426"/>
      </w:tblGrid>
      <w:tr>
        <w:trPr>
          <w:trHeight w:val="74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广州市广百小额贷 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荀振英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小额贷款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07651515 </w:t>
            </w:r>
            <w:r>
              <w:rPr>
                <w:rFonts w:ascii="SimSun" w:eastAsia="SimSun" w:hAnsi="SimSun" w:cs="SimSun"/>
                <w:color w:val="000000"/>
                <w:spacing w:val="0"/>
                <w:w w:val="100"/>
                <w:position w:val="0"/>
              </w:rPr>
              <w:t xml:space="preserve">— </w:t>
            </w:r>
            <w:r>
              <w:rPr>
                <w:color w:val="000000"/>
                <w:spacing w:val="0"/>
                <w:w w:val="100"/>
                <w:position w:val="0"/>
              </w:rPr>
              <w:t>8</w:t>
            </w:r>
          </w:p>
        </w:tc>
      </w:tr>
      <w:tr>
        <w:trPr>
          <w:trHeight w:val="7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云南云通金融外包 服务有限公司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非自然人出资有限责任公司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昆明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黄建琴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服务、清分、银行 外包服务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59933614</w:t>
            </w:r>
            <w:r>
              <w:rPr>
                <w:rFonts w:ascii="SimSun" w:eastAsia="SimSun" w:hAnsi="SimSun" w:cs="SimSun"/>
                <w:color w:val="000000"/>
                <w:spacing w:val="0"/>
                <w:w w:val="100"/>
                <w:position w:val="0"/>
              </w:rPr>
              <w:t>-</w:t>
            </w:r>
            <w:r>
              <w:rPr>
                <w:color w:val="000000"/>
                <w:spacing w:val="0"/>
                <w:w w:val="100"/>
                <w:position w:val="0"/>
              </w:rPr>
              <w:t>0</w:t>
            </w:r>
          </w:p>
        </w:tc>
      </w:tr>
    </w:tbl>
    <w:p>
      <w:pPr>
        <w:sectPr>
          <w:headerReference w:type="default" r:id="rId31"/>
          <w:footerReference w:type="default" r:id="rId32"/>
          <w:footnotePr>
            <w:pos w:val="pageBottom"/>
            <w:numFmt w:val="decimal"/>
            <w:numRestart w:val="continuous"/>
          </w:footnotePr>
          <w:pgSz w:w="16840" w:h="11900" w:orient="landscape"/>
          <w:pgMar w:top="1134" w:right="1359" w:bottom="1387" w:left="1431" w:header="0" w:footer="3" w:gutter="0"/>
          <w:cols w:space="720"/>
          <w:noEndnote/>
          <w:rtlGutter w:val="0"/>
          <w:docGrid w:linePitch="360"/>
        </w:sectPr>
      </w:pPr>
    </w:p>
    <w:p>
      <w:pPr>
        <w:pStyle w:val="Style44"/>
        <w:keepNext/>
        <w:keepLines/>
        <w:widowControl w:val="0"/>
        <w:shd w:val="clear" w:color="auto" w:fill="auto"/>
        <w:bidi w:val="0"/>
        <w:spacing w:before="100" w:after="320" w:line="240" w:lineRule="auto"/>
        <w:ind w:left="0" w:right="0" w:firstLine="44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4</w:t>
      </w:r>
      <w:bookmarkEnd w:id="1286"/>
      <w:r>
        <w:rPr>
          <w:color w:val="000000"/>
          <w:spacing w:val="0"/>
          <w:w w:val="100"/>
          <w:position w:val="0"/>
        </w:rPr>
        <w:t>、本企业的其他关联方情况</w:t>
      </w:r>
      <w:bookmarkEnd w:id="1284"/>
      <w:bookmarkEnd w:id="1285"/>
      <w:bookmarkEnd w:id="1287"/>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广州海格机械有限公司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同一最终母公司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724308131</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广州鑫广电物业服务有限公司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同一最终母公司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781223943</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同一最终母公司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708242750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同一最终母公司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724308182</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同一最终母公司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739703118</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4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5</w:t>
      </w:r>
      <w:bookmarkEnd w:id="1290"/>
      <w:r>
        <w:rPr>
          <w:color w:val="000000"/>
          <w:spacing w:val="0"/>
          <w:w w:val="100"/>
          <w:position w:val="0"/>
        </w:rPr>
        <w:t>、关联方交易</w:t>
      </w:r>
      <w:bookmarkEnd w:id="1288"/>
      <w:bookmarkEnd w:id="1289"/>
      <w:bookmarkEnd w:id="1291"/>
    </w:p>
    <w:p>
      <w:pPr>
        <w:pStyle w:val="Style44"/>
        <w:keepNext/>
        <w:keepLines/>
        <w:widowControl w:val="0"/>
        <w:shd w:val="clear" w:color="auto" w:fill="auto"/>
        <w:bidi w:val="0"/>
        <w:spacing w:before="0" w:after="380" w:line="240" w:lineRule="auto"/>
        <w:ind w:left="0" w:right="0" w:firstLine="440"/>
        <w:jc w:val="both"/>
      </w:pPr>
      <w:bookmarkStart w:id="1288" w:name="bookmark1288"/>
      <w:bookmarkStart w:id="1289" w:name="bookmark1289"/>
      <w:bookmarkStart w:id="1292" w:name="bookmark1292"/>
      <w:r>
        <w:rPr>
          <w:color w:val="000000"/>
          <w:spacing w:val="0"/>
          <w:w w:val="100"/>
          <w:position w:val="0"/>
        </w:rPr>
        <w:t>(1)采购商品、接受劳务情况表</w:t>
      </w:r>
      <w:bookmarkEnd w:id="1288"/>
      <w:bookmarkEnd w:id="1289"/>
      <w:bookmarkEnd w:id="1292"/>
    </w:p>
    <w:p>
      <w:pPr>
        <w:pStyle w:val="Style33"/>
        <w:keepNext w:val="0"/>
        <w:keepLines w:val="0"/>
        <w:widowControl w:val="0"/>
        <w:shd w:val="clear" w:color="auto" w:fill="auto"/>
        <w:bidi w:val="0"/>
        <w:spacing w:before="0" w:after="0" w:line="240" w:lineRule="auto"/>
        <w:ind w:left="8635" w:right="0" w:firstLine="0"/>
        <w:jc w:val="left"/>
      </w:pPr>
      <w:r>
        <w:rPr>
          <w:color w:val="000000"/>
          <w:spacing w:val="0"/>
          <w:w w:val="100"/>
          <w:position w:val="0"/>
        </w:rPr>
        <w:t>单位：元</w:t>
      </w:r>
    </w:p>
    <w:tbl>
      <w:tblPr>
        <w:tblOverlap w:val="never"/>
        <w:jc w:val="center"/>
        <w:tblLayout w:type="fixed"/>
      </w:tblPr>
      <w:tblGrid>
        <w:gridCol w:w="2837"/>
        <w:gridCol w:w="1277"/>
        <w:gridCol w:w="998"/>
        <w:gridCol w:w="1411"/>
        <w:gridCol w:w="845"/>
        <w:gridCol w:w="1282"/>
        <w:gridCol w:w="931"/>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关联交易定 价方式及决 策程序</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占同类交 易金额的 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占同类交 易金额的 比例(</w:t>
            </w:r>
            <w:r>
              <w:rPr>
                <w:color w:val="000000"/>
                <w:spacing w:val="0"/>
                <w:w w:val="100"/>
                <w:position w:val="0"/>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广州海格机械有限公司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材料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35,691,395.58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36,039,356.62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广州海格通信集团股份有限公司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计量检测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7,547.17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21,320.75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广州广电计量检测股份有限公司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计量检测</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83,841.32</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151,089.00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40"/>
        <w:jc w:val="both"/>
      </w:pPr>
      <w:bookmarkStart w:id="1293" w:name="bookmark1293"/>
      <w:bookmarkStart w:id="1294" w:name="bookmark1294"/>
      <w:bookmarkStart w:id="1295" w:name="bookmark1295"/>
      <w:r>
        <w:rPr>
          <w:color w:val="000000"/>
          <w:spacing w:val="0"/>
          <w:w w:val="100"/>
          <w:position w:val="0"/>
        </w:rPr>
        <w:t>(2)关联租赁情况</w:t>
      </w:r>
      <w:bookmarkEnd w:id="1293"/>
      <w:bookmarkEnd w:id="1294"/>
      <w:bookmarkEnd w:id="1295"/>
    </w:p>
    <w:p>
      <w:pPr>
        <w:pStyle w:val="Style54"/>
        <w:keepNext w:val="0"/>
        <w:keepLines w:val="0"/>
        <w:widowControl w:val="0"/>
        <w:shd w:val="clear" w:color="auto" w:fill="auto"/>
        <w:bidi w:val="0"/>
        <w:spacing w:before="0" w:after="100" w:line="240" w:lineRule="auto"/>
        <w:ind w:left="0" w:right="0" w:firstLine="440"/>
        <w:jc w:val="both"/>
      </w:pPr>
      <w:r>
        <w:rPr>
          <w:b w:val="0"/>
          <w:bCs w:val="0"/>
          <w:color w:val="000000"/>
          <w:spacing w:val="0"/>
          <w:w w:val="100"/>
          <w:position w:val="0"/>
        </w:rPr>
        <w:t>公司承租情况表</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838"/>
        <w:gridCol w:w="994"/>
        <w:gridCol w:w="1560"/>
        <w:gridCol w:w="1560"/>
        <w:gridCol w:w="994"/>
        <w:gridCol w:w="107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租赁资产种 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租赁费定价 依据</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本报告期确</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认的租赁费</w:t>
            </w: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广州无线电集团有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深圳广电银通金融电</w:t>
            </w:r>
          </w:p>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865,677.75</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广州无线电集团有 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广州穗通金融服务有 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573,645.21</w:t>
            </w:r>
          </w:p>
        </w:tc>
      </w:tr>
      <w:tr>
        <w:trPr>
          <w:trHeight w:val="72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广州无线电集团有 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广州广电银通金融电 子科技有限公司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通讯大楼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市场价格</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1,006,097.75</w:t>
            </w:r>
          </w:p>
        </w:tc>
      </w:tr>
    </w:tbl>
    <w:p>
      <w:pPr>
        <w:widowControl w:val="0"/>
        <w:spacing w:after="99" w:line="1" w:lineRule="exact"/>
      </w:pPr>
    </w:p>
    <w:p>
      <w:pPr>
        <w:pStyle w:val="Style54"/>
        <w:keepNext w:val="0"/>
        <w:keepLines w:val="0"/>
        <w:widowControl w:val="0"/>
        <w:shd w:val="clear" w:color="auto" w:fill="auto"/>
        <w:bidi w:val="0"/>
        <w:spacing w:before="0" w:after="0" w:line="240" w:lineRule="auto"/>
        <w:ind w:left="0" w:right="0" w:firstLine="440"/>
        <w:jc w:val="both"/>
      </w:pPr>
      <w:r>
        <w:rPr>
          <w:b w:val="0"/>
          <w:bCs w:val="0"/>
          <w:color w:val="000000"/>
          <w:spacing w:val="0"/>
          <w:w w:val="100"/>
          <w:position w:val="0"/>
        </w:rPr>
        <w:t>关联租赁情况说明</w:t>
      </w:r>
    </w:p>
    <w:p>
      <w:pPr>
        <w:pStyle w:val="Style54"/>
        <w:keepNext w:val="0"/>
        <w:keepLines w:val="0"/>
        <w:widowControl w:val="0"/>
        <w:shd w:val="clear" w:color="auto" w:fill="auto"/>
        <w:bidi w:val="0"/>
        <w:spacing w:before="0" w:after="80" w:line="389" w:lineRule="exact"/>
        <w:ind w:left="0" w:right="0" w:firstLine="440"/>
        <w:jc w:val="both"/>
      </w:pPr>
      <w:r>
        <w:rPr>
          <w:b w:val="0"/>
          <w:bCs w:val="0"/>
          <w:color w:val="000000"/>
          <w:spacing w:val="0"/>
          <w:w w:val="100"/>
          <w:position w:val="0"/>
        </w:rPr>
        <w:t>①本公司的全资子公司深圳广电银通金融电子科技有限公司于2011年7月19日与广州无线电集团有限 公司签订编号为</w:t>
      </w:r>
      <w:r>
        <w:rPr>
          <w:b w:val="0"/>
          <w:bCs w:val="0"/>
          <w:color w:val="000000"/>
          <w:spacing w:val="0"/>
          <w:w w:val="100"/>
          <w:position w:val="0"/>
        </w:rPr>
        <w:t>ZL2011008</w:t>
      </w:r>
      <w:r>
        <w:rPr>
          <w:b w:val="0"/>
          <w:bCs w:val="0"/>
          <w:color w:val="000000"/>
          <w:spacing w:val="0"/>
          <w:w w:val="100"/>
          <w:position w:val="0"/>
        </w:rPr>
        <w:t>的《房屋租赁合同》，租用广州无线电集团有限公司拥有的坐落在广州市天河 区黄埔大道西平云路163号的房屋、场地，租赁期限从2011年8月1日至2012年7月31日。其中租用通讯大楼 六层东部，房地产建筑面积</w:t>
      </w:r>
      <w:r>
        <w:rPr>
          <w:b w:val="0"/>
          <w:bCs w:val="0"/>
          <w:color w:val="000000"/>
          <w:spacing w:val="0"/>
          <w:w w:val="100"/>
          <w:position w:val="0"/>
        </w:rPr>
        <w:t>950.00</w:t>
      </w:r>
      <w:r>
        <w:rPr>
          <w:b w:val="0"/>
          <w:bCs w:val="0"/>
          <w:color w:val="000000"/>
          <w:spacing w:val="0"/>
          <w:w w:val="100"/>
          <w:position w:val="0"/>
        </w:rPr>
        <w:t>平方米；租用通讯大楼六层中部，房地产建筑面积</w:t>
      </w:r>
      <w:r>
        <w:rPr>
          <w:b w:val="0"/>
          <w:bCs w:val="0"/>
          <w:color w:val="000000"/>
          <w:spacing w:val="0"/>
          <w:w w:val="100"/>
          <w:position w:val="0"/>
        </w:rPr>
        <w:t>1,120.16</w:t>
      </w:r>
      <w:r>
        <w:rPr>
          <w:b w:val="0"/>
          <w:bCs w:val="0"/>
          <w:color w:val="000000"/>
          <w:spacing w:val="0"/>
          <w:w w:val="100"/>
          <w:position w:val="0"/>
        </w:rPr>
        <w:t xml:space="preserve">平方米；租 </w:t>
      </w:r>
      <w:r>
        <w:rPr>
          <w:b w:val="0"/>
          <w:bCs w:val="0"/>
          <w:color w:val="000000"/>
          <w:spacing w:val="0"/>
          <w:w w:val="100"/>
          <w:position w:val="0"/>
        </w:rPr>
        <w:t>用通讯大楼七层西部，房地产建筑面积</w:t>
      </w:r>
      <w:r>
        <w:rPr>
          <w:b w:val="0"/>
          <w:bCs w:val="0"/>
          <w:color w:val="000000"/>
          <w:spacing w:val="0"/>
          <w:w w:val="100"/>
          <w:position w:val="0"/>
        </w:rPr>
        <w:t>1,361.12</w:t>
      </w:r>
      <w:r>
        <w:rPr>
          <w:b w:val="0"/>
          <w:bCs w:val="0"/>
          <w:color w:val="000000"/>
          <w:spacing w:val="0"/>
          <w:w w:val="100"/>
          <w:position w:val="0"/>
        </w:rPr>
        <w:t>平方米；租用通讯大楼七层中部，房地产建筑面积</w:t>
      </w:r>
      <w:r>
        <w:rPr>
          <w:b w:val="0"/>
          <w:bCs w:val="0"/>
          <w:color w:val="000000"/>
          <w:spacing w:val="0"/>
          <w:w w:val="100"/>
          <w:position w:val="0"/>
        </w:rPr>
        <w:t xml:space="preserve">420.11 </w:t>
      </w:r>
      <w:r>
        <w:rPr>
          <w:b w:val="0"/>
          <w:bCs w:val="0"/>
          <w:color w:val="000000"/>
          <w:spacing w:val="0"/>
          <w:w w:val="100"/>
          <w:position w:val="0"/>
        </w:rPr>
        <w:t>平方米；上述房产按单价15元/平方米/月计算月租金。深圳广电银通金融电子科技有限公司于2012年7月 30日与广州无线电集团有限公司签订编号为</w:t>
      </w:r>
      <w:r>
        <w:rPr>
          <w:b w:val="0"/>
          <w:bCs w:val="0"/>
          <w:color w:val="000000"/>
          <w:spacing w:val="0"/>
          <w:w w:val="100"/>
          <w:position w:val="0"/>
        </w:rPr>
        <w:t>ZL2012012</w:t>
      </w:r>
      <w:r>
        <w:rPr>
          <w:b w:val="0"/>
          <w:bCs w:val="0"/>
          <w:color w:val="000000"/>
          <w:spacing w:val="0"/>
          <w:w w:val="100"/>
          <w:position w:val="0"/>
        </w:rPr>
        <w:t>的《房屋租赁合同》，租用广州无线电集团有限公 司拥有的坐落在广州市天河区黄埔大道西平云路163号的房屋、场地，租赁期限从2012年8月1日至2015年7 月31日。其中租用通讯大楼七层中部，房地产建筑面积</w:t>
      </w:r>
      <w:r>
        <w:rPr>
          <w:b w:val="0"/>
          <w:bCs w:val="0"/>
          <w:color w:val="000000"/>
          <w:spacing w:val="0"/>
          <w:w w:val="100"/>
          <w:position w:val="0"/>
        </w:rPr>
        <w:t>420.11</w:t>
      </w:r>
      <w:r>
        <w:rPr>
          <w:b w:val="0"/>
          <w:bCs w:val="0"/>
          <w:color w:val="000000"/>
          <w:spacing w:val="0"/>
          <w:w w:val="100"/>
          <w:position w:val="0"/>
        </w:rPr>
        <w:t>平方米；租用通讯大楼七层西部，房地产建 筑面积</w:t>
      </w:r>
      <w:r>
        <w:rPr>
          <w:b w:val="0"/>
          <w:bCs w:val="0"/>
          <w:color w:val="000000"/>
          <w:spacing w:val="0"/>
          <w:w w:val="100"/>
          <w:position w:val="0"/>
        </w:rPr>
        <w:t>1,361.12</w:t>
      </w:r>
      <w:r>
        <w:rPr>
          <w:b w:val="0"/>
          <w:bCs w:val="0"/>
          <w:color w:val="000000"/>
          <w:spacing w:val="0"/>
          <w:w w:val="100"/>
          <w:position w:val="0"/>
        </w:rPr>
        <w:t>平方米。上述房产在租赁第一年按单价40元/平方米/月计算月租金，从第二年起月租金每 年递增3%，即</w:t>
      </w:r>
    </w:p>
    <w:tbl>
      <w:tblPr>
        <w:tblOverlap w:val="never"/>
        <w:jc w:val="center"/>
        <w:tblLayout w:type="fixed"/>
      </w:tblPr>
      <w:tblGrid>
        <w:gridCol w:w="3643"/>
        <w:gridCol w:w="3638"/>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月租金总额</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2012年8月1日至2013年7月31日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71,249.20</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2013年8月1日至2014年7月31日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73,386.68</w:t>
            </w:r>
          </w:p>
        </w:tc>
      </w:tr>
      <w:tr>
        <w:trPr>
          <w:trHeight w:val="4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2014年8月1日至2015年7月31日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75,588.28</w:t>
            </w:r>
          </w:p>
        </w:tc>
      </w:tr>
    </w:tbl>
    <w:p>
      <w:pPr>
        <w:pStyle w:val="Style54"/>
        <w:keepNext w:val="0"/>
        <w:keepLines w:val="0"/>
        <w:widowControl w:val="0"/>
        <w:shd w:val="clear" w:color="auto" w:fill="auto"/>
        <w:bidi w:val="0"/>
        <w:spacing w:before="0" w:after="80" w:line="389" w:lineRule="exact"/>
        <w:ind w:left="0" w:right="0" w:firstLine="440"/>
        <w:jc w:val="both"/>
      </w:pPr>
      <w:r>
        <w:rPr>
          <w:b w:val="0"/>
          <w:bCs w:val="0"/>
          <w:color w:val="000000"/>
          <w:spacing w:val="0"/>
          <w:w w:val="100"/>
          <w:position w:val="0"/>
        </w:rPr>
        <w:t>②本公司的控股子公司广州穗通金融服务有限公司于2011年7月20日与广州无线电集团有限公司签订 编号为</w:t>
      </w:r>
      <w:r>
        <w:rPr>
          <w:b w:val="0"/>
          <w:bCs w:val="0"/>
          <w:color w:val="000000"/>
          <w:spacing w:val="0"/>
          <w:w w:val="100"/>
          <w:position w:val="0"/>
        </w:rPr>
        <w:t>ZL2011012</w:t>
      </w:r>
      <w:r>
        <w:rPr>
          <w:b w:val="0"/>
          <w:bCs w:val="0"/>
          <w:color w:val="000000"/>
          <w:spacing w:val="0"/>
          <w:w w:val="100"/>
          <w:position w:val="0"/>
        </w:rPr>
        <w:t>的《房屋租赁合同》，租用广州无线电集团有限公司拥有的坐落在广州市天河区黄埔大 道西平云路163号的房屋、场地，租赁期限从2011年8月1日至2012年7月31日。其中租用通讯大楼七层东部， 房地产建筑面积</w:t>
      </w:r>
      <w:r>
        <w:rPr>
          <w:b w:val="0"/>
          <w:bCs w:val="0"/>
          <w:color w:val="000000"/>
          <w:spacing w:val="0"/>
          <w:w w:val="100"/>
          <w:position w:val="0"/>
        </w:rPr>
        <w:t>1,180.34</w:t>
      </w:r>
      <w:r>
        <w:rPr>
          <w:b w:val="0"/>
          <w:bCs w:val="0"/>
          <w:color w:val="000000"/>
          <w:spacing w:val="0"/>
          <w:w w:val="100"/>
          <w:position w:val="0"/>
        </w:rPr>
        <w:t>平方米，按单价15元/平方米/月计算月租金。广州穗通金融服务有限公司于2012 年7月26日与广州无线电集团有限公司签订编号为</w:t>
      </w:r>
      <w:r>
        <w:rPr>
          <w:b w:val="0"/>
          <w:bCs w:val="0"/>
          <w:color w:val="000000"/>
          <w:spacing w:val="0"/>
          <w:w w:val="100"/>
          <w:position w:val="0"/>
        </w:rPr>
        <w:t>ZL2012008</w:t>
      </w:r>
      <w:r>
        <w:rPr>
          <w:b w:val="0"/>
          <w:bCs w:val="0"/>
          <w:color w:val="000000"/>
          <w:spacing w:val="0"/>
          <w:w w:val="100"/>
          <w:position w:val="0"/>
        </w:rPr>
        <w:t>的《房屋租赁合同》，租用广州无线电集团有 限公司拥有的坐落在广州市天河区黄埔大道西平云路163号的房屋、场地，租赁期限从2012年8月1日至2015 年7月31日。其中租用通讯大楼七层东部，房地产建筑面积</w:t>
      </w:r>
      <w:r>
        <w:rPr>
          <w:b w:val="0"/>
          <w:bCs w:val="0"/>
          <w:color w:val="000000"/>
          <w:spacing w:val="0"/>
          <w:w w:val="100"/>
          <w:position w:val="0"/>
        </w:rPr>
        <w:t>1,180.34</w:t>
      </w:r>
      <w:r>
        <w:rPr>
          <w:b w:val="0"/>
          <w:bCs w:val="0"/>
          <w:color w:val="000000"/>
          <w:spacing w:val="0"/>
          <w:w w:val="100"/>
          <w:position w:val="0"/>
        </w:rPr>
        <w:t>平方米。上述房产在租赁第一年按单 价40元/平方米/月计算月租金，从第二年起月租金每年递增3%,即</w:t>
      </w:r>
    </w:p>
    <w:tbl>
      <w:tblPr>
        <w:tblOverlap w:val="never"/>
        <w:jc w:val="center"/>
        <w:tblLayout w:type="fixed"/>
      </w:tblPr>
      <w:tblGrid>
        <w:gridCol w:w="3643"/>
        <w:gridCol w:w="3638"/>
      </w:tblGrid>
      <w:tr>
        <w:trPr>
          <w:trHeight w:val="43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月租金总额</w:t>
            </w:r>
          </w:p>
        </w:tc>
      </w:tr>
      <w:tr>
        <w:trPr>
          <w:trHeight w:val="4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2012年8月1日至2013年7月31日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47,213.60</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2013年8月1日至2014年7月31日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48,630.00</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2014年8月1日至2015年7月31日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50,088.91</w:t>
            </w:r>
          </w:p>
        </w:tc>
      </w:tr>
    </w:tbl>
    <w:p>
      <w:pPr>
        <w:pStyle w:val="Style54"/>
        <w:keepNext w:val="0"/>
        <w:keepLines w:val="0"/>
        <w:widowControl w:val="0"/>
        <w:numPr>
          <w:ilvl w:val="0"/>
          <w:numId w:val="99"/>
        </w:numPr>
        <w:shd w:val="clear" w:color="auto" w:fill="auto"/>
        <w:bidi w:val="0"/>
        <w:spacing w:before="0" w:after="80" w:line="390" w:lineRule="exact"/>
        <w:ind w:left="0" w:right="0" w:firstLine="440"/>
        <w:jc w:val="both"/>
      </w:pPr>
      <w:bookmarkStart w:id="1296" w:name="bookmark1296"/>
      <w:bookmarkEnd w:id="1296"/>
      <w:r>
        <w:rPr>
          <w:b w:val="0"/>
          <w:bCs w:val="0"/>
          <w:color w:val="000000"/>
          <w:spacing w:val="0"/>
          <w:w w:val="100"/>
          <w:position w:val="0"/>
        </w:rPr>
        <w:t>本公司的全资子公司广州广电银通金融电子科技有限公司于2012年7月20日与广州无线电集团有限 公司签订编号为</w:t>
      </w:r>
      <w:r>
        <w:rPr>
          <w:b w:val="0"/>
          <w:bCs w:val="0"/>
          <w:color w:val="000000"/>
          <w:spacing w:val="0"/>
          <w:w w:val="100"/>
          <w:position w:val="0"/>
        </w:rPr>
        <w:t>ZL2012009</w:t>
      </w:r>
      <w:r>
        <w:rPr>
          <w:b w:val="0"/>
          <w:bCs w:val="0"/>
          <w:color w:val="000000"/>
          <w:spacing w:val="0"/>
          <w:w w:val="100"/>
          <w:position w:val="0"/>
        </w:rPr>
        <w:t>的《房屋租赁合同》，租用广州无线电集团有限公司拥有的坐落在广州市天河 区黄埔大道西平云路163号的房屋、场地，租赁期限从2012年8月1日至2015年7月31日。其中租用通讯大楼 六层东部单元，房地产建筑面积</w:t>
      </w:r>
      <w:r>
        <w:rPr>
          <w:b w:val="0"/>
          <w:bCs w:val="0"/>
          <w:color w:val="000000"/>
          <w:spacing w:val="0"/>
          <w:w w:val="100"/>
          <w:position w:val="0"/>
        </w:rPr>
        <w:t>950.00</w:t>
      </w:r>
      <w:r>
        <w:rPr>
          <w:b w:val="0"/>
          <w:bCs w:val="0"/>
          <w:color w:val="000000"/>
          <w:spacing w:val="0"/>
          <w:w w:val="100"/>
          <w:position w:val="0"/>
        </w:rPr>
        <w:t>平方米、通讯大楼六层中部单元，房地产建筑面积</w:t>
      </w:r>
      <w:r>
        <w:rPr>
          <w:b w:val="0"/>
          <w:bCs w:val="0"/>
          <w:color w:val="000000"/>
          <w:spacing w:val="0"/>
          <w:w w:val="100"/>
          <w:position w:val="0"/>
        </w:rPr>
        <w:t>1,120.16</w:t>
      </w:r>
      <w:r>
        <w:rPr>
          <w:b w:val="0"/>
          <w:bCs w:val="0"/>
          <w:color w:val="000000"/>
          <w:spacing w:val="0"/>
          <w:w w:val="100"/>
          <w:position w:val="0"/>
        </w:rPr>
        <w:t>平方米。 上述房产在租赁第一年按单价40元/平方米/月计算月租金，从第二年起月租金每年递增3%，即</w:t>
      </w:r>
    </w:p>
    <w:tbl>
      <w:tblPr>
        <w:tblOverlap w:val="never"/>
        <w:jc w:val="center"/>
        <w:tblLayout w:type="fixed"/>
      </w:tblPr>
      <w:tblGrid>
        <w:gridCol w:w="3643"/>
        <w:gridCol w:w="3638"/>
      </w:tblGrid>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租赁期限</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月租金总额</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2012年8月1日至2013年7月31日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82,806.40</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2013年8月1日至2014年7月31日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85,290.59</w:t>
            </w:r>
          </w:p>
        </w:tc>
      </w:tr>
      <w:tr>
        <w:trPr>
          <w:trHeight w:val="43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2014年8月1日至2015年7月31日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both"/>
            </w:pPr>
            <w:r>
              <w:rPr>
                <w:rFonts w:ascii="SimSun" w:eastAsia="SimSun" w:hAnsi="SimSun" w:cs="SimSun"/>
                <w:color w:val="000000"/>
                <w:spacing w:val="0"/>
                <w:w w:val="100"/>
                <w:position w:val="0"/>
              </w:rPr>
              <w:t>87,849.31</w:t>
            </w:r>
          </w:p>
        </w:tc>
      </w:tr>
    </w:tbl>
    <w:p>
      <w:pPr>
        <w:pStyle w:val="Style33"/>
        <w:keepNext w:val="0"/>
        <w:keepLines w:val="0"/>
        <w:widowControl w:val="0"/>
        <w:shd w:val="clear" w:color="auto" w:fill="auto"/>
        <w:bidi w:val="0"/>
        <w:spacing w:before="0" w:after="0" w:line="240" w:lineRule="auto"/>
        <w:ind w:left="427" w:right="0" w:firstLine="0"/>
        <w:jc w:val="left"/>
        <w:rPr>
          <w:sz w:val="20"/>
          <w:szCs w:val="20"/>
        </w:rPr>
      </w:pPr>
      <w:r>
        <w:rPr>
          <w:b/>
          <w:bCs/>
          <w:color w:val="000000"/>
          <w:spacing w:val="0"/>
          <w:w w:val="100"/>
          <w:position w:val="0"/>
          <w:sz w:val="20"/>
          <w:szCs w:val="20"/>
        </w:rPr>
        <w:t>(3)关联担保情况</w:t>
      </w:r>
    </w:p>
    <w:tbl>
      <w:tblPr>
        <w:tblOverlap w:val="never"/>
        <w:jc w:val="center"/>
        <w:tblLayout w:type="fixed"/>
      </w:tblPr>
      <w:tblGrid>
        <w:gridCol w:w="1598"/>
        <w:gridCol w:w="1594"/>
        <w:gridCol w:w="1594"/>
        <w:gridCol w:w="1598"/>
        <w:gridCol w:w="1584"/>
        <w:gridCol w:w="1613"/>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担保是否已经履行 完毕</w:t>
            </w:r>
          </w:p>
        </w:tc>
      </w:tr>
      <w:tr>
        <w:trPr>
          <w:trHeight w:val="72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广州广电运通金融 电子股份有限公司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运通国际</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USD3,124,650.00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关联担保情况说明：对本公司财务没有重大影响。</w:t>
      </w:r>
    </w:p>
    <w:p>
      <w:pPr>
        <w:widowControl w:val="0"/>
        <w:spacing w:after="219" w:line="1" w:lineRule="exact"/>
      </w:pPr>
    </w:p>
    <w:p>
      <w:pPr>
        <w:pStyle w:val="Style44"/>
        <w:keepNext/>
        <w:keepLines/>
        <w:widowControl w:val="0"/>
        <w:numPr>
          <w:ilvl w:val="0"/>
          <w:numId w:val="101"/>
        </w:numPr>
        <w:shd w:val="clear" w:color="auto" w:fill="auto"/>
        <w:bidi w:val="0"/>
        <w:spacing w:before="0" w:after="280" w:line="390" w:lineRule="exact"/>
        <w:ind w:left="0" w:right="0" w:firstLine="440"/>
        <w:jc w:val="both"/>
      </w:pPr>
      <w:bookmarkStart w:id="1297" w:name="bookmark1297"/>
      <w:bookmarkStart w:id="1298" w:name="bookmark1298"/>
      <w:bookmarkStart w:id="1299" w:name="bookmark1299"/>
      <w:bookmarkStart w:id="1300" w:name="bookmark1300"/>
      <w:bookmarkEnd w:id="1299"/>
      <w:r>
        <w:rPr>
          <w:color w:val="000000"/>
          <w:spacing w:val="0"/>
          <w:w w:val="100"/>
          <w:position w:val="0"/>
        </w:rPr>
        <w:t>其他关联交易</w:t>
      </w:r>
      <w:bookmarkEnd w:id="1297"/>
      <w:bookmarkEnd w:id="1298"/>
      <w:bookmarkEnd w:id="1300"/>
    </w:p>
    <w:p>
      <w:pPr>
        <w:pStyle w:val="Style44"/>
        <w:keepNext/>
        <w:keepLines/>
        <w:widowControl w:val="0"/>
        <w:shd w:val="clear" w:color="auto" w:fill="auto"/>
        <w:bidi w:val="0"/>
        <w:spacing w:before="0" w:after="280" w:line="390" w:lineRule="exact"/>
        <w:ind w:left="0" w:right="0" w:firstLine="440"/>
        <w:jc w:val="both"/>
      </w:pPr>
      <w:bookmarkStart w:id="1297" w:name="bookmark1297"/>
      <w:bookmarkStart w:id="1298" w:name="bookmark1298"/>
      <w:bookmarkStart w:id="1301" w:name="bookmark1301"/>
      <w:r>
        <w:rPr>
          <w:color w:val="000000"/>
          <w:spacing w:val="0"/>
          <w:w w:val="100"/>
          <w:position w:val="0"/>
        </w:rPr>
        <w:t>①物业管理</w:t>
      </w:r>
      <w:bookmarkEnd w:id="1297"/>
      <w:bookmarkEnd w:id="1298"/>
      <w:bookmarkEnd w:id="1301"/>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2008年8月29日，本公司与广州广电物业管理有限公司签订《广州广电运通科学城产业园》物业管理 合同，将位于广州市萝岗区科学城科林路9号广电运通产业园的物业委托给广州广电物业管理有限公司进 行管理，每月固定费用，临时增加管理人员费用另计，每月按双方核定并认可的服务人员人数按实结算， 委托管理期限为一年。2009年9月28日，双方约定原合同延长至产业园整体完工。2010年3月310，双方继 续签订合同，委托管理物业面积为47,992平方米；价格约为</w:t>
      </w:r>
      <w:r>
        <w:rPr>
          <w:b w:val="0"/>
          <w:bCs w:val="0"/>
          <w:color w:val="000000"/>
          <w:spacing w:val="0"/>
          <w:w w:val="100"/>
          <w:position w:val="0"/>
        </w:rPr>
        <w:t>1.76</w:t>
      </w:r>
      <w:r>
        <w:rPr>
          <w:b w:val="0"/>
          <w:bCs w:val="0"/>
          <w:color w:val="000000"/>
          <w:spacing w:val="0"/>
          <w:w w:val="100"/>
          <w:position w:val="0"/>
        </w:rPr>
        <w:t>元/平方米/月，合计每月物业管理费为人 民币</w:t>
      </w:r>
      <w:r>
        <w:rPr>
          <w:b w:val="0"/>
          <w:bCs w:val="0"/>
          <w:color w:val="000000"/>
          <w:spacing w:val="0"/>
          <w:w w:val="100"/>
          <w:position w:val="0"/>
        </w:rPr>
        <w:t>84,397.0</w:t>
      </w:r>
      <w:r>
        <w:rPr>
          <w:b w:val="0"/>
          <w:bCs w:val="0"/>
          <w:color w:val="000000"/>
          <w:spacing w:val="0"/>
          <w:w w:val="100"/>
          <w:position w:val="0"/>
        </w:rPr>
        <w:t xml:space="preserve">0元，委托管理期限为三年。2011年6月15日与广州广电物业管理有限公司签订编号为 </w:t>
      </w:r>
      <w:r>
        <w:rPr>
          <w:b w:val="0"/>
          <w:bCs w:val="0"/>
          <w:color w:val="000000"/>
          <w:spacing w:val="0"/>
          <w:w w:val="100"/>
          <w:position w:val="0"/>
        </w:rPr>
        <w:t>GRG-MISC-2011-MISC-03-03</w:t>
      </w:r>
      <w:r>
        <w:rPr>
          <w:b w:val="0"/>
          <w:bCs w:val="0"/>
          <w:color w:val="000000"/>
          <w:spacing w:val="0"/>
          <w:w w:val="100"/>
          <w:position w:val="0"/>
        </w:rPr>
        <w:t>的《广州广电运通科学城产业园物业服务合同》，期限为2011年6月1日到2012 年5月31日，委托管理物业面积为67,210平方米，每月固定费用为人民币</w:t>
      </w:r>
      <w:r>
        <w:rPr>
          <w:b w:val="0"/>
          <w:bCs w:val="0"/>
          <w:color w:val="000000"/>
          <w:spacing w:val="0"/>
          <w:w w:val="100"/>
          <w:position w:val="0"/>
        </w:rPr>
        <w:t>199,660.00</w:t>
      </w:r>
      <w:r>
        <w:rPr>
          <w:b w:val="0"/>
          <w:bCs w:val="0"/>
          <w:color w:val="000000"/>
          <w:spacing w:val="0"/>
          <w:w w:val="100"/>
          <w:position w:val="0"/>
        </w:rPr>
        <w:t>元，临时增加管理人 员费用另计，每月按双方核定并认可的服务人员人数按实结算。2012年6月1日与广州广电物业管理有限公 司签订编号为</w:t>
      </w:r>
      <w:r>
        <w:rPr>
          <w:b w:val="0"/>
          <w:bCs w:val="0"/>
          <w:color w:val="000000"/>
          <w:spacing w:val="0"/>
          <w:w w:val="100"/>
          <w:position w:val="0"/>
        </w:rPr>
        <w:t>GRG-MISC-2012-MISC-05-11</w:t>
      </w:r>
      <w:r>
        <w:rPr>
          <w:b w:val="0"/>
          <w:bCs w:val="0"/>
          <w:color w:val="000000"/>
          <w:spacing w:val="0"/>
          <w:w w:val="100"/>
          <w:position w:val="0"/>
        </w:rPr>
        <w:t>的《广州广电运通科学城产业园物业服务合同》，期限为2012 年6月1日到2013年5月31日，委托管理物业面积为67,210平方米，每月固定费用为人民币</w:t>
      </w:r>
      <w:r>
        <w:rPr>
          <w:b w:val="0"/>
          <w:bCs w:val="0"/>
          <w:color w:val="000000"/>
          <w:spacing w:val="0"/>
          <w:w w:val="100"/>
          <w:position w:val="0"/>
        </w:rPr>
        <w:t>215,542.00</w:t>
      </w:r>
      <w:r>
        <w:rPr>
          <w:b w:val="0"/>
          <w:bCs w:val="0"/>
          <w:color w:val="000000"/>
          <w:spacing w:val="0"/>
          <w:w w:val="100"/>
          <w:position w:val="0"/>
        </w:rPr>
        <w:t>元， 临时增加管理人员费用另计，每月按双方核定并认可的服务人员人数按实结算。</w:t>
      </w:r>
    </w:p>
    <w:p>
      <w:pPr>
        <w:pStyle w:val="Style54"/>
        <w:keepNext w:val="0"/>
        <w:keepLines w:val="0"/>
        <w:widowControl w:val="0"/>
        <w:shd w:val="clear" w:color="auto" w:fill="auto"/>
        <w:bidi w:val="0"/>
        <w:spacing w:before="0" w:after="0" w:line="390" w:lineRule="exact"/>
        <w:ind w:left="0" w:right="0" w:firstLine="440"/>
        <w:jc w:val="both"/>
      </w:pPr>
      <w:r>
        <w:rPr>
          <w:b w:val="0"/>
          <w:bCs w:val="0"/>
          <w:color w:val="000000"/>
          <w:spacing w:val="0"/>
          <w:w w:val="100"/>
          <w:position w:val="0"/>
        </w:rPr>
        <w:t>本公司下属子公司深圳广电银通金融电子科技有限公司、广州广电银通金融电子科技有限公司及广州 穗通金融服务有限公司将坐落在广州市天河区黄埔大道西平云路163号与广州无线电集团有限公司签订租 赁合同的房屋、场地等物业以</w:t>
      </w:r>
      <w:r>
        <w:rPr>
          <w:b w:val="0"/>
          <w:bCs w:val="0"/>
          <w:color w:val="000000"/>
          <w:spacing w:val="0"/>
          <w:w w:val="100"/>
          <w:position w:val="0"/>
        </w:rPr>
        <w:t>2.5</w:t>
      </w:r>
      <w:r>
        <w:rPr>
          <w:b w:val="0"/>
          <w:bCs w:val="0"/>
          <w:color w:val="000000"/>
          <w:spacing w:val="0"/>
          <w:w w:val="100"/>
          <w:position w:val="0"/>
        </w:rPr>
        <w:t>元/月/平方米的价格委托给广州鑫广电物业服务有限公司进行管理。</w:t>
      </w:r>
    </w:p>
    <w:p>
      <w:pPr>
        <w:pStyle w:val="Style54"/>
        <w:keepNext w:val="0"/>
        <w:keepLines w:val="0"/>
        <w:widowControl w:val="0"/>
        <w:shd w:val="clear" w:color="auto" w:fill="auto"/>
        <w:bidi w:val="0"/>
        <w:spacing w:before="0" w:after="140" w:line="390" w:lineRule="exact"/>
        <w:ind w:left="0" w:right="0" w:firstLine="440"/>
        <w:jc w:val="both"/>
      </w:pPr>
      <w:r>
        <w:rPr>
          <w:b w:val="0"/>
          <w:bCs w:val="0"/>
          <w:color w:val="000000"/>
          <w:spacing w:val="0"/>
          <w:w w:val="100"/>
          <w:position w:val="0"/>
        </w:rPr>
        <w:t>本公司下属子公司广州穗通金融服务有限公司将清分中心委托给广州广电物业管理有限公司进行监 控管理，委托期限从2012年1月1日到2012年12月31日，服务费用为</w:t>
      </w:r>
      <w:r>
        <w:rPr>
          <w:b w:val="0"/>
          <w:bCs w:val="0"/>
          <w:color w:val="000000"/>
          <w:spacing w:val="0"/>
          <w:w w:val="100"/>
          <w:position w:val="0"/>
        </w:rPr>
        <w:t>5,022.5</w:t>
      </w:r>
      <w:r>
        <w:rPr>
          <w:b w:val="0"/>
          <w:bCs w:val="0"/>
          <w:color w:val="000000"/>
          <w:spacing w:val="0"/>
          <w:w w:val="100"/>
          <w:position w:val="0"/>
        </w:rPr>
        <w:t>2元/月。后双方签订补充协议， 从2012年7月1日起，每月服务费用增至</w:t>
      </w:r>
      <w:r>
        <w:rPr>
          <w:b w:val="0"/>
          <w:bCs w:val="0"/>
          <w:color w:val="000000"/>
          <w:spacing w:val="0"/>
          <w:w w:val="100"/>
          <w:position w:val="0"/>
        </w:rPr>
        <w:t>10,045.0</w:t>
      </w:r>
      <w:r>
        <w:rPr>
          <w:b w:val="0"/>
          <w:bCs w:val="0"/>
          <w:color w:val="000000"/>
          <w:spacing w:val="0"/>
          <w:w w:val="100"/>
          <w:position w:val="0"/>
        </w:rPr>
        <w:t>2元/月。</w:t>
      </w:r>
    </w:p>
    <w:p>
      <w:pPr>
        <w:pStyle w:val="Style33"/>
        <w:keepNext w:val="0"/>
        <w:keepLines w:val="0"/>
        <w:widowControl w:val="0"/>
        <w:shd w:val="clear" w:color="auto" w:fill="auto"/>
        <w:bidi w:val="0"/>
        <w:spacing w:before="0" w:after="0" w:line="240" w:lineRule="auto"/>
        <w:ind w:left="624" w:right="0" w:firstLine="0"/>
        <w:jc w:val="left"/>
        <w:rPr>
          <w:sz w:val="20"/>
          <w:szCs w:val="20"/>
        </w:rPr>
      </w:pPr>
      <w:r>
        <w:rPr>
          <w:color w:val="000000"/>
          <w:spacing w:val="0"/>
          <w:w w:val="100"/>
          <w:position w:val="0"/>
          <w:sz w:val="20"/>
          <w:szCs w:val="20"/>
        </w:rPr>
        <w:t>2013年度、2012年度的物业管理费情况列示如下:</w:t>
      </w:r>
    </w:p>
    <w:tbl>
      <w:tblPr>
        <w:tblOverlap w:val="never"/>
        <w:jc w:val="center"/>
        <w:tblLayout w:type="fixed"/>
      </w:tblPr>
      <w:tblGrid>
        <w:gridCol w:w="3610"/>
        <w:gridCol w:w="1622"/>
        <w:gridCol w:w="2006"/>
        <w:gridCol w:w="2280"/>
      </w:tblGrid>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2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3,142,450.50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3,015,354.40</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广州鑫广电物业服务有限公司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物业管理费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716,991.12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648,633.69</w:t>
            </w:r>
          </w:p>
        </w:tc>
      </w:tr>
    </w:tbl>
    <w:p>
      <w:pPr>
        <w:widowControl w:val="0"/>
        <w:spacing w:after="359" w:line="1" w:lineRule="exact"/>
      </w:pPr>
    </w:p>
    <w:p>
      <w:pPr>
        <w:pStyle w:val="Style54"/>
        <w:keepNext w:val="0"/>
        <w:keepLines w:val="0"/>
        <w:widowControl w:val="0"/>
        <w:shd w:val="clear" w:color="auto" w:fill="auto"/>
        <w:bidi w:val="0"/>
        <w:spacing w:before="0" w:after="260" w:line="240" w:lineRule="auto"/>
        <w:ind w:left="0" w:right="0" w:firstLine="540"/>
        <w:jc w:val="both"/>
      </w:pPr>
      <w:r>
        <w:rPr>
          <w:color w:val="000000"/>
          <w:spacing w:val="0"/>
          <w:w w:val="100"/>
          <w:position w:val="0"/>
        </w:rPr>
        <w:t>②关键管理人员报酬</w:t>
      </w:r>
      <w:r>
        <w:br w:type="page"/>
      </w:r>
    </w:p>
    <w:tbl>
      <w:tblPr>
        <w:tblOverlap w:val="never"/>
        <w:jc w:val="center"/>
        <w:tblLayout w:type="fixed"/>
      </w:tblPr>
      <w:tblGrid>
        <w:gridCol w:w="3389"/>
        <w:gridCol w:w="2779"/>
        <w:gridCol w:w="3130"/>
      </w:tblGrid>
      <w:tr>
        <w:trPr>
          <w:trHeight w:val="43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3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1,340.10</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 xml:space="preserve">1,066.62 </w:t>
            </w:r>
            <w:r>
              <w:rPr>
                <w:rFonts w:ascii="SimSun" w:eastAsia="SimSun" w:hAnsi="SimSun" w:cs="SimSun"/>
                <w:color w:val="000000"/>
                <w:spacing w:val="0"/>
                <w:w w:val="100"/>
                <w:position w:val="0"/>
              </w:rPr>
              <w:t>万元</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4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6</w:t>
      </w:r>
      <w:bookmarkEnd w:id="1304"/>
      <w:r>
        <w:rPr>
          <w:color w:val="000000"/>
          <w:spacing w:val="0"/>
          <w:w w:val="100"/>
          <w:position w:val="0"/>
        </w:rPr>
        <w:t>、关联方应收应付款项</w:t>
      </w:r>
      <w:bookmarkEnd w:id="1302"/>
      <w:bookmarkEnd w:id="1303"/>
      <w:bookmarkEnd w:id="1305"/>
    </w:p>
    <w:p>
      <w:pPr>
        <w:pStyle w:val="Style54"/>
        <w:keepNext w:val="0"/>
        <w:keepLines w:val="0"/>
        <w:widowControl w:val="0"/>
        <w:shd w:val="clear" w:color="auto" w:fill="auto"/>
        <w:bidi w:val="0"/>
        <w:spacing w:before="0" w:after="60" w:line="240" w:lineRule="auto"/>
        <w:ind w:left="0" w:right="0" w:firstLine="440"/>
        <w:jc w:val="both"/>
      </w:pPr>
      <w:r>
        <w:rPr>
          <w:b w:val="0"/>
          <w:bCs w:val="0"/>
          <w:color w:val="000000"/>
          <w:spacing w:val="0"/>
          <w:w w:val="100"/>
          <w:position w:val="0"/>
        </w:rPr>
        <w:t>上市公司应收关联方款项</w:t>
      </w:r>
    </w:p>
    <w:tbl>
      <w:tblPr>
        <w:tblOverlap w:val="never"/>
        <w:jc w:val="center"/>
        <w:tblLayout w:type="fixed"/>
      </w:tblPr>
      <w:tblGrid>
        <w:gridCol w:w="1421"/>
        <w:gridCol w:w="2309"/>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800"/>
              <w:jc w:val="left"/>
            </w:pPr>
            <w:r>
              <w:rPr>
                <w:color w:val="000000"/>
                <w:spacing w:val="0"/>
                <w:w w:val="100"/>
                <w:position w:val="0"/>
              </w:rPr>
              <w:t>4,432.50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22.16</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4"/>
        <w:keepNext w:val="0"/>
        <w:keepLines w:val="0"/>
        <w:widowControl w:val="0"/>
        <w:shd w:val="clear" w:color="auto" w:fill="auto"/>
        <w:bidi w:val="0"/>
        <w:spacing w:before="0" w:after="60" w:line="240" w:lineRule="auto"/>
        <w:ind w:left="0" w:right="0" w:firstLine="440"/>
        <w:jc w:val="both"/>
      </w:pPr>
      <w:r>
        <w:rPr>
          <w:b w:val="0"/>
          <w:bCs w:val="0"/>
          <w:color w:val="000000"/>
          <w:spacing w:val="0"/>
          <w:w w:val="100"/>
          <w:position w:val="0"/>
        </w:rPr>
        <w:t>上市公司应付关联方款项</w:t>
      </w:r>
    </w:p>
    <w:tbl>
      <w:tblPr>
        <w:tblOverlap w:val="never"/>
        <w:jc w:val="center"/>
        <w:tblLayout w:type="fixed"/>
      </w:tblPr>
      <w:tblGrid>
        <w:gridCol w:w="1987"/>
        <w:gridCol w:w="3067"/>
        <w:gridCol w:w="2261"/>
        <w:gridCol w:w="226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广州无线电集团有限公司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22,557.59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广州广电物业管理有限公司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广州鑫广电物业服务有限公司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37,943.80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51,001.20</w:t>
            </w: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广州海格机械有限公司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7,140,364.04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4,155,660.64</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sz w:val="24"/>
          <w:szCs w:val="24"/>
        </w:rPr>
        <w:t>九</w:t>
      </w:r>
      <w:bookmarkEnd w:id="1308"/>
      <w:r>
        <w:rPr>
          <w:color w:val="000000"/>
          <w:spacing w:val="0"/>
          <w:w w:val="100"/>
          <w:position w:val="0"/>
          <w:sz w:val="24"/>
          <w:szCs w:val="24"/>
        </w:rPr>
        <w:t>、股份支付</w:t>
      </w:r>
      <w:bookmarkEnd w:id="1306"/>
      <w:bookmarkEnd w:id="1307"/>
      <w:bookmarkEnd w:id="1309"/>
    </w:p>
    <w:p>
      <w:pPr>
        <w:pStyle w:val="Style54"/>
        <w:keepNext w:val="0"/>
        <w:keepLines w:val="0"/>
        <w:widowControl w:val="0"/>
        <w:shd w:val="clear" w:color="auto" w:fill="auto"/>
        <w:bidi w:val="0"/>
        <w:spacing w:before="0" w:after="340" w:line="240" w:lineRule="auto"/>
        <w:ind w:left="0" w:right="0" w:firstLine="440"/>
        <w:jc w:val="both"/>
      </w:pPr>
      <w:r>
        <w:rPr>
          <w:b w:val="0"/>
          <w:bCs w:val="0"/>
          <w:color w:val="000000"/>
          <w:spacing w:val="0"/>
          <w:w w:val="100"/>
          <w:position w:val="0"/>
        </w:rPr>
        <w:t>本公司本期未发生该事项。</w:t>
      </w:r>
    </w:p>
    <w:p>
      <w:pPr>
        <w:pStyle w:val="Style31"/>
        <w:keepNext/>
        <w:keepLines/>
        <w:widowControl w:val="0"/>
        <w:shd w:val="clear" w:color="auto" w:fill="auto"/>
        <w:bidi w:val="0"/>
        <w:spacing w:before="0" w:after="340" w:line="240" w:lineRule="auto"/>
        <w:ind w:left="0" w:right="0" w:firstLine="0"/>
        <w:jc w:val="left"/>
      </w:pPr>
      <w:bookmarkStart w:id="1310" w:name="bookmark1310"/>
      <w:bookmarkStart w:id="1311" w:name="bookmark1311"/>
      <w:bookmarkStart w:id="1312" w:name="bookmark1312"/>
      <w:r>
        <w:rPr>
          <w:color w:val="000000"/>
          <w:spacing w:val="0"/>
          <w:w w:val="100"/>
          <w:position w:val="0"/>
          <w:sz w:val="24"/>
          <w:szCs w:val="24"/>
        </w:rPr>
        <w:t>十、或有事项</w:t>
      </w:r>
      <w:bookmarkEnd w:id="1310"/>
      <w:bookmarkEnd w:id="1311"/>
      <w:bookmarkEnd w:id="1312"/>
    </w:p>
    <w:p>
      <w:pPr>
        <w:pStyle w:val="Style44"/>
        <w:keepNext/>
        <w:keepLines/>
        <w:widowControl w:val="0"/>
        <w:shd w:val="clear" w:color="auto" w:fill="auto"/>
        <w:tabs>
          <w:tab w:pos="808" w:val="left"/>
        </w:tabs>
        <w:bidi w:val="0"/>
        <w:spacing w:before="0" w:after="340" w:line="240" w:lineRule="auto"/>
        <w:ind w:left="0" w:right="0" w:firstLine="44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color w:val="000000"/>
          <w:spacing w:val="0"/>
          <w:w w:val="100"/>
          <w:position w:val="0"/>
        </w:rPr>
        <w:t>、</w:t>
        <w:tab/>
        <w:t>未决诉讼或仲裁形成的或有负债及其财务影响</w:t>
      </w:r>
      <w:bookmarkEnd w:id="1313"/>
      <w:bookmarkEnd w:id="1314"/>
      <w:bookmarkEnd w:id="1316"/>
    </w:p>
    <w:p>
      <w:pPr>
        <w:pStyle w:val="Style54"/>
        <w:keepNext w:val="0"/>
        <w:keepLines w:val="0"/>
        <w:widowControl w:val="0"/>
        <w:shd w:val="clear" w:color="auto" w:fill="auto"/>
        <w:bidi w:val="0"/>
        <w:spacing w:before="0" w:after="34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40" w:line="240" w:lineRule="auto"/>
        <w:ind w:left="0" w:right="0" w:firstLine="44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color w:val="000000"/>
          <w:spacing w:val="0"/>
          <w:w w:val="100"/>
          <w:position w:val="0"/>
        </w:rPr>
        <w:t>、</w:t>
        <w:tab/>
        <w:t>为其他单位提供债务担保形成的或有负债及其财务影响</w:t>
      </w:r>
      <w:bookmarkEnd w:id="1317"/>
      <w:bookmarkEnd w:id="1318"/>
      <w:bookmarkEnd w:id="1320"/>
    </w:p>
    <w:p>
      <w:pPr>
        <w:pStyle w:val="Style54"/>
        <w:keepNext w:val="0"/>
        <w:keepLines w:val="0"/>
        <w:widowControl w:val="0"/>
        <w:shd w:val="clear" w:color="auto" w:fill="auto"/>
        <w:bidi w:val="0"/>
        <w:spacing w:before="0" w:after="34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40" w:line="240" w:lineRule="auto"/>
        <w:ind w:left="0" w:right="0" w:firstLine="44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color w:val="000000"/>
          <w:spacing w:val="0"/>
          <w:w w:val="100"/>
          <w:position w:val="0"/>
        </w:rPr>
        <w:t>、</w:t>
        <w:tab/>
        <w:t>其他或有负债及其财务影响</w:t>
      </w:r>
      <w:bookmarkEnd w:id="1321"/>
      <w:bookmarkEnd w:id="1322"/>
      <w:bookmarkEnd w:id="1324"/>
    </w:p>
    <w:p>
      <w:pPr>
        <w:pStyle w:val="Style54"/>
        <w:keepNext w:val="0"/>
        <w:keepLines w:val="0"/>
        <w:widowControl w:val="0"/>
        <w:shd w:val="clear" w:color="auto" w:fill="auto"/>
        <w:bidi w:val="0"/>
        <w:spacing w:before="0" w:after="60" w:line="240" w:lineRule="auto"/>
        <w:ind w:left="0" w:right="0" w:firstLine="440"/>
        <w:jc w:val="both"/>
      </w:pPr>
      <w:r>
        <w:rPr>
          <w:b w:val="0"/>
          <w:bCs w:val="0"/>
          <w:color w:val="000000"/>
          <w:spacing w:val="0"/>
          <w:w w:val="100"/>
          <w:position w:val="0"/>
        </w:rPr>
        <w:t>截至报告日止本公司未结清保函：</w:t>
      </w:r>
    </w:p>
    <w:p>
      <w:pPr>
        <w:pStyle w:val="Style54"/>
        <w:keepNext w:val="0"/>
        <w:keepLines w:val="0"/>
        <w:widowControl w:val="0"/>
        <w:shd w:val="clear" w:color="auto" w:fill="auto"/>
        <w:bidi w:val="0"/>
        <w:spacing w:before="0" w:after="60" w:line="240" w:lineRule="auto"/>
        <w:ind w:left="0" w:right="380" w:firstLine="0"/>
        <w:jc w:val="right"/>
      </w:pPr>
      <w:r>
        <w:rPr>
          <w:b w:val="0"/>
          <w:bCs w:val="0"/>
          <w:color w:val="000000"/>
          <w:spacing w:val="0"/>
          <w:w w:val="100"/>
          <w:position w:val="0"/>
        </w:rPr>
        <w:t>单位：元</w:t>
      </w:r>
    </w:p>
    <w:tbl>
      <w:tblPr>
        <w:tblOverlap w:val="never"/>
        <w:jc w:val="center"/>
        <w:tblLayout w:type="fixed"/>
      </w:tblPr>
      <w:tblGrid>
        <w:gridCol w:w="2846"/>
        <w:gridCol w:w="1560"/>
        <w:gridCol w:w="1272"/>
        <w:gridCol w:w="1138"/>
        <w:gridCol w:w="1416"/>
        <w:gridCol w:w="1426"/>
      </w:tblGrid>
      <w:tr>
        <w:trPr>
          <w:trHeight w:val="66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担保期限</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形成原因</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经济利益流出不</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确定性的说明</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对本公司的财务 影响</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浙江浙大网新众合轨道交通工程有</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715,920.00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2012/7/17至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2014/3/30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有重大影响</w:t>
            </w:r>
          </w:p>
        </w:tc>
      </w:tr>
      <w:tr>
        <w:trPr>
          <w:trHeight w:val="41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四川省农村信用社联合社</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2,935,600.00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2013/1/6</w:t>
            </w:r>
            <w:r>
              <w:rPr>
                <w:rFonts w:ascii="SimSun" w:eastAsia="SimSun" w:hAnsi="SimSun" w:cs="SimSun"/>
                <w:color w:val="000000"/>
                <w:spacing w:val="0"/>
                <w:w w:val="100"/>
                <w:position w:val="0"/>
                <w:u w:val="single"/>
              </w:rPr>
              <w:t>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2014/1/18</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有重大影响</w:t>
            </w:r>
          </w:p>
        </w:tc>
      </w:tr>
      <w:tr>
        <w:trPr>
          <w:trHeight w:val="35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13,676,739.00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2013/1/30至</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履约保函</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bl>
    <w:p>
      <w:pPr>
        <w:spacing w:lineRule="exact" w:line="1"/>
        <w:rPr>
          <w:sz w:val="2"/>
          <w:szCs w:val="2"/>
        </w:rPr>
      </w:pPr>
      <w:r>
        <w:br w:type="page"/>
      </w:r>
    </w:p>
    <w:tbl>
      <w:tblPr>
        <w:tblOverlap w:val="never"/>
        <w:jc w:val="center"/>
        <w:tblLayout w:type="fixed"/>
      </w:tblPr>
      <w:tblGrid>
        <w:gridCol w:w="2846"/>
        <w:gridCol w:w="1560"/>
        <w:gridCol w:w="1272"/>
        <w:gridCol w:w="1138"/>
        <w:gridCol w:w="1416"/>
        <w:gridCol w:w="142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7,379,949.00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2013/1/30至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2015/11/1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北京京投亿雅交通科技有限公司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397,102.80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2013/3/25至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2014/6/30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2,045,190.00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2013/04/01至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2014/3/31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4,972,160.00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2013/04/01至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2014/3/31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2,574,790.00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2013/04/01至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2014/4/30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高新现代智能系统股份有限公司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1,722,910.00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2013/07/12至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2017/2/15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1,864,980.00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2013/7/16至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2014/8/31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868,480.00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2013/7/16至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2014/8/31</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838,810.00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2013/08/23至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2014/8/31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4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浙江浙大网新众合轨道交通工程有</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780,522.00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2013/9/4至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9"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2015/6/30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2,264,780.00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2013/10/21至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2014/10/31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1,833,500.00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2013/11/04至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2014/10/31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4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1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1,410,940.00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2013/11/08至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4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1,219,810.00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2013/11/08至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华夏银行股份有限公司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100,000.00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2013/11/27至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投标保函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2014/05/05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3,684,660.00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2013/12/9至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361,500.00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2013/12/9至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pPr>
            <w:r>
              <w:rPr>
                <w:rFonts w:ascii="SimSun" w:eastAsia="SimSun" w:hAnsi="SimSun" w:cs="SimSun"/>
                <w:color w:val="000000"/>
                <w:spacing w:val="0"/>
                <w:w w:val="100"/>
                <w:position w:val="0"/>
              </w:rPr>
              <w:t>908,000.00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2013/12/9至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交通银行股份有限公司</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1,571,400.00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2013/12/9至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2014/11/30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r>
        <w:trPr>
          <w:trHeight w:val="3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54,127,742.80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中国银行（香港）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rFonts w:ascii="SimSun" w:eastAsia="SimSun" w:hAnsi="SimSun" w:cs="SimSun"/>
                <w:color w:val="000000"/>
                <w:spacing w:val="0"/>
                <w:w w:val="100"/>
                <w:position w:val="0"/>
              </w:rPr>
              <w:t>USD3,124,650.00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2011/6/27至</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视合同履行情况</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对本公司财务没</w:t>
            </w:r>
          </w:p>
        </w:tc>
      </w:tr>
      <w:tr>
        <w:trPr>
          <w:trHeight w:val="26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2014/5/24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而定</w:t>
            </w:r>
          </w:p>
        </w:tc>
        <w:tc>
          <w:tcPr>
            <w:tcBorders>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有重大影响</w:t>
            </w:r>
          </w:p>
        </w:tc>
      </w:tr>
    </w:tbl>
    <w:tbl>
      <w:tblPr>
        <w:tblOverlap w:val="never"/>
        <w:jc w:val="center"/>
        <w:tblLayout w:type="fixed"/>
      </w:tblPr>
      <w:tblGrid>
        <w:gridCol w:w="2846"/>
        <w:gridCol w:w="1560"/>
        <w:gridCol w:w="1272"/>
        <w:gridCol w:w="1138"/>
        <w:gridCol w:w="1416"/>
        <w:gridCol w:w="1426"/>
      </w:tblGrid>
      <w:tr>
        <w:trPr>
          <w:trHeight w:val="35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USD3,124,650.00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ERG Transit System (HK) Limited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HKD2,410,211.30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2013/12/13</w:t>
            </w:r>
            <w:r>
              <w:rPr>
                <w:rFonts w:ascii="SimSun" w:eastAsia="SimSun" w:hAnsi="SimSun" w:cs="SimSun"/>
                <w:color w:val="000000"/>
                <w:spacing w:val="0"/>
                <w:w w:val="100"/>
                <w:position w:val="0"/>
              </w:rPr>
              <w:t>至</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2016/05/31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合同履约保函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视合同履行情况 而定</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对本公司财务没 有重大影响</w:t>
            </w:r>
          </w:p>
        </w:tc>
      </w:tr>
      <w:tr>
        <w:trPr>
          <w:trHeight w:val="3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HKD2,410,211.30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both"/>
      </w:pPr>
      <w:bookmarkStart w:id="1325" w:name="bookmark1325"/>
      <w:bookmarkStart w:id="1326" w:name="bookmark1326"/>
      <w:bookmarkStart w:id="1327" w:name="bookmark1327"/>
      <w:r>
        <w:rPr>
          <w:color w:val="000000"/>
          <w:spacing w:val="0"/>
          <w:w w:val="100"/>
          <w:position w:val="0"/>
          <w:sz w:val="24"/>
          <w:szCs w:val="24"/>
        </w:rPr>
        <w:t>十一、承诺事项</w:t>
      </w:r>
      <w:bookmarkEnd w:id="1325"/>
      <w:bookmarkEnd w:id="1326"/>
      <w:bookmarkEnd w:id="1327"/>
    </w:p>
    <w:p>
      <w:pPr>
        <w:pStyle w:val="Style44"/>
        <w:keepNext/>
        <w:keepLines/>
        <w:widowControl w:val="0"/>
        <w:shd w:val="clear" w:color="auto" w:fill="auto"/>
        <w:tabs>
          <w:tab w:pos="723" w:val="left"/>
        </w:tabs>
        <w:bidi w:val="0"/>
        <w:spacing w:before="0" w:after="260" w:line="368" w:lineRule="exact"/>
        <w:ind w:left="0" w:right="0" w:firstLine="360"/>
        <w:jc w:val="both"/>
      </w:pPr>
      <w:bookmarkStart w:id="1328" w:name="bookmark1328"/>
      <w:bookmarkStart w:id="1329" w:name="bookmark1329"/>
      <w:bookmarkStart w:id="1330" w:name="bookmark1330"/>
      <w:bookmarkStart w:id="1331" w:name="bookmark1331"/>
      <w:r>
        <w:rPr>
          <w:color w:val="000000"/>
          <w:spacing w:val="0"/>
          <w:w w:val="100"/>
          <w:position w:val="0"/>
        </w:rPr>
        <w:t>1</w:t>
      </w:r>
      <w:bookmarkEnd w:id="1330"/>
      <w:r>
        <w:rPr>
          <w:color w:val="000000"/>
          <w:spacing w:val="0"/>
          <w:w w:val="100"/>
          <w:position w:val="0"/>
        </w:rPr>
        <w:t>、</w:t>
        <w:tab/>
        <w:t>重大承诺事项</w:t>
      </w:r>
      <w:bookmarkEnd w:id="1328"/>
      <w:bookmarkEnd w:id="1329"/>
      <w:bookmarkEnd w:id="1331"/>
    </w:p>
    <w:p>
      <w:pPr>
        <w:pStyle w:val="Style54"/>
        <w:keepNext w:val="0"/>
        <w:keepLines w:val="0"/>
        <w:widowControl w:val="0"/>
        <w:numPr>
          <w:ilvl w:val="0"/>
          <w:numId w:val="103"/>
        </w:numPr>
        <w:shd w:val="clear" w:color="auto" w:fill="auto"/>
        <w:tabs>
          <w:tab w:pos="790" w:val="left"/>
        </w:tabs>
        <w:bidi w:val="0"/>
        <w:spacing w:before="0" w:after="0" w:line="368" w:lineRule="exact"/>
        <w:ind w:left="0" w:right="0" w:firstLine="360"/>
        <w:jc w:val="both"/>
      </w:pPr>
      <w:bookmarkStart w:id="1332" w:name="bookmark1332"/>
      <w:bookmarkEnd w:id="1332"/>
      <w:r>
        <w:rPr>
          <w:b w:val="0"/>
          <w:bCs w:val="0"/>
          <w:color w:val="000000"/>
          <w:spacing w:val="0"/>
          <w:w w:val="100"/>
          <w:position w:val="0"/>
        </w:rPr>
        <w:t>本公司本期未发生已签订的尚未履行或尚未完全履行的对外投资合同及有关财务支出。</w:t>
      </w:r>
    </w:p>
    <w:p>
      <w:pPr>
        <w:pStyle w:val="Style54"/>
        <w:keepNext w:val="0"/>
        <w:keepLines w:val="0"/>
        <w:widowControl w:val="0"/>
        <w:numPr>
          <w:ilvl w:val="0"/>
          <w:numId w:val="103"/>
        </w:numPr>
        <w:shd w:val="clear" w:color="auto" w:fill="auto"/>
        <w:tabs>
          <w:tab w:pos="790" w:val="left"/>
        </w:tabs>
        <w:bidi w:val="0"/>
        <w:spacing w:before="0" w:after="0" w:line="368" w:lineRule="exact"/>
        <w:ind w:left="0" w:right="0" w:firstLine="360"/>
        <w:jc w:val="both"/>
      </w:pPr>
      <w:bookmarkStart w:id="1333" w:name="bookmark1333"/>
      <w:bookmarkEnd w:id="1333"/>
      <w:r>
        <w:rPr>
          <w:b w:val="0"/>
          <w:bCs w:val="0"/>
          <w:color w:val="000000"/>
          <w:spacing w:val="0"/>
          <w:w w:val="100"/>
          <w:position w:val="0"/>
        </w:rPr>
        <w:t>本公司本期未发生已签订的正在或准备履行的大额发包合同。</w:t>
      </w:r>
    </w:p>
    <w:p>
      <w:pPr>
        <w:pStyle w:val="Style54"/>
        <w:keepNext w:val="0"/>
        <w:keepLines w:val="0"/>
        <w:widowControl w:val="0"/>
        <w:numPr>
          <w:ilvl w:val="0"/>
          <w:numId w:val="103"/>
        </w:numPr>
        <w:shd w:val="clear" w:color="auto" w:fill="auto"/>
        <w:tabs>
          <w:tab w:pos="790" w:val="left"/>
        </w:tabs>
        <w:bidi w:val="0"/>
        <w:spacing w:before="0" w:after="0" w:line="368" w:lineRule="exact"/>
        <w:ind w:left="0" w:right="0" w:firstLine="360"/>
        <w:jc w:val="both"/>
      </w:pPr>
      <w:bookmarkStart w:id="1334" w:name="bookmark1334"/>
      <w:bookmarkEnd w:id="1334"/>
      <w:r>
        <w:rPr>
          <w:b w:val="0"/>
          <w:bCs w:val="0"/>
          <w:color w:val="000000"/>
          <w:spacing w:val="0"/>
          <w:w w:val="100"/>
          <w:position w:val="0"/>
        </w:rPr>
        <w:t>本公司本期未发生已签订的正在或准备履行的租赁合同。</w:t>
      </w:r>
    </w:p>
    <w:p>
      <w:pPr>
        <w:pStyle w:val="Style54"/>
        <w:keepNext w:val="0"/>
        <w:keepLines w:val="0"/>
        <w:widowControl w:val="0"/>
        <w:numPr>
          <w:ilvl w:val="0"/>
          <w:numId w:val="103"/>
        </w:numPr>
        <w:shd w:val="clear" w:color="auto" w:fill="auto"/>
        <w:tabs>
          <w:tab w:pos="790" w:val="left"/>
        </w:tabs>
        <w:bidi w:val="0"/>
        <w:spacing w:before="0" w:after="0" w:line="368" w:lineRule="exact"/>
        <w:ind w:left="0" w:right="0" w:firstLine="360"/>
        <w:jc w:val="both"/>
      </w:pPr>
      <w:bookmarkStart w:id="1335" w:name="bookmark1335"/>
      <w:bookmarkEnd w:id="1335"/>
      <w:r>
        <w:rPr>
          <w:b w:val="0"/>
          <w:bCs w:val="0"/>
          <w:color w:val="000000"/>
          <w:spacing w:val="0"/>
          <w:w w:val="100"/>
          <w:position w:val="0"/>
        </w:rPr>
        <w:t>本公司本期未发生已签订的正在或准备履行的并购协议。</w:t>
      </w:r>
    </w:p>
    <w:p>
      <w:pPr>
        <w:pStyle w:val="Style54"/>
        <w:keepNext w:val="0"/>
        <w:keepLines w:val="0"/>
        <w:widowControl w:val="0"/>
        <w:numPr>
          <w:ilvl w:val="0"/>
          <w:numId w:val="103"/>
        </w:numPr>
        <w:shd w:val="clear" w:color="auto" w:fill="auto"/>
        <w:tabs>
          <w:tab w:pos="790" w:val="left"/>
        </w:tabs>
        <w:bidi w:val="0"/>
        <w:spacing w:before="0" w:after="0" w:line="368" w:lineRule="exact"/>
        <w:ind w:left="0" w:right="0" w:firstLine="360"/>
        <w:jc w:val="both"/>
      </w:pPr>
      <w:bookmarkStart w:id="1336" w:name="bookmark1336"/>
      <w:bookmarkEnd w:id="1336"/>
      <w:r>
        <w:rPr>
          <w:b w:val="0"/>
          <w:bCs w:val="0"/>
          <w:color w:val="000000"/>
          <w:spacing w:val="0"/>
          <w:w w:val="100"/>
          <w:position w:val="0"/>
        </w:rPr>
        <w:t>本公司本期未发生已签订的正在或准备履行的重组计划。</w:t>
      </w:r>
    </w:p>
    <w:p>
      <w:pPr>
        <w:pStyle w:val="Style54"/>
        <w:keepNext w:val="0"/>
        <w:keepLines w:val="0"/>
        <w:widowControl w:val="0"/>
        <w:shd w:val="clear" w:color="auto" w:fill="auto"/>
        <w:bidi w:val="0"/>
        <w:spacing w:before="0" w:after="320" w:line="368" w:lineRule="exact"/>
        <w:ind w:left="0" w:right="0" w:firstLine="360"/>
        <w:jc w:val="both"/>
      </w:pPr>
      <w:r>
        <w:rPr>
          <w:b w:val="0"/>
          <w:bCs w:val="0"/>
          <w:color w:val="000000"/>
          <w:spacing w:val="0"/>
          <w:w w:val="100"/>
          <w:position w:val="0"/>
        </w:rPr>
        <w:t>(6 )本公司本期未发生其他重大财务承诺事项。</w:t>
      </w:r>
    </w:p>
    <w:p>
      <w:pPr>
        <w:pStyle w:val="Style44"/>
        <w:keepNext/>
        <w:keepLines/>
        <w:widowControl w:val="0"/>
        <w:shd w:val="clear" w:color="auto" w:fill="auto"/>
        <w:tabs>
          <w:tab w:pos="738" w:val="left"/>
        </w:tabs>
        <w:bidi w:val="0"/>
        <w:spacing w:before="0" w:after="260" w:line="368" w:lineRule="exact"/>
        <w:ind w:left="0" w:right="0" w:firstLine="36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color w:val="000000"/>
          <w:spacing w:val="0"/>
          <w:w w:val="100"/>
          <w:position w:val="0"/>
        </w:rPr>
        <w:t>、</w:t>
        <w:tab/>
        <w:t>前期承诺履行情况</w:t>
      </w:r>
      <w:bookmarkEnd w:id="1337"/>
      <w:bookmarkEnd w:id="1338"/>
      <w:bookmarkEnd w:id="1340"/>
    </w:p>
    <w:p>
      <w:pPr>
        <w:pStyle w:val="Style54"/>
        <w:keepNext w:val="0"/>
        <w:keepLines w:val="0"/>
        <w:widowControl w:val="0"/>
        <w:shd w:val="clear" w:color="auto" w:fill="auto"/>
        <w:bidi w:val="0"/>
        <w:spacing w:before="0" w:after="320" w:line="368" w:lineRule="exact"/>
        <w:ind w:left="0" w:right="0" w:firstLine="360"/>
        <w:jc w:val="both"/>
      </w:pPr>
      <w:r>
        <w:rPr>
          <w:b w:val="0"/>
          <w:bCs w:val="0"/>
          <w:color w:val="000000"/>
          <w:spacing w:val="0"/>
          <w:w w:val="100"/>
          <w:position w:val="0"/>
        </w:rPr>
        <w:t>本公司无需要披露的前期承诺事项。</w:t>
      </w:r>
    </w:p>
    <w:p>
      <w:pPr>
        <w:pStyle w:val="Style31"/>
        <w:keepNext/>
        <w:keepLines/>
        <w:widowControl w:val="0"/>
        <w:shd w:val="clear" w:color="auto" w:fill="auto"/>
        <w:bidi w:val="0"/>
        <w:spacing w:before="0" w:after="260" w:line="240" w:lineRule="auto"/>
        <w:ind w:left="0" w:right="0" w:firstLine="0"/>
        <w:jc w:val="both"/>
      </w:pPr>
      <w:bookmarkStart w:id="1341" w:name="bookmark1341"/>
      <w:bookmarkStart w:id="1342" w:name="bookmark1342"/>
      <w:bookmarkStart w:id="1343" w:name="bookmark1343"/>
      <w:r>
        <w:rPr>
          <w:color w:val="000000"/>
          <w:spacing w:val="0"/>
          <w:w w:val="100"/>
          <w:position w:val="0"/>
          <w:sz w:val="24"/>
          <w:szCs w:val="24"/>
        </w:rPr>
        <w:t>十二、资产负债表日后事项</w:t>
      </w:r>
      <w:bookmarkEnd w:id="1341"/>
      <w:bookmarkEnd w:id="1342"/>
      <w:bookmarkEnd w:id="1343"/>
    </w:p>
    <w:p>
      <w:pPr>
        <w:pStyle w:val="Style44"/>
        <w:keepNext/>
        <w:keepLines/>
        <w:widowControl w:val="0"/>
        <w:shd w:val="clear" w:color="auto" w:fill="auto"/>
        <w:tabs>
          <w:tab w:pos="768" w:val="left"/>
        </w:tabs>
        <w:bidi w:val="0"/>
        <w:spacing w:before="0" w:after="260" w:line="368" w:lineRule="exact"/>
        <w:ind w:left="0" w:right="0" w:firstLine="400"/>
        <w:jc w:val="both"/>
      </w:pPr>
      <w:bookmarkStart w:id="1344" w:name="bookmark1344"/>
      <w:bookmarkStart w:id="1345" w:name="bookmark1345"/>
      <w:bookmarkStart w:id="1346" w:name="bookmark1346"/>
      <w:bookmarkStart w:id="1347" w:name="bookmark1347"/>
      <w:r>
        <w:rPr>
          <w:color w:val="000000"/>
          <w:spacing w:val="0"/>
          <w:w w:val="100"/>
          <w:position w:val="0"/>
        </w:rPr>
        <w:t>1</w:t>
      </w:r>
      <w:bookmarkEnd w:id="1346"/>
      <w:r>
        <w:rPr>
          <w:color w:val="000000"/>
          <w:spacing w:val="0"/>
          <w:w w:val="100"/>
          <w:position w:val="0"/>
        </w:rPr>
        <w:t>、</w:t>
        <w:tab/>
        <w:t>重要的资产负债表日后事项说明</w:t>
      </w:r>
      <w:bookmarkEnd w:id="1344"/>
      <w:bookmarkEnd w:id="1345"/>
      <w:bookmarkEnd w:id="1347"/>
    </w:p>
    <w:p>
      <w:pPr>
        <w:pStyle w:val="Style54"/>
        <w:keepNext w:val="0"/>
        <w:keepLines w:val="0"/>
        <w:widowControl w:val="0"/>
        <w:shd w:val="clear" w:color="auto" w:fill="auto"/>
        <w:bidi w:val="0"/>
        <w:spacing w:before="0" w:after="320" w:line="396" w:lineRule="exact"/>
        <w:ind w:left="0" w:right="0" w:firstLine="400"/>
        <w:jc w:val="both"/>
      </w:pPr>
      <w:r>
        <w:rPr>
          <w:b w:val="0"/>
          <w:bCs w:val="0"/>
          <w:color w:val="000000"/>
          <w:spacing w:val="0"/>
          <w:w w:val="100"/>
          <w:position w:val="0"/>
        </w:rPr>
        <w:t>截至财务报表批准报出日止，本公司未发生按《企业会计准则第29号一资产负债表日后事项》及有关 规定，需披露的资产负债表日后股票和债券的发行、对一个公司的巨额投资、金额重大的债务重组、自然 灾害导致的资产损失以及外汇汇率发生较大变动等非调整事项。</w:t>
      </w:r>
    </w:p>
    <w:p>
      <w:pPr>
        <w:pStyle w:val="Style44"/>
        <w:keepNext/>
        <w:keepLines/>
        <w:widowControl w:val="0"/>
        <w:shd w:val="clear" w:color="auto" w:fill="auto"/>
        <w:tabs>
          <w:tab w:pos="782" w:val="left"/>
        </w:tabs>
        <w:bidi w:val="0"/>
        <w:spacing w:before="0" w:after="260" w:line="368" w:lineRule="exact"/>
        <w:ind w:left="0" w:right="0" w:firstLine="400"/>
        <w:jc w:val="both"/>
      </w:pPr>
      <w:bookmarkStart w:id="1348" w:name="bookmark1348"/>
      <w:bookmarkStart w:id="1349" w:name="bookmark1349"/>
      <w:bookmarkStart w:id="1350" w:name="bookmark1350"/>
      <w:bookmarkStart w:id="1351" w:name="bookmark1351"/>
      <w:r>
        <w:rPr>
          <w:color w:val="000000"/>
          <w:spacing w:val="0"/>
          <w:w w:val="100"/>
          <w:position w:val="0"/>
        </w:rPr>
        <w:t>2</w:t>
      </w:r>
      <w:bookmarkEnd w:id="1350"/>
      <w:r>
        <w:rPr>
          <w:color w:val="000000"/>
          <w:spacing w:val="0"/>
          <w:w w:val="100"/>
          <w:position w:val="0"/>
        </w:rPr>
        <w:t>、</w:t>
        <w:tab/>
        <w:t>资产负债表日后利润分配情况说明</w:t>
      </w:r>
      <w:bookmarkEnd w:id="1348"/>
      <w:bookmarkEnd w:id="1349"/>
      <w:bookmarkEnd w:id="1351"/>
    </w:p>
    <w:p>
      <w:pPr>
        <w:pStyle w:val="Style54"/>
        <w:keepNext w:val="0"/>
        <w:keepLines w:val="0"/>
        <w:widowControl w:val="0"/>
        <w:shd w:val="clear" w:color="auto" w:fill="auto"/>
        <w:bidi w:val="0"/>
        <w:spacing w:before="0" w:after="320" w:line="341" w:lineRule="exact"/>
        <w:ind w:left="0" w:right="0" w:firstLine="400"/>
        <w:jc w:val="both"/>
      </w:pPr>
      <w:r>
        <w:rPr>
          <w:b w:val="0"/>
          <w:bCs w:val="0"/>
          <w:color w:val="000000"/>
          <w:spacing w:val="0"/>
          <w:w w:val="100"/>
          <w:position w:val="0"/>
        </w:rPr>
        <w:t>根据公司第三届董事会第十八次会议决议，2013年度利润分配预案为：公司拟按2013年度实现净利 润的10%提取盈余公积，以2013年末总股本747,237,306股为基数，以未分配利润向全体股东每10股派 送2股，同时向全体股东每10股派发现金股利2元(含税)，上述预案尚需经股东大会批准。</w:t>
      </w:r>
    </w:p>
    <w:p>
      <w:pPr>
        <w:pStyle w:val="Style44"/>
        <w:keepNext/>
        <w:keepLines/>
        <w:widowControl w:val="0"/>
        <w:shd w:val="clear" w:color="auto" w:fill="auto"/>
        <w:tabs>
          <w:tab w:pos="742" w:val="left"/>
        </w:tabs>
        <w:bidi w:val="0"/>
        <w:spacing w:before="0" w:after="320" w:line="368" w:lineRule="exact"/>
        <w:ind w:left="0" w:right="0" w:firstLine="360"/>
        <w:jc w:val="both"/>
      </w:pPr>
      <w:bookmarkStart w:id="1352" w:name="bookmark1352"/>
      <w:bookmarkStart w:id="1353" w:name="bookmark1353"/>
      <w:bookmarkStart w:id="1354" w:name="bookmark1354"/>
      <w:bookmarkStart w:id="1355" w:name="bookmark1355"/>
      <w:r>
        <w:rPr>
          <w:color w:val="000000"/>
          <w:spacing w:val="0"/>
          <w:w w:val="100"/>
          <w:position w:val="0"/>
        </w:rPr>
        <w:t>3</w:t>
      </w:r>
      <w:bookmarkEnd w:id="1354"/>
      <w:r>
        <w:rPr>
          <w:color w:val="000000"/>
          <w:spacing w:val="0"/>
          <w:w w:val="100"/>
          <w:position w:val="0"/>
        </w:rPr>
        <w:t>、</w:t>
        <w:tab/>
        <w:t>其他资产负债表日后事项说明</w:t>
      </w:r>
      <w:bookmarkEnd w:id="1352"/>
      <w:bookmarkEnd w:id="1353"/>
      <w:bookmarkEnd w:id="1355"/>
    </w:p>
    <w:p>
      <w:pPr>
        <w:pStyle w:val="Style54"/>
        <w:keepNext w:val="0"/>
        <w:keepLines w:val="0"/>
        <w:widowControl w:val="0"/>
        <w:shd w:val="clear" w:color="auto" w:fill="auto"/>
        <w:bidi w:val="0"/>
        <w:spacing w:before="0" w:after="260" w:line="368" w:lineRule="exact"/>
        <w:ind w:left="0" w:right="0" w:firstLine="360"/>
        <w:jc w:val="both"/>
      </w:pPr>
      <w:r>
        <w:rPr>
          <w:b w:val="0"/>
          <w:bCs w:val="0"/>
          <w:color w:val="000000"/>
          <w:spacing w:val="0"/>
          <w:w w:val="100"/>
          <w:position w:val="0"/>
        </w:rPr>
        <w:t>本公司本期未发生该事项。</w:t>
      </w:r>
    </w:p>
    <w:p>
      <w:pPr>
        <w:pStyle w:val="Style31"/>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r>
        <w:rPr>
          <w:color w:val="000000"/>
          <w:spacing w:val="0"/>
          <w:w w:val="100"/>
          <w:position w:val="0"/>
          <w:sz w:val="24"/>
          <w:szCs w:val="24"/>
        </w:rPr>
        <w:t>十三、其他重要事项</w:t>
      </w:r>
      <w:bookmarkEnd w:id="1356"/>
      <w:bookmarkEnd w:id="1357"/>
      <w:bookmarkEnd w:id="1358"/>
    </w:p>
    <w:p>
      <w:pPr>
        <w:pStyle w:val="Style44"/>
        <w:keepNext/>
        <w:keepLines/>
        <w:widowControl w:val="0"/>
        <w:shd w:val="clear" w:color="auto" w:fill="auto"/>
        <w:tabs>
          <w:tab w:pos="808" w:val="left"/>
        </w:tabs>
        <w:bidi w:val="0"/>
        <w:spacing w:before="0" w:after="360" w:line="240" w:lineRule="auto"/>
        <w:ind w:left="0" w:right="0" w:firstLine="44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bookmarkEnd w:id="1361"/>
      <w:r>
        <w:rPr>
          <w:color w:val="000000"/>
          <w:spacing w:val="0"/>
          <w:w w:val="100"/>
          <w:position w:val="0"/>
        </w:rPr>
        <w:t>、</w:t>
        <w:tab/>
        <w:t>非货币性资产交换</w:t>
      </w:r>
      <w:bookmarkEnd w:id="1359"/>
      <w:bookmarkEnd w:id="1360"/>
      <w:bookmarkEnd w:id="1362"/>
    </w:p>
    <w:p>
      <w:pPr>
        <w:pStyle w:val="Style54"/>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60" w:line="240" w:lineRule="auto"/>
        <w:ind w:left="0" w:right="0" w:firstLine="44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bookmarkEnd w:id="1365"/>
      <w:r>
        <w:rPr>
          <w:color w:val="000000"/>
          <w:spacing w:val="0"/>
          <w:w w:val="100"/>
          <w:position w:val="0"/>
        </w:rPr>
        <w:t>、</w:t>
        <w:tab/>
        <w:t>债务重组</w:t>
      </w:r>
      <w:bookmarkEnd w:id="1363"/>
      <w:bookmarkEnd w:id="1364"/>
      <w:bookmarkEnd w:id="1366"/>
    </w:p>
    <w:p>
      <w:pPr>
        <w:pStyle w:val="Style54"/>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60" w:line="240" w:lineRule="auto"/>
        <w:ind w:left="0" w:right="0" w:firstLine="44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w:t>
        <w:tab/>
        <w:t>租赁</w:t>
      </w:r>
      <w:bookmarkEnd w:id="1367"/>
      <w:bookmarkEnd w:id="1368"/>
      <w:bookmarkEnd w:id="1370"/>
    </w:p>
    <w:p>
      <w:pPr>
        <w:pStyle w:val="Style54"/>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60" w:line="240" w:lineRule="auto"/>
        <w:ind w:left="0" w:right="0" w:firstLine="44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color w:val="000000"/>
          <w:spacing w:val="0"/>
          <w:w w:val="100"/>
          <w:position w:val="0"/>
        </w:rPr>
        <w:t>、</w:t>
        <w:tab/>
        <w:t>期末发行在外的、可转换为股份的金融工具</w:t>
      </w:r>
      <w:bookmarkEnd w:id="1371"/>
      <w:bookmarkEnd w:id="1372"/>
      <w:bookmarkEnd w:id="1374"/>
    </w:p>
    <w:p>
      <w:pPr>
        <w:pStyle w:val="Style54"/>
        <w:keepNext w:val="0"/>
        <w:keepLines w:val="0"/>
        <w:widowControl w:val="0"/>
        <w:shd w:val="clear" w:color="auto" w:fill="auto"/>
        <w:bidi w:val="0"/>
        <w:spacing w:before="0" w:after="360" w:line="240" w:lineRule="auto"/>
        <w:ind w:left="0" w:right="0" w:firstLine="440"/>
        <w:jc w:val="left"/>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60" w:line="240" w:lineRule="auto"/>
        <w:ind w:left="0" w:right="0" w:firstLine="44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5</w:t>
      </w:r>
      <w:bookmarkEnd w:id="1377"/>
      <w:r>
        <w:rPr>
          <w:color w:val="000000"/>
          <w:spacing w:val="0"/>
          <w:w w:val="100"/>
          <w:position w:val="0"/>
        </w:rPr>
        <w:t>、</w:t>
        <w:tab/>
        <w:t>以公允价值计量的资产和负债</w:t>
      </w:r>
      <w:bookmarkEnd w:id="1375"/>
      <w:bookmarkEnd w:id="1376"/>
      <w:bookmarkEnd w:id="137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3"/>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本期公允价值变动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5,428,305.54</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5,428,305.54</w:t>
            </w:r>
          </w:p>
        </w:tc>
      </w:tr>
      <w:tr>
        <w:trPr>
          <w:trHeight w:val="40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44"/>
        <w:keepNext/>
        <w:keepLines/>
        <w:widowControl w:val="0"/>
        <w:shd w:val="clear" w:color="auto" w:fill="auto"/>
        <w:bidi w:val="0"/>
        <w:spacing w:before="0" w:after="360" w:line="240" w:lineRule="auto"/>
        <w:ind w:left="0" w:right="0" w:firstLine="44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6</w:t>
      </w:r>
      <w:bookmarkEnd w:id="1381"/>
      <w:r>
        <w:rPr>
          <w:color w:val="000000"/>
          <w:spacing w:val="0"/>
          <w:w w:val="100"/>
          <w:position w:val="0"/>
        </w:rPr>
        <w:t>、外币金融资产和外币金融负债</w:t>
      </w:r>
      <w:bookmarkEnd w:id="1379"/>
      <w:bookmarkEnd w:id="1380"/>
      <w:bookmarkEnd w:id="1382"/>
    </w:p>
    <w:p>
      <w:pPr>
        <w:pStyle w:val="Style3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2"/>
        <w:gridCol w:w="1517"/>
        <w:gridCol w:w="1522"/>
        <w:gridCol w:w="1512"/>
        <w:gridCol w:w="1522"/>
        <w:gridCol w:w="1526"/>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本期公允价值变动 损益</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变动计入当期损益的金 融资产(不含衍生金融资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贷款和应收款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5,428,305.54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6,564,083.46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-1,135,777.92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-3,186,793.24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5,428,305.54</w:t>
            </w:r>
          </w:p>
        </w:tc>
      </w:tr>
      <w:tr>
        <w:trPr>
          <w:trHeight w:val="408"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11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44"/>
        <w:keepNext/>
        <w:keepLines/>
        <w:widowControl w:val="0"/>
        <w:shd w:val="clear" w:color="auto" w:fill="auto"/>
        <w:tabs>
          <w:tab w:pos="813" w:val="left"/>
        </w:tabs>
        <w:bidi w:val="0"/>
        <w:spacing w:before="0" w:after="340" w:line="240" w:lineRule="auto"/>
        <w:ind w:left="0" w:right="0" w:firstLine="440"/>
        <w:jc w:val="both"/>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7</w:t>
      </w:r>
      <w:bookmarkEnd w:id="1385"/>
      <w:r>
        <w:rPr>
          <w:color w:val="000000"/>
          <w:spacing w:val="0"/>
          <w:w w:val="100"/>
          <w:position w:val="0"/>
        </w:rPr>
        <w:t>、</w:t>
        <w:tab/>
        <w:t>年金计划主要内容及重大变化</w:t>
      </w:r>
      <w:bookmarkEnd w:id="1383"/>
      <w:bookmarkEnd w:id="1384"/>
      <w:bookmarkEnd w:id="1386"/>
    </w:p>
    <w:p>
      <w:pPr>
        <w:pStyle w:val="Style54"/>
        <w:keepNext w:val="0"/>
        <w:keepLines w:val="0"/>
        <w:widowControl w:val="0"/>
        <w:shd w:val="clear" w:color="auto" w:fill="auto"/>
        <w:bidi w:val="0"/>
        <w:spacing w:before="0" w:after="340" w:line="240" w:lineRule="auto"/>
        <w:ind w:left="0" w:right="0" w:firstLine="440"/>
        <w:jc w:val="both"/>
      </w:pPr>
      <w:r>
        <w:rPr>
          <w:b w:val="0"/>
          <w:bCs w:val="0"/>
          <w:color w:val="000000"/>
          <w:spacing w:val="0"/>
          <w:w w:val="100"/>
          <w:position w:val="0"/>
        </w:rPr>
        <w:t>本公司本期未发生该事项。</w:t>
      </w:r>
    </w:p>
    <w:p>
      <w:pPr>
        <w:pStyle w:val="Style44"/>
        <w:keepNext/>
        <w:keepLines/>
        <w:widowControl w:val="0"/>
        <w:shd w:val="clear" w:color="auto" w:fill="auto"/>
        <w:tabs>
          <w:tab w:pos="818" w:val="left"/>
        </w:tabs>
        <w:bidi w:val="0"/>
        <w:spacing w:before="0" w:after="340" w:line="240" w:lineRule="auto"/>
        <w:ind w:left="0" w:right="0" w:firstLine="440"/>
        <w:jc w:val="both"/>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8</w:t>
      </w:r>
      <w:bookmarkEnd w:id="1389"/>
      <w:r>
        <w:rPr>
          <w:color w:val="000000"/>
          <w:spacing w:val="0"/>
          <w:w w:val="100"/>
          <w:position w:val="0"/>
        </w:rPr>
        <w:t>、</w:t>
        <w:tab/>
        <w:t>其他</w:t>
      </w:r>
      <w:bookmarkEnd w:id="1387"/>
      <w:bookmarkEnd w:id="1388"/>
      <w:bookmarkEnd w:id="1390"/>
    </w:p>
    <w:p>
      <w:pPr>
        <w:pStyle w:val="Style54"/>
        <w:keepNext w:val="0"/>
        <w:keepLines w:val="0"/>
        <w:widowControl w:val="0"/>
        <w:shd w:val="clear" w:color="auto" w:fill="auto"/>
        <w:bidi w:val="0"/>
        <w:spacing w:before="0" w:after="340" w:line="240" w:lineRule="auto"/>
        <w:ind w:left="0" w:right="0" w:firstLine="440"/>
        <w:jc w:val="both"/>
      </w:pPr>
      <w:r>
        <w:rPr>
          <w:b w:val="0"/>
          <w:bCs w:val="0"/>
          <w:color w:val="000000"/>
          <w:spacing w:val="0"/>
          <w:w w:val="100"/>
          <w:position w:val="0"/>
        </w:rPr>
        <w:t>本公司本期未发生其他需要披露的重要事项。</w:t>
      </w:r>
    </w:p>
    <w:p>
      <w:pPr>
        <w:pStyle w:val="Style31"/>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r>
        <w:rPr>
          <w:color w:val="000000"/>
          <w:spacing w:val="0"/>
          <w:w w:val="100"/>
          <w:position w:val="0"/>
          <w:sz w:val="24"/>
          <w:szCs w:val="24"/>
        </w:rPr>
        <w:t>十四、母公司财务报表主要项目注释</w:t>
      </w:r>
      <w:bookmarkEnd w:id="1391"/>
      <w:bookmarkEnd w:id="1392"/>
      <w:bookmarkEnd w:id="1393"/>
    </w:p>
    <w:p>
      <w:pPr>
        <w:pStyle w:val="Style54"/>
        <w:keepNext w:val="0"/>
        <w:keepLines w:val="0"/>
        <w:widowControl w:val="0"/>
        <w:shd w:val="clear" w:color="auto" w:fill="auto"/>
        <w:bidi w:val="0"/>
        <w:spacing w:before="0" w:after="340" w:line="240" w:lineRule="auto"/>
        <w:ind w:left="0" w:right="0" w:firstLine="440"/>
        <w:jc w:val="both"/>
      </w:pPr>
      <w:r>
        <w:rPr>
          <w:b w:val="0"/>
          <w:bCs w:val="0"/>
          <w:color w:val="000000"/>
          <w:spacing w:val="0"/>
          <w:w w:val="100"/>
          <w:position w:val="0"/>
        </w:rPr>
        <w:t>(以下金额单位若未特别注明者均为人民币元)</w:t>
      </w:r>
    </w:p>
    <w:p>
      <w:pPr>
        <w:pStyle w:val="Style44"/>
        <w:keepNext/>
        <w:keepLines/>
        <w:widowControl w:val="0"/>
        <w:shd w:val="clear" w:color="auto" w:fill="auto"/>
        <w:bidi w:val="0"/>
        <w:spacing w:before="0" w:after="340" w:line="240" w:lineRule="auto"/>
        <w:ind w:left="0" w:right="0" w:firstLine="440"/>
        <w:jc w:val="both"/>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394"/>
      <w:bookmarkEnd w:id="1395"/>
      <w:bookmarkEnd w:id="1396"/>
    </w:p>
    <w:p>
      <w:pPr>
        <w:pStyle w:val="Style44"/>
        <w:keepNext/>
        <w:keepLines/>
        <w:widowControl w:val="0"/>
        <w:shd w:val="clear" w:color="auto" w:fill="auto"/>
        <w:bidi w:val="0"/>
        <w:spacing w:before="0" w:after="340" w:line="240" w:lineRule="auto"/>
        <w:ind w:left="0" w:right="0" w:firstLine="440"/>
        <w:jc w:val="both"/>
      </w:pPr>
      <w:bookmarkStart w:id="1394" w:name="bookmark1394"/>
      <w:bookmarkStart w:id="1395" w:name="bookmark1395"/>
      <w:bookmarkStart w:id="1397" w:name="bookmark1397"/>
      <w:r>
        <w:rPr>
          <w:color w:val="000000"/>
          <w:spacing w:val="0"/>
          <w:w w:val="100"/>
          <w:position w:val="0"/>
        </w:rPr>
        <w:t>(1)应收账款</w:t>
      </w:r>
      <w:bookmarkEnd w:id="1394"/>
      <w:bookmarkEnd w:id="1395"/>
      <w:bookmarkEnd w:id="1397"/>
    </w:p>
    <w:tbl>
      <w:tblPr>
        <w:tblOverlap w:val="never"/>
        <w:jc w:val="center"/>
        <w:tblLayout w:type="fixed"/>
      </w:tblPr>
      <w:tblGrid>
        <w:gridCol w:w="2002"/>
        <w:gridCol w:w="1195"/>
        <w:gridCol w:w="528"/>
        <w:gridCol w:w="1330"/>
        <w:gridCol w:w="672"/>
        <w:gridCol w:w="1186"/>
        <w:gridCol w:w="662"/>
        <w:gridCol w:w="1334"/>
        <w:gridCol w:w="672"/>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 提坏账准备的应收账款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653,021,173.90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92.85</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14,100,792.07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623,926,482.68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18,563,963.32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2.98%</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合并范围内的关联方组</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50,309,170.93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35,789,653.01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2"/>
        <w:gridCol w:w="1195"/>
        <w:gridCol w:w="528"/>
        <w:gridCol w:w="1330"/>
        <w:gridCol w:w="667"/>
        <w:gridCol w:w="1190"/>
        <w:gridCol w:w="667"/>
        <w:gridCol w:w="1330"/>
        <w:gridCol w:w="672"/>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703,330,344.83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14,100,792.07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659,716,135.69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18,563,963.32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2.81%</w:t>
            </w:r>
          </w:p>
        </w:tc>
      </w:tr>
      <w:tr>
        <w:trPr>
          <w:trHeight w:val="1027"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703,330,344.83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14,100,792.07</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659,716,135.69</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18,563,963.32</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99" w:line="1" w:lineRule="exact"/>
      </w:pP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应收账款种类的说明：详见本附注四、10。</w:t>
      </w: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期末没有单项金额重大并单项计提坏账准备的应收账款。</w:t>
      </w:r>
    </w:p>
    <w:p>
      <w:pPr>
        <w:pStyle w:val="Style54"/>
        <w:keepNext w:val="0"/>
        <w:keepLines w:val="0"/>
        <w:widowControl w:val="0"/>
        <w:shd w:val="clear" w:color="auto" w:fill="auto"/>
        <w:bidi w:val="0"/>
        <w:spacing w:before="0" w:after="100" w:line="240" w:lineRule="auto"/>
        <w:ind w:left="0" w:right="0" w:firstLine="420"/>
        <w:jc w:val="left"/>
      </w:pPr>
      <w:r>
        <w:rPr>
          <w:b w:val="0"/>
          <w:bCs w:val="0"/>
          <w:color w:val="000000"/>
          <w:spacing w:val="0"/>
          <w:w w:val="100"/>
          <w:position w:val="0"/>
        </w:rPr>
        <w:t>组合中，采用账龄分析法计提坏账准备的应收账款</w:t>
      </w:r>
    </w:p>
    <w:tbl>
      <w:tblPr>
        <w:tblOverlap w:val="never"/>
        <w:jc w:val="center"/>
        <w:tblLayout w:type="fixed"/>
      </w:tblPr>
      <w:tblGrid>
        <w:gridCol w:w="1421"/>
        <w:gridCol w:w="1642"/>
        <w:gridCol w:w="912"/>
        <w:gridCol w:w="1421"/>
        <w:gridCol w:w="1915"/>
        <w:gridCol w:w="667"/>
        <w:gridCol w:w="160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506,477,816.18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2,532,389.08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406,606,055.53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2,033,030.29</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506,477,816.18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2,532,389.08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406,606,055.53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65.17%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2,033,030.29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76,320,045.53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3,816,002.28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170,519,721.24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8,525,986.06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67,982,965.62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6,798,296.56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34,330,877.04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5.51%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3,433,087.70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2,240,346.57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954,104.15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12,469,828.87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4,571,859.27</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1,173,720.67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352,116.20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8,315,275.81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1.33%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2,494,582.74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929,275.90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464,637.95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4,154,553.06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2,077,276.53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137,350.00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137,350.00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653,021,173.90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14,100,792.07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623,926,482.68</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18,563,963.32</w:t>
            </w:r>
          </w:p>
        </w:tc>
      </w:tr>
    </w:tbl>
    <w:p>
      <w:pPr>
        <w:widowControl w:val="0"/>
        <w:spacing w:after="319" w:line="1" w:lineRule="exact"/>
      </w:pPr>
    </w:p>
    <w:p>
      <w:pPr>
        <w:pStyle w:val="Style44"/>
        <w:keepNext/>
        <w:keepLines/>
        <w:widowControl w:val="0"/>
        <w:numPr>
          <w:ilvl w:val="0"/>
          <w:numId w:val="105"/>
        </w:numPr>
        <w:shd w:val="clear" w:color="auto" w:fill="auto"/>
        <w:tabs>
          <w:tab w:pos="860" w:val="left"/>
        </w:tabs>
        <w:bidi w:val="0"/>
        <w:spacing w:before="0" w:after="380" w:line="240" w:lineRule="auto"/>
        <w:ind w:left="0" w:right="0" w:firstLine="42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本期没有转回或收回应收账款情况。</w:t>
      </w:r>
      <w:bookmarkEnd w:id="1398"/>
      <w:bookmarkEnd w:id="1399"/>
      <w:bookmarkEnd w:id="1401"/>
    </w:p>
    <w:p>
      <w:pPr>
        <w:pStyle w:val="Style44"/>
        <w:keepNext/>
        <w:keepLines/>
        <w:widowControl w:val="0"/>
        <w:numPr>
          <w:ilvl w:val="0"/>
          <w:numId w:val="105"/>
        </w:numPr>
        <w:shd w:val="clear" w:color="auto" w:fill="auto"/>
        <w:tabs>
          <w:tab w:pos="860" w:val="left"/>
        </w:tabs>
        <w:bidi w:val="0"/>
        <w:spacing w:before="0" w:after="320" w:line="240" w:lineRule="auto"/>
        <w:ind w:left="0" w:right="0" w:firstLine="420"/>
        <w:jc w:val="left"/>
      </w:pPr>
      <w:bookmarkStart w:id="1398" w:name="bookmark1398"/>
      <w:bookmarkStart w:id="1399" w:name="bookmark1399"/>
      <w:bookmarkStart w:id="1402" w:name="bookmark1402"/>
      <w:bookmarkStart w:id="1403" w:name="bookmark1403"/>
      <w:bookmarkEnd w:id="1402"/>
      <w:r>
        <w:rPr>
          <w:color w:val="000000"/>
          <w:spacing w:val="0"/>
          <w:w w:val="100"/>
          <w:position w:val="0"/>
        </w:rPr>
        <w:t>本报告期实际核销的应收账款情况</w:t>
      </w:r>
      <w:bookmarkEnd w:id="1398"/>
      <w:bookmarkEnd w:id="1399"/>
      <w:bookmarkEnd w:id="1403"/>
    </w:p>
    <w:tbl>
      <w:tblPr>
        <w:tblOverlap w:val="never"/>
        <w:jc w:val="center"/>
        <w:tblLayout w:type="fixed"/>
      </w:tblPr>
      <w:tblGrid>
        <w:gridCol w:w="3120"/>
        <w:gridCol w:w="1560"/>
        <w:gridCol w:w="1704"/>
        <w:gridCol w:w="1133"/>
        <w:gridCol w:w="994"/>
        <w:gridCol w:w="1070"/>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是否因关联 交易产生</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延边农村商业银行股份有限公司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中国光大银行股份有限公司宁波分行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17,292.00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中国农业银行股份有限公司保定分行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中国农业银行股份有限公司北京市分行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16,543.50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中国农业银行股份有限公司广西壮族自</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25,733.07</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120"/>
        <w:gridCol w:w="1560"/>
        <w:gridCol w:w="1704"/>
        <w:gridCol w:w="1133"/>
        <w:gridCol w:w="994"/>
        <w:gridCol w:w="1070"/>
      </w:tblGrid>
      <w:tr>
        <w:trPr>
          <w:trHeight w:val="36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治区分行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中国农业银行股份有限公司湖北省分行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343,866.21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中国农业银行股份有限公司吉林省分行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50,425.26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中国农业银行股份有限公司江西省分行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25,489.00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中国农业银行股份有限公司辽宁省分行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21,942.74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中国农业银行股份有限公司内蒙古自治 区分行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151,094.10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中国农业银行股份有限公司山西省分行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10,008.35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中国农业银行股份有限公司陕西省分行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备件款及维护费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8,833.40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无法收回</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both"/>
            </w:pPr>
            <w:r>
              <w:rPr>
                <w:color w:val="000000"/>
                <w:spacing w:val="0"/>
                <w:w w:val="100"/>
                <w:position w:val="0"/>
              </w:rPr>
              <w:t>777,727.63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79" w:line="1" w:lineRule="exact"/>
      </w:pPr>
    </w:p>
    <w:p>
      <w:pPr>
        <w:pStyle w:val="Style44"/>
        <w:keepNext/>
        <w:keepLines/>
        <w:widowControl w:val="0"/>
        <w:shd w:val="clear" w:color="auto" w:fill="auto"/>
        <w:bidi w:val="0"/>
        <w:spacing w:before="0" w:after="360" w:line="240" w:lineRule="auto"/>
        <w:ind w:left="0" w:right="0" w:firstLine="400"/>
        <w:jc w:val="left"/>
      </w:pPr>
      <w:bookmarkStart w:id="1404" w:name="bookmark1404"/>
      <w:bookmarkStart w:id="1405" w:name="bookmark1405"/>
      <w:bookmarkStart w:id="1406" w:name="bookmark1406"/>
      <w:bookmarkStart w:id="1407" w:name="bookmark1407"/>
      <w:r>
        <w:rPr>
          <w:color w:val="000000"/>
          <w:spacing w:val="0"/>
          <w:w w:val="100"/>
          <w:position w:val="0"/>
        </w:rPr>
        <w:t>⑷</w:t>
      </w:r>
      <w:bookmarkEnd w:id="1406"/>
      <w:r>
        <w:rPr>
          <w:color w:val="000000"/>
          <w:spacing w:val="0"/>
          <w:w w:val="100"/>
          <w:position w:val="0"/>
        </w:rPr>
        <w:t>期末应收账款中无持本公司5%以上(含5%)表决权股份的股东单位欠款。</w:t>
      </w:r>
      <w:bookmarkEnd w:id="1404"/>
      <w:bookmarkEnd w:id="1405"/>
      <w:bookmarkEnd w:id="1407"/>
    </w:p>
    <w:p>
      <w:pPr>
        <w:pStyle w:val="Style44"/>
        <w:keepNext/>
        <w:keepLines/>
        <w:widowControl w:val="0"/>
        <w:numPr>
          <w:ilvl w:val="0"/>
          <w:numId w:val="101"/>
        </w:numPr>
        <w:shd w:val="clear" w:color="auto" w:fill="auto"/>
        <w:bidi w:val="0"/>
        <w:spacing w:before="0" w:after="360" w:line="240" w:lineRule="auto"/>
        <w:ind w:left="0" w:right="0" w:firstLine="400"/>
        <w:jc w:val="left"/>
      </w:pPr>
      <w:bookmarkStart w:id="1404" w:name="bookmark1404"/>
      <w:bookmarkStart w:id="1405" w:name="bookmark1405"/>
      <w:bookmarkStart w:id="1408" w:name="bookmark1408"/>
      <w:bookmarkStart w:id="1409" w:name="bookmark1409"/>
      <w:bookmarkEnd w:id="1408"/>
      <w:r>
        <w:rPr>
          <w:color w:val="000000"/>
          <w:spacing w:val="0"/>
          <w:w w:val="100"/>
          <w:position w:val="0"/>
        </w:rPr>
        <w:t>应收账款中金额前五名单位情况</w:t>
      </w:r>
      <w:bookmarkEnd w:id="1404"/>
      <w:bookmarkEnd w:id="1405"/>
      <w:bookmarkEnd w:id="1409"/>
    </w:p>
    <w:tbl>
      <w:tblPr>
        <w:tblOverlap w:val="never"/>
        <w:jc w:val="center"/>
        <w:tblLayout w:type="fixed"/>
      </w:tblPr>
      <w:tblGrid>
        <w:gridCol w:w="3691"/>
        <w:gridCol w:w="1699"/>
        <w:gridCol w:w="1560"/>
        <w:gridCol w:w="1416"/>
        <w:gridCol w:w="1214"/>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占应收账款总 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80,021,135.80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55,719,206.91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32,033,512.94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(HK) Co., 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28,247,970.93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24,143,637.27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220,165,463.85</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31.30%</w:t>
            </w:r>
          </w:p>
        </w:tc>
      </w:tr>
    </w:tbl>
    <w:p>
      <w:pPr>
        <w:widowControl w:val="0"/>
        <w:spacing w:after="299" w:line="1" w:lineRule="exact"/>
      </w:pPr>
    </w:p>
    <w:p>
      <w:pPr>
        <w:pStyle w:val="Style44"/>
        <w:keepNext/>
        <w:keepLines/>
        <w:widowControl w:val="0"/>
        <w:numPr>
          <w:ilvl w:val="0"/>
          <w:numId w:val="101"/>
        </w:numPr>
        <w:shd w:val="clear" w:color="auto" w:fill="auto"/>
        <w:bidi w:val="0"/>
        <w:spacing w:before="0" w:after="300" w:line="240" w:lineRule="auto"/>
        <w:ind w:left="0" w:right="0" w:firstLine="40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应收关联方账款情况</w:t>
      </w:r>
      <w:bookmarkEnd w:id="1410"/>
      <w:bookmarkEnd w:id="1411"/>
      <w:bookmarkEnd w:id="1413"/>
    </w:p>
    <w:tbl>
      <w:tblPr>
        <w:tblOverlap w:val="never"/>
        <w:jc w:val="center"/>
        <w:tblLayout w:type="fixed"/>
      </w:tblPr>
      <w:tblGrid>
        <w:gridCol w:w="3830"/>
        <w:gridCol w:w="1560"/>
        <w:gridCol w:w="1757"/>
        <w:gridCol w:w="2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占应收账款总额的比例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 (HK)Co.,Limited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28,247,970.93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22,061,200.00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50,309,170.93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r>
    </w:tbl>
    <w:p>
      <w:pPr>
        <w:widowControl w:val="0"/>
        <w:spacing w:after="299" w:line="1" w:lineRule="exact"/>
      </w:pPr>
    </w:p>
    <w:p>
      <w:pPr>
        <w:pStyle w:val="Style44"/>
        <w:keepNext/>
        <w:keepLines/>
        <w:widowControl w:val="0"/>
        <w:numPr>
          <w:ilvl w:val="0"/>
          <w:numId w:val="101"/>
        </w:numPr>
        <w:shd w:val="clear" w:color="auto" w:fill="auto"/>
        <w:tabs>
          <w:tab w:pos="840" w:val="left"/>
        </w:tabs>
        <w:bidi w:val="0"/>
        <w:spacing w:before="0" w:after="300" w:line="240" w:lineRule="auto"/>
        <w:ind w:left="0" w:right="0" w:firstLine="40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本期没有因金融资产转移而终止确认的应收款项。</w:t>
      </w:r>
      <w:bookmarkEnd w:id="1414"/>
      <w:bookmarkEnd w:id="1415"/>
      <w:bookmarkEnd w:id="1417"/>
    </w:p>
    <w:p>
      <w:pPr>
        <w:pStyle w:val="Style44"/>
        <w:keepNext/>
        <w:keepLines/>
        <w:widowControl w:val="0"/>
        <w:numPr>
          <w:ilvl w:val="0"/>
          <w:numId w:val="101"/>
        </w:numPr>
        <w:shd w:val="clear" w:color="auto" w:fill="auto"/>
        <w:tabs>
          <w:tab w:pos="840" w:val="left"/>
        </w:tabs>
        <w:bidi w:val="0"/>
        <w:spacing w:before="0" w:after="300" w:line="240" w:lineRule="auto"/>
        <w:ind w:left="0" w:right="0" w:firstLine="400"/>
        <w:jc w:val="left"/>
      </w:pPr>
      <w:bookmarkStart w:id="1414" w:name="bookmark1414"/>
      <w:bookmarkStart w:id="1415" w:name="bookmark1415"/>
      <w:bookmarkStart w:id="1418" w:name="bookmark1418"/>
      <w:bookmarkStart w:id="1419" w:name="bookmark1419"/>
      <w:bookmarkEnd w:id="1418"/>
      <w:r>
        <w:rPr>
          <w:color w:val="000000"/>
          <w:spacing w:val="0"/>
          <w:w w:val="100"/>
          <w:position w:val="0"/>
        </w:rPr>
        <w:t>本期没有未全部终止确认的被转移的应收账款。</w:t>
      </w:r>
      <w:bookmarkEnd w:id="1414"/>
      <w:bookmarkEnd w:id="1415"/>
      <w:bookmarkEnd w:id="1419"/>
    </w:p>
    <w:p>
      <w:pPr>
        <w:pStyle w:val="Style44"/>
        <w:keepNext/>
        <w:keepLines/>
        <w:widowControl w:val="0"/>
        <w:shd w:val="clear" w:color="auto" w:fill="auto"/>
        <w:bidi w:val="0"/>
        <w:spacing w:before="0" w:after="300" w:line="240" w:lineRule="auto"/>
        <w:ind w:left="0" w:right="0" w:firstLine="400"/>
        <w:jc w:val="left"/>
      </w:pPr>
      <w:bookmarkStart w:id="1414" w:name="bookmark1414"/>
      <w:bookmarkStart w:id="1415" w:name="bookmark1415"/>
      <w:bookmarkStart w:id="1420" w:name="bookmark1420"/>
      <w:r>
        <w:rPr>
          <w:color w:val="000000"/>
          <w:spacing w:val="0"/>
          <w:w w:val="100"/>
          <w:position w:val="0"/>
        </w:rPr>
        <w:t>⑼期末没有以应收款项为标的进行证券化的情况。</w:t>
      </w:r>
      <w:bookmarkEnd w:id="1414"/>
      <w:bookmarkEnd w:id="1415"/>
      <w:bookmarkEnd w:id="1420"/>
      <w:r>
        <w:br w:type="page"/>
      </w:r>
    </w:p>
    <w:p>
      <w:pPr>
        <w:pStyle w:val="Style44"/>
        <w:keepNext/>
        <w:keepLines/>
        <w:widowControl w:val="0"/>
        <w:shd w:val="clear" w:color="auto" w:fill="auto"/>
        <w:bidi w:val="0"/>
        <w:spacing w:before="0" w:after="380" w:line="240" w:lineRule="auto"/>
        <w:ind w:left="0" w:right="0" w:firstLine="42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21"/>
      <w:bookmarkEnd w:id="1422"/>
      <w:bookmarkEnd w:id="1423"/>
    </w:p>
    <w:p>
      <w:pPr>
        <w:pStyle w:val="Style44"/>
        <w:keepNext/>
        <w:keepLines/>
        <w:widowControl w:val="0"/>
        <w:shd w:val="clear" w:color="auto" w:fill="auto"/>
        <w:bidi w:val="0"/>
        <w:spacing w:before="0" w:after="320" w:line="240" w:lineRule="auto"/>
        <w:ind w:left="0" w:right="0" w:firstLine="420"/>
        <w:jc w:val="left"/>
      </w:pPr>
      <w:bookmarkStart w:id="1421" w:name="bookmark1421"/>
      <w:bookmarkStart w:id="1422" w:name="bookmark1422"/>
      <w:bookmarkStart w:id="1424" w:name="bookmark1424"/>
      <w:r>
        <w:rPr>
          <w:color w:val="000000"/>
          <w:spacing w:val="0"/>
          <w:w w:val="100"/>
          <w:position w:val="0"/>
        </w:rPr>
        <w:t>(1)其他应收款</w:t>
      </w:r>
      <w:bookmarkEnd w:id="1421"/>
      <w:bookmarkEnd w:id="1422"/>
      <w:bookmarkEnd w:id="1424"/>
    </w:p>
    <w:tbl>
      <w:tblPr>
        <w:tblOverlap w:val="never"/>
        <w:jc w:val="center"/>
        <w:tblLayout w:type="fixed"/>
      </w:tblPr>
      <w:tblGrid>
        <w:gridCol w:w="2174"/>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单项金额重大并单项计提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18,566,880.03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83.24</w:t>
            </w:r>
          </w:p>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113,784.40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13,844,380.49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87,487.66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0.63%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合并范围内的关联方组合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166,853.68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应收补贴款组合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3,570,526.10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16.01</w:t>
            </w:r>
          </w:p>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22,304,259.81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113,784.40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13,844,380.49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87,487.66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0.63%</w:t>
            </w:r>
          </w:p>
        </w:tc>
      </w:tr>
      <w:tr>
        <w:trPr>
          <w:trHeight w:val="1022"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单项金额虽不重大但单项 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22,304,259.81</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113,784.40</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13,844,380.49</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00"/>
              <w:jc w:val="both"/>
            </w:pPr>
            <w:r>
              <w:rPr>
                <w:color w:val="000000"/>
                <w:spacing w:val="0"/>
                <w:w w:val="100"/>
                <w:position w:val="0"/>
              </w:rPr>
              <w:t>87,487.66</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99" w:line="1" w:lineRule="exact"/>
      </w:pP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其他应收款种类的说明：详见本附注四、10。</w:t>
      </w:r>
    </w:p>
    <w:p>
      <w:pPr>
        <w:pStyle w:val="Style54"/>
        <w:keepNext w:val="0"/>
        <w:keepLines w:val="0"/>
        <w:widowControl w:val="0"/>
        <w:shd w:val="clear" w:color="auto" w:fill="auto"/>
        <w:bidi w:val="0"/>
        <w:spacing w:before="0" w:after="180" w:line="240" w:lineRule="auto"/>
        <w:ind w:left="0" w:right="0" w:firstLine="420"/>
        <w:jc w:val="left"/>
      </w:pPr>
      <w:r>
        <w:rPr>
          <w:b w:val="0"/>
          <w:bCs w:val="0"/>
          <w:color w:val="000000"/>
          <w:spacing w:val="0"/>
          <w:w w:val="100"/>
          <w:position w:val="0"/>
        </w:rPr>
        <w:t>期末没有单项金额重大并单项计提坏账准备的其他应收款。</w:t>
      </w:r>
    </w:p>
    <w:p>
      <w:pPr>
        <w:pStyle w:val="Style54"/>
        <w:keepNext w:val="0"/>
        <w:keepLines w:val="0"/>
        <w:widowControl w:val="0"/>
        <w:shd w:val="clear" w:color="auto" w:fill="auto"/>
        <w:bidi w:val="0"/>
        <w:spacing w:before="0" w:after="100" w:line="240" w:lineRule="auto"/>
        <w:ind w:left="0" w:right="0" w:firstLine="420"/>
        <w:jc w:val="left"/>
      </w:pPr>
      <w:r>
        <w:rPr>
          <w:b w:val="0"/>
          <w:bCs w:val="0"/>
          <w:color w:val="000000"/>
          <w:spacing w:val="0"/>
          <w:w w:val="100"/>
          <w:position w:val="0"/>
        </w:rPr>
        <w:t>组合中，采用账龄分析法计提坏账准备的其他应收款</w:t>
      </w:r>
    </w:p>
    <w:tbl>
      <w:tblPr>
        <w:tblOverlap w:val="never"/>
        <w:jc w:val="center"/>
        <w:tblLayout w:type="fixed"/>
      </w:tblPr>
      <w:tblGrid>
        <w:gridCol w:w="1267"/>
        <w:gridCol w:w="1795"/>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比例</w:t>
            </w:r>
          </w:p>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18,536,880.03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92,684.40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13,814,030.49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69,070.16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18,536,880.03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99.84%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92,684.40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13,814,030.49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99.78%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69,070.16</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6,350.00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24,000.00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18,100.00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7,000.00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w:t>
            </w:r>
          </w:p>
        </w:tc>
      </w:tr>
    </w:tbl>
    <w:p>
      <w:pPr>
        <w:spacing w:lineRule="exact" w:line="1"/>
        <w:rPr>
          <w:sz w:val="2"/>
          <w:szCs w:val="2"/>
        </w:rPr>
      </w:pPr>
      <w:r>
        <w:br w:type="page"/>
      </w:r>
    </w:p>
    <w:tbl>
      <w:tblPr>
        <w:tblOverlap w:val="never"/>
        <w:jc w:val="center"/>
        <w:tblLayout w:type="fixed"/>
      </w:tblPr>
      <w:tblGrid>
        <w:gridCol w:w="1267"/>
        <w:gridCol w:w="1795"/>
        <w:gridCol w:w="662"/>
        <w:gridCol w:w="1594"/>
        <w:gridCol w:w="1862"/>
        <w:gridCol w:w="667"/>
        <w:gridCol w:w="1733"/>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0.11%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18,566,880.03</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113,784.40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13,844,380.49</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87,487.66</w:t>
            </w:r>
          </w:p>
        </w:tc>
      </w:tr>
    </w:tbl>
    <w:p>
      <w:pPr>
        <w:widowControl w:val="0"/>
        <w:spacing w:after="339" w:line="1" w:lineRule="exact"/>
      </w:pPr>
    </w:p>
    <w:p>
      <w:pPr>
        <w:pStyle w:val="Style5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(2)本期没有转回或收回其他应收款情况。</w:t>
      </w:r>
    </w:p>
    <w:p>
      <w:pPr>
        <w:pStyle w:val="Style54"/>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⑶本报告期没有实际核销的其他应收款情况。</w:t>
      </w:r>
    </w:p>
    <w:p>
      <w:pPr>
        <w:pStyle w:val="Style54"/>
        <w:keepNext w:val="0"/>
        <w:keepLines w:val="0"/>
        <w:widowControl w:val="0"/>
        <w:numPr>
          <w:ilvl w:val="0"/>
          <w:numId w:val="107"/>
        </w:numPr>
        <w:shd w:val="clear" w:color="auto" w:fill="auto"/>
        <w:tabs>
          <w:tab w:pos="860" w:val="left"/>
        </w:tabs>
        <w:bidi w:val="0"/>
        <w:spacing w:before="0" w:after="380" w:line="240" w:lineRule="auto"/>
        <w:ind w:left="0" w:right="0" w:firstLine="420"/>
        <w:jc w:val="left"/>
      </w:pPr>
      <w:bookmarkStart w:id="1425" w:name="bookmark1425"/>
      <w:bookmarkEnd w:id="1425"/>
      <w:r>
        <w:rPr>
          <w:color w:val="000000"/>
          <w:spacing w:val="0"/>
          <w:w w:val="100"/>
          <w:position w:val="0"/>
        </w:rPr>
        <w:t>期末其他应收款中没有持本公司5%以上(含5%)表决权股份的股东单位欠款。</w:t>
      </w:r>
    </w:p>
    <w:p>
      <w:pPr>
        <w:pStyle w:val="Style54"/>
        <w:keepNext w:val="0"/>
        <w:keepLines w:val="0"/>
        <w:widowControl w:val="0"/>
        <w:numPr>
          <w:ilvl w:val="0"/>
          <w:numId w:val="107"/>
        </w:numPr>
        <w:shd w:val="clear" w:color="auto" w:fill="auto"/>
        <w:tabs>
          <w:tab w:pos="860" w:val="left"/>
        </w:tabs>
        <w:bidi w:val="0"/>
        <w:spacing w:before="0" w:after="340" w:line="240" w:lineRule="auto"/>
        <w:ind w:left="0" w:right="0" w:firstLine="420"/>
        <w:jc w:val="left"/>
      </w:pPr>
      <w:bookmarkStart w:id="1426" w:name="bookmark1426"/>
      <w:bookmarkEnd w:id="1426"/>
      <w:r>
        <w:rPr>
          <w:color w:val="000000"/>
          <w:spacing w:val="0"/>
          <w:w w:val="100"/>
          <w:position w:val="0"/>
        </w:rPr>
        <w:t>其他应收款金额前五名单位情况</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3,570,526.10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16.01%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员工一(投标保证金)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12.55%</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员工二(投标保证金)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2,610,000.00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11.70%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员工三(测试钞)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2,033,676.60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员工四(测试钞)</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员工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1,298,195.82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12,312,398.52</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55.20%</w:t>
            </w:r>
          </w:p>
        </w:tc>
      </w:tr>
    </w:tbl>
    <w:p>
      <w:pPr>
        <w:widowControl w:val="0"/>
        <w:spacing w:after="339" w:line="1" w:lineRule="exact"/>
      </w:pPr>
    </w:p>
    <w:p>
      <w:pPr>
        <w:pStyle w:val="Style54"/>
        <w:keepNext w:val="0"/>
        <w:keepLines w:val="0"/>
        <w:widowControl w:val="0"/>
        <w:numPr>
          <w:ilvl w:val="0"/>
          <w:numId w:val="107"/>
        </w:numPr>
        <w:shd w:val="clear" w:color="auto" w:fill="auto"/>
        <w:bidi w:val="0"/>
        <w:spacing w:before="0" w:after="340" w:line="240" w:lineRule="auto"/>
        <w:ind w:left="0" w:right="0" w:firstLine="420"/>
        <w:jc w:val="left"/>
      </w:pPr>
      <w:bookmarkStart w:id="1427" w:name="bookmark1427"/>
      <w:bookmarkEnd w:id="1427"/>
      <w:r>
        <w:rPr>
          <w:color w:val="000000"/>
          <w:spacing w:val="0"/>
          <w:w w:val="100"/>
          <w:position w:val="0"/>
        </w:rPr>
        <w:t>其他应收关联方账款情况</w:t>
      </w:r>
    </w:p>
    <w:tbl>
      <w:tblPr>
        <w:tblOverlap w:val="never"/>
        <w:jc w:val="center"/>
        <w:tblLayout w:type="fixed"/>
      </w:tblPr>
      <w:tblGrid>
        <w:gridCol w:w="3403"/>
        <w:gridCol w:w="1843"/>
        <w:gridCol w:w="1901"/>
        <w:gridCol w:w="2434"/>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广州广电汇通金融服务有限公司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140,443.71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广州广电运通信息科技有限公司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25,296.97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0.11%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广州中智融通金融科技有限公司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166,853.68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0.75%</w:t>
            </w:r>
          </w:p>
        </w:tc>
      </w:tr>
    </w:tbl>
    <w:p>
      <w:pPr>
        <w:widowControl w:val="0"/>
        <w:spacing w:after="339" w:line="1" w:lineRule="exact"/>
      </w:pPr>
    </w:p>
    <w:p>
      <w:pPr>
        <w:pStyle w:val="Style54"/>
        <w:keepNext w:val="0"/>
        <w:keepLines w:val="0"/>
        <w:widowControl w:val="0"/>
        <w:numPr>
          <w:ilvl w:val="0"/>
          <w:numId w:val="107"/>
        </w:numPr>
        <w:shd w:val="clear" w:color="auto" w:fill="auto"/>
        <w:tabs>
          <w:tab w:pos="860" w:val="left"/>
        </w:tabs>
        <w:bidi w:val="0"/>
        <w:spacing w:before="0" w:after="380" w:line="240" w:lineRule="auto"/>
        <w:ind w:left="0" w:right="0" w:firstLine="420"/>
        <w:jc w:val="left"/>
      </w:pPr>
      <w:bookmarkStart w:id="1428" w:name="bookmark1428"/>
      <w:bookmarkEnd w:id="1428"/>
      <w:r>
        <w:rPr>
          <w:color w:val="000000"/>
          <w:spacing w:val="0"/>
          <w:w w:val="100"/>
          <w:position w:val="0"/>
        </w:rPr>
        <w:t>本期没有因金融资产转移而终止确认的其他应收款。</w:t>
      </w:r>
    </w:p>
    <w:p>
      <w:pPr>
        <w:pStyle w:val="Style54"/>
        <w:keepNext w:val="0"/>
        <w:keepLines w:val="0"/>
        <w:widowControl w:val="0"/>
        <w:numPr>
          <w:ilvl w:val="0"/>
          <w:numId w:val="107"/>
        </w:numPr>
        <w:shd w:val="clear" w:color="auto" w:fill="auto"/>
        <w:tabs>
          <w:tab w:pos="860" w:val="left"/>
        </w:tabs>
        <w:bidi w:val="0"/>
        <w:spacing w:before="0" w:after="380" w:line="240" w:lineRule="auto"/>
        <w:ind w:left="0" w:right="0" w:firstLine="420"/>
        <w:jc w:val="left"/>
      </w:pPr>
      <w:bookmarkStart w:id="1429" w:name="bookmark1429"/>
      <w:bookmarkEnd w:id="1429"/>
      <w:r>
        <w:rPr>
          <w:color w:val="000000"/>
          <w:spacing w:val="0"/>
          <w:w w:val="100"/>
          <w:position w:val="0"/>
        </w:rPr>
        <w:t>本期没有未全部终止确认的被转移的其他应收款。</w:t>
      </w:r>
    </w:p>
    <w:p>
      <w:pPr>
        <w:pStyle w:val="Style54"/>
        <w:keepNext w:val="0"/>
        <w:keepLines w:val="0"/>
        <w:widowControl w:val="0"/>
        <w:numPr>
          <w:ilvl w:val="0"/>
          <w:numId w:val="107"/>
        </w:numPr>
        <w:shd w:val="clear" w:color="auto" w:fill="auto"/>
        <w:tabs>
          <w:tab w:pos="860" w:val="left"/>
        </w:tabs>
        <w:bidi w:val="0"/>
        <w:spacing w:before="0" w:after="340" w:line="240" w:lineRule="auto"/>
        <w:ind w:left="0" w:right="0" w:firstLine="420"/>
        <w:jc w:val="left"/>
        <w:sectPr>
          <w:headerReference w:type="default" r:id="rId33"/>
          <w:footerReference w:type="default" r:id="rId34"/>
          <w:footnotePr>
            <w:pos w:val="pageBottom"/>
            <w:numFmt w:val="decimal"/>
            <w:numRestart w:val="continuous"/>
          </w:footnotePr>
          <w:pgSz w:w="11900" w:h="16840"/>
          <w:pgMar w:top="1354" w:right="1069" w:bottom="1431" w:left="1049" w:header="0" w:footer="3" w:gutter="0"/>
          <w:cols w:space="720"/>
          <w:noEndnote/>
          <w:rtlGutter w:val="0"/>
          <w:docGrid w:linePitch="360"/>
        </w:sectPr>
      </w:pPr>
      <w:bookmarkStart w:id="1430" w:name="bookmark1430"/>
      <w:bookmarkEnd w:id="1430"/>
      <w:r>
        <w:rPr>
          <w:color w:val="000000"/>
          <w:spacing w:val="0"/>
          <w:w w:val="100"/>
          <w:position w:val="0"/>
        </w:rPr>
        <w:t>期末没有以其他应收款为标的进行证券化的情况。</w:t>
      </w:r>
    </w:p>
    <w:p>
      <w:pPr>
        <w:pStyle w:val="Style44"/>
        <w:keepNext/>
        <w:keepLines/>
        <w:widowControl w:val="0"/>
        <w:shd w:val="clear" w:color="auto" w:fill="auto"/>
        <w:bidi w:val="0"/>
        <w:spacing w:before="0" w:after="320" w:line="240" w:lineRule="auto"/>
        <w:ind w:left="0" w:right="0" w:firstLine="42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color w:val="000000"/>
          <w:spacing w:val="0"/>
          <w:w w:val="100"/>
          <w:position w:val="0"/>
        </w:rPr>
        <w:t>、长期股权投资</w:t>
      </w:r>
      <w:bookmarkEnd w:id="1431"/>
      <w:bookmarkEnd w:id="1432"/>
      <w:bookmarkEnd w:id="1434"/>
    </w:p>
    <w:tbl>
      <w:tblPr>
        <w:tblOverlap w:val="never"/>
        <w:jc w:val="center"/>
        <w:tblLayout w:type="fixed"/>
      </w:tblPr>
      <w:tblGrid>
        <w:gridCol w:w="1426"/>
        <w:gridCol w:w="710"/>
        <w:gridCol w:w="1272"/>
        <w:gridCol w:w="1277"/>
        <w:gridCol w:w="1277"/>
        <w:gridCol w:w="1277"/>
        <w:gridCol w:w="989"/>
        <w:gridCol w:w="1277"/>
        <w:gridCol w:w="1416"/>
        <w:gridCol w:w="994"/>
        <w:gridCol w:w="850"/>
        <w:gridCol w:w="1147"/>
      </w:tblGrid>
      <w:tr>
        <w:trPr>
          <w:trHeight w:val="134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核算方 法</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307" w:lineRule="exact"/>
              <w:ind w:left="0" w:right="0" w:firstLine="0"/>
              <w:jc w:val="both"/>
            </w:pPr>
            <w:r>
              <w:rPr>
                <w:rFonts w:ascii="SimSun" w:eastAsia="SimSun" w:hAnsi="SimSun" w:cs="SimSun"/>
                <w:color w:val="000000"/>
                <w:spacing w:val="0"/>
                <w:w w:val="100"/>
                <w:position w:val="0"/>
              </w:rPr>
              <w:t>在被投资单 位持股比例</w:t>
            </w:r>
          </w:p>
          <w:p>
            <w:pPr>
              <w:pStyle w:val="Style28"/>
              <w:keepNext w:val="0"/>
              <w:keepLines w:val="0"/>
              <w:widowControl w:val="0"/>
              <w:shd w:val="clear" w:color="auto" w:fill="auto"/>
              <w:bidi w:val="0"/>
              <w:spacing w:before="0" w:after="0" w:line="36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在被投资单位 表决权比例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在被投资单位持 股比例与表决权 比例不一致的说 明</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本期计提</w:t>
            </w:r>
          </w:p>
          <w:p>
            <w:pPr>
              <w:pStyle w:val="Style28"/>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本期现金红 利</w:t>
            </w: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广州市龙源环保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168,000,000.00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159,316,646.47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-159,316,646.47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广州市广百小额 贷款有限公司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60,428,027.69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60,428,027.69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深圳广电银通金 融电子科技有限 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96,479,295.26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95,532,442.74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95,532,442.74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广州穗通金融服 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25,500,000.00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2,694,005.65</w:t>
            </w:r>
          </w:p>
        </w:tc>
      </w:tr>
      <w:tr>
        <w:trPr>
          <w:trHeight w:val="102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60" w:lineRule="auto"/>
              <w:ind w:left="0" w:right="0" w:firstLine="0"/>
              <w:jc w:val="both"/>
            </w:pPr>
            <w:r>
              <w:rPr>
                <w:color w:val="000000"/>
                <w:spacing w:val="0"/>
                <w:w w:val="100"/>
                <w:position w:val="0"/>
              </w:rPr>
              <w:t>GRGBankingEqui pment(HK)Co.,Li mited</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20,268,540.00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20,268,540.00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20,268,540.00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广州支点创业投 资有限公司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广州中智融通金 融科技有限公司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广州市龙源环保 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150,971,193.64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150,971,193.64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150,971,193.64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广州广电汇通金 融服务有限公司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广州广电银通金</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成本法</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50,754,424.84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50,754,424.84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50,754,424.84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不存在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6"/>
        <w:gridCol w:w="710"/>
        <w:gridCol w:w="1272"/>
        <w:gridCol w:w="1277"/>
        <w:gridCol w:w="1277"/>
        <w:gridCol w:w="1277"/>
        <w:gridCol w:w="989"/>
        <w:gridCol w:w="1277"/>
        <w:gridCol w:w="1416"/>
        <w:gridCol w:w="994"/>
        <w:gridCol w:w="850"/>
        <w:gridCol w:w="1147"/>
      </w:tblGrid>
      <w:tr>
        <w:trPr>
          <w:trHeight w:val="7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融电子科技有限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广州广电运通信 息科技有限公司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不存在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781,973,453.74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390,417,629.21</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223,036,999.70</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613,454,628.91</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2,694,005.65</w:t>
            </w:r>
          </w:p>
        </w:tc>
      </w:tr>
    </w:tbl>
    <w:p>
      <w:pPr>
        <w:sectPr>
          <w:headerReference w:type="default" r:id="rId35"/>
          <w:footerReference w:type="default" r:id="rId36"/>
          <w:footnotePr>
            <w:pos w:val="pageBottom"/>
            <w:numFmt w:val="decimal"/>
            <w:numRestart w:val="continuous"/>
          </w:footnotePr>
          <w:pgSz w:w="16840" w:h="11900" w:orient="landscape"/>
          <w:pgMar w:top="1126" w:right="1498" w:bottom="1328" w:left="1431" w:header="0" w:footer="3" w:gutter="0"/>
          <w:cols w:space="720"/>
          <w:noEndnote/>
          <w:rtlGutter w:val="0"/>
          <w:docGrid w:linePitch="360"/>
        </w:sectPr>
      </w:pP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长期股权投资的说明：</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注1：深圳广电银通电子科技有限公司，经深圳市对外贸易经济合作局深外经贸资复[2004]0128号文 批准，由</w:t>
      </w:r>
      <w:r>
        <w:rPr>
          <w:b w:val="0"/>
          <w:bCs w:val="0"/>
          <w:color w:val="000000"/>
          <w:spacing w:val="0"/>
          <w:w w:val="100"/>
          <w:position w:val="0"/>
        </w:rPr>
        <w:t>TECHELITEHOLDINGSLIMITED,</w:t>
      </w:r>
      <w:r>
        <w:rPr>
          <w:b w:val="0"/>
          <w:bCs w:val="0"/>
          <w:color w:val="000000"/>
          <w:spacing w:val="0"/>
          <w:w w:val="100"/>
          <w:position w:val="0"/>
        </w:rPr>
        <w:t>广州无线电集团有限公司、本公司共同投资成立，注册资本1000万 美元，出资比例分别为，51%、25%、24%，于2004年2月27日成立，并取得深圳市工商行政管理局企合粤深 总字第110562号企业法人营业执照。2005年12月24日</w:t>
      </w:r>
      <w:r>
        <w:rPr>
          <w:b w:val="0"/>
          <w:bCs w:val="0"/>
          <w:color w:val="000000"/>
          <w:spacing w:val="0"/>
          <w:w w:val="100"/>
          <w:position w:val="0"/>
        </w:rPr>
        <w:t>TECHELITEHOLDINGSLIMITED</w:t>
      </w:r>
      <w:r>
        <w:rPr>
          <w:b w:val="0"/>
          <w:bCs w:val="0"/>
          <w:color w:val="000000"/>
          <w:spacing w:val="0"/>
          <w:w w:val="100"/>
          <w:position w:val="0"/>
        </w:rPr>
        <w:t xml:space="preserve">持有的51%股权全部转让 给本公司，企业性质由合资企业变更为内资企业，取得了深圳市工商行政管理局核发的4403011199600号 企业法人营业执照，注册资本为8000万人民币。2006年4月公司注册资本由8000万元人民币减少至4000万 元人民币。2006年5月广州无线电集团有限公司将所持有的25%的股权转让给本公司，股权转让后本公司持 有该公司100%股权。2007年9月本公司增资5, </w:t>
      </w:r>
      <w:r>
        <w:rPr>
          <w:b w:val="0"/>
          <w:bCs w:val="0"/>
          <w:color w:val="000000"/>
          <w:spacing w:val="0"/>
          <w:w w:val="100"/>
          <w:position w:val="0"/>
        </w:rPr>
        <w:t xml:space="preserve">527. </w:t>
      </w:r>
      <w:r>
        <w:rPr>
          <w:b w:val="0"/>
          <w:bCs w:val="0"/>
          <w:color w:val="000000"/>
          <w:spacing w:val="0"/>
          <w:w w:val="100"/>
          <w:position w:val="0"/>
        </w:rPr>
        <w:t>14万元，其中</w:t>
      </w:r>
      <w:r>
        <w:rPr>
          <w:b w:val="0"/>
          <w:bCs w:val="0"/>
          <w:color w:val="000000"/>
          <w:spacing w:val="0"/>
          <w:w w:val="100"/>
          <w:position w:val="0"/>
        </w:rPr>
        <w:t>2,500.00</w:t>
      </w:r>
      <w:r>
        <w:rPr>
          <w:b w:val="0"/>
          <w:bCs w:val="0"/>
          <w:color w:val="000000"/>
          <w:spacing w:val="0"/>
          <w:w w:val="100"/>
          <w:position w:val="0"/>
        </w:rPr>
        <w:t>万元用于增加实收资本，于2007 年10月16日办理了工商变更登记，取得深圳市工商行政管理局440301102895058号企业法人营业执照。经 营范围：研发、生产经营金融电子设备；计算机软件开发，计算机系统集成，计算机设备、金融电子设备、 办公设备、税控设备的技术开发、技术咨询、技术服务及租赁；货物及技术进出口；接受合法委托对现金 及有价证券提供清分处理服务。</w:t>
      </w:r>
    </w:p>
    <w:p>
      <w:pPr>
        <w:pStyle w:val="Style54"/>
        <w:keepNext w:val="0"/>
        <w:keepLines w:val="0"/>
        <w:widowControl w:val="0"/>
        <w:shd w:val="clear" w:color="auto" w:fill="auto"/>
        <w:bidi w:val="0"/>
        <w:spacing w:before="0" w:after="0" w:line="391" w:lineRule="exact"/>
        <w:ind w:left="0" w:right="0" w:firstLine="440"/>
        <w:jc w:val="both"/>
      </w:pPr>
      <w:r>
        <w:rPr>
          <w:b w:val="0"/>
          <w:bCs w:val="0"/>
          <w:color w:val="000000"/>
          <w:spacing w:val="0"/>
          <w:w w:val="100"/>
          <w:position w:val="0"/>
        </w:rPr>
        <w:t>注2：广州穗通金融服务有限公司于2008年12月30日成立，注册资本为3,000万元，其中本公司出资 1,530万元，占51%股权；广州汇卓出资870万元，占29%股权；广州东亚出资360万元，占12%股权；广 州穗保出资240万元，占8%股权。2013年6月各股东以货币方式同比例进行增资2,000万元，其中：本公司 增资1,020万元，广州汇卓增资580万元，广州东亚增资240万元，广州穗保增资160万元，于2013年7月3日 办理了工商变更登记，取得广州市工商行政管理局核发注册号为440101000136864的企业法人营业执照， 注册资本为5,000万元，注册地址为广州市天河区黄埔大道西平云路163号通讯车间大楼七楼东面，法定代 表人为赵友永，经营范围为：受银行委托对自动柜员机进行日常维护及管理，对现金及有价证券提供清分 处理服务；计算机软件开发、销售；计算机设备、金融电子设备、办公设备、税控设备的技术开发、技术 咨询、技术服务及设备租赁。，</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 xml:space="preserve">注3： </w:t>
      </w:r>
      <w:r>
        <w:rPr>
          <w:b w:val="0"/>
          <w:bCs w:val="0"/>
          <w:color w:val="000000"/>
          <w:spacing w:val="0"/>
          <w:w w:val="100"/>
          <w:position w:val="0"/>
        </w:rPr>
        <w:t>GRGBankingEquipment (HK)Co.</w:t>
      </w:r>
      <w:r>
        <w:rPr>
          <w:b w:val="0"/>
          <w:bCs w:val="0"/>
          <w:color w:val="000000"/>
          <w:spacing w:val="0"/>
          <w:w w:val="100"/>
          <w:position w:val="0"/>
        </w:rPr>
        <w:t xml:space="preserve">, </w:t>
      </w:r>
      <w:r>
        <w:rPr>
          <w:b w:val="0"/>
          <w:bCs w:val="0"/>
          <w:color w:val="000000"/>
          <w:spacing w:val="0"/>
          <w:w w:val="100"/>
          <w:position w:val="0"/>
        </w:rPr>
        <w:t>Limited</w:t>
      </w:r>
      <w:r>
        <w:rPr>
          <w:b w:val="0"/>
          <w:bCs w:val="0"/>
          <w:color w:val="000000"/>
          <w:spacing w:val="0"/>
          <w:w w:val="100"/>
          <w:position w:val="0"/>
        </w:rPr>
        <w:t>成立于2008年10月27 日，注册资本为美元</w:t>
      </w:r>
      <w:r>
        <w:rPr>
          <w:b w:val="0"/>
          <w:bCs w:val="0"/>
          <w:color w:val="000000"/>
          <w:spacing w:val="0"/>
          <w:w w:val="100"/>
          <w:position w:val="0"/>
        </w:rPr>
        <w:t xml:space="preserve">300. </w:t>
      </w:r>
      <w:r>
        <w:rPr>
          <w:b w:val="0"/>
          <w:bCs w:val="0"/>
          <w:color w:val="000000"/>
          <w:spacing w:val="0"/>
          <w:w w:val="100"/>
          <w:position w:val="0"/>
        </w:rPr>
        <w:t>00万元， 投资总额美元</w:t>
      </w:r>
      <w:r>
        <w:rPr>
          <w:b w:val="0"/>
          <w:bCs w:val="0"/>
          <w:color w:val="000000"/>
          <w:spacing w:val="0"/>
          <w:w w:val="100"/>
          <w:position w:val="0"/>
        </w:rPr>
        <w:t xml:space="preserve">300. </w:t>
      </w:r>
      <w:r>
        <w:rPr>
          <w:b w:val="0"/>
          <w:bCs w:val="0"/>
          <w:color w:val="000000"/>
          <w:spacing w:val="0"/>
          <w:w w:val="100"/>
          <w:position w:val="0"/>
        </w:rPr>
        <w:t>00万元。其中本公司出资美元</w:t>
      </w:r>
      <w:r>
        <w:rPr>
          <w:b w:val="0"/>
          <w:bCs w:val="0"/>
          <w:color w:val="000000"/>
          <w:spacing w:val="0"/>
          <w:w w:val="100"/>
          <w:position w:val="0"/>
        </w:rPr>
        <w:t xml:space="preserve">300. </w:t>
      </w:r>
      <w:r>
        <w:rPr>
          <w:b w:val="0"/>
          <w:bCs w:val="0"/>
          <w:color w:val="000000"/>
          <w:spacing w:val="0"/>
          <w:w w:val="100"/>
          <w:position w:val="0"/>
        </w:rPr>
        <w:t xml:space="preserve">00万元，占100%股权，截至报表日止，已投资美元 </w:t>
      </w:r>
      <w:r>
        <w:rPr>
          <w:b w:val="0"/>
          <w:bCs w:val="0"/>
          <w:color w:val="000000"/>
          <w:spacing w:val="0"/>
          <w:w w:val="100"/>
          <w:position w:val="0"/>
        </w:rPr>
        <w:t xml:space="preserve">300. </w:t>
      </w:r>
      <w:r>
        <w:rPr>
          <w:b w:val="0"/>
          <w:bCs w:val="0"/>
          <w:color w:val="000000"/>
          <w:spacing w:val="0"/>
          <w:w w:val="100"/>
          <w:position w:val="0"/>
        </w:rPr>
        <w:t>00万元。注册地址为香港上环德辅道中248号东协商业大厦17楼1702室，取得香港公司注册处签发注 册号为</w:t>
      </w:r>
      <w:r>
        <w:rPr>
          <w:b w:val="0"/>
          <w:bCs w:val="0"/>
          <w:color w:val="000000"/>
          <w:spacing w:val="0"/>
          <w:w w:val="100"/>
          <w:position w:val="0"/>
        </w:rPr>
        <w:t>39935822-000-10-08-4</w:t>
      </w:r>
      <w:r>
        <w:rPr>
          <w:b w:val="0"/>
          <w:bCs w:val="0"/>
          <w:color w:val="000000"/>
          <w:spacing w:val="0"/>
          <w:w w:val="100"/>
          <w:position w:val="0"/>
        </w:rPr>
        <w:t>的公司注册证书，经营范围为：投资和贸易。</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注4：广州支点创业投资有限公司于2011年7月13日成立，注册资本为5,000万元，其中本公司出资5,000 万元，占100%股权。注册地址为广州市萝岗区科学城科林路9号，法定代表人为叶子瑜，取得广州市工商 行政管理局核发注册号为4401000171268的企业法人营业执照，经营范围为：创业投资服务；代理其他创 业投资企业等机构或个人的创业投资业务；创业投资咨询业务；为创业企业提供创业管理服务业务；参与 设立创业投资企业与创业投资管理顾问机构。</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 xml:space="preserve">注5：广州中智融通金融科技有限公司于2012年12月1日成立，注册资本为5,000万元，其中本公司出 资5, 000万元，占100%股权。注册地址为广州市高新技术产业开发区科学城科林路9号，法定代表人为叶 子瑜，取得广州市工商行政管理局核发注册号为440101000220051的企业法人营业执照，经营范围为：研 究、生产、销售、租赁：金融电子设备、货币类自助设备、税务应用设备、计算机软硬件，及相关的技术 </w:t>
      </w:r>
      <w:r>
        <w:rPr>
          <w:b w:val="0"/>
          <w:bCs w:val="0"/>
          <w:color w:val="000000"/>
          <w:spacing w:val="0"/>
          <w:w w:val="100"/>
          <w:position w:val="0"/>
        </w:rPr>
        <w:t>开发、技术咨询和技术服务；计算机系统集成开发、销售及技术服务；接受合法委托对纸币清分机提供日 常维护与管理服务、对现金及有价证券提供清分处理服务（涉及金融服务的项目除外）；货物及技术进出 口（法律、行政法规禁止的除外；法律、行政法规限制的须取得许可后方可经营）。</w:t>
      </w:r>
    </w:p>
    <w:p>
      <w:pPr>
        <w:pStyle w:val="Style54"/>
        <w:keepNext w:val="0"/>
        <w:keepLines w:val="0"/>
        <w:widowControl w:val="0"/>
        <w:shd w:val="clear" w:color="auto" w:fill="auto"/>
        <w:bidi w:val="0"/>
        <w:spacing w:before="0" w:after="0" w:line="392" w:lineRule="exact"/>
        <w:ind w:left="0" w:right="0" w:firstLine="440"/>
        <w:jc w:val="both"/>
      </w:pPr>
      <w:r>
        <w:rPr>
          <w:b w:val="0"/>
          <w:bCs w:val="0"/>
          <w:color w:val="000000"/>
          <w:spacing w:val="0"/>
          <w:w w:val="100"/>
          <w:position w:val="0"/>
        </w:rPr>
        <w:t>注6：广州市龙源环保科技有限公司，由李海花、秦婵、丘山和丘星初共同投资成立，注册资本30万 元人民币，出资比例分别为，25%、25%、25%、25%，于2006年5月12日成立。2010年3月2日，李海花、秦 婵各自将其持有的25%股权全部转让给张伟询，丘山将其持有的10%股权转让给张伟询、15%股权转让给蔡 永恒，丘星初将其持有的25%股权全部转让给蔡永恒，注册资本不变。2010年4月28日公司注册资本由30万 元人民币增加至2,400万元人民币。其中：张伟询出资1,440万元，占注册资本60%，蔡永恒出资960万元， 占注册资本40%。2011年11月张伟询和蔡永恒将其持有的股份转让给方容波、谢志耀和江健辉；同时本公 司向该公司增资</w:t>
      </w:r>
      <w:r>
        <w:rPr>
          <w:b w:val="0"/>
          <w:bCs w:val="0"/>
          <w:color w:val="000000"/>
          <w:spacing w:val="0"/>
          <w:w w:val="100"/>
          <w:position w:val="0"/>
        </w:rPr>
        <w:t>168,000,000.00</w:t>
      </w:r>
      <w:r>
        <w:rPr>
          <w:b w:val="0"/>
          <w:bCs w:val="0"/>
          <w:color w:val="000000"/>
          <w:spacing w:val="0"/>
          <w:w w:val="100"/>
          <w:position w:val="0"/>
        </w:rPr>
        <w:t>元，其中增资款</w:t>
      </w:r>
      <w:r>
        <w:rPr>
          <w:b w:val="0"/>
          <w:bCs w:val="0"/>
          <w:color w:val="000000"/>
          <w:spacing w:val="0"/>
          <w:w w:val="100"/>
          <w:position w:val="0"/>
        </w:rPr>
        <w:t>107,031,373.00</w:t>
      </w:r>
      <w:r>
        <w:rPr>
          <w:b w:val="0"/>
          <w:bCs w:val="0"/>
          <w:color w:val="000000"/>
          <w:spacing w:val="0"/>
          <w:w w:val="100"/>
          <w:position w:val="0"/>
        </w:rPr>
        <w:t>元用于增加实收资本，并于2011年12月2 日办理了工商变更登记，取得广州市工商行政管理局440126000066296号企业法人营业执照。股权转让及 增资扩股后张伟询出资</w:t>
      </w:r>
      <w:r>
        <w:rPr>
          <w:b w:val="0"/>
          <w:bCs w:val="0"/>
          <w:color w:val="000000"/>
          <w:spacing w:val="0"/>
          <w:w w:val="100"/>
          <w:position w:val="0"/>
        </w:rPr>
        <w:t>6,600.45</w:t>
      </w:r>
      <w:r>
        <w:rPr>
          <w:b w:val="0"/>
          <w:bCs w:val="0"/>
          <w:color w:val="000000"/>
          <w:spacing w:val="0"/>
          <w:w w:val="100"/>
          <w:position w:val="0"/>
        </w:rPr>
        <w:t>万元，占注册资本30.22%，方容波出资</w:t>
      </w:r>
      <w:r>
        <w:rPr>
          <w:b w:val="0"/>
          <w:bCs w:val="0"/>
          <w:color w:val="000000"/>
          <w:spacing w:val="0"/>
          <w:w w:val="100"/>
          <w:position w:val="0"/>
        </w:rPr>
        <w:t>1,810.25</w:t>
      </w:r>
      <w:r>
        <w:rPr>
          <w:b w:val="0"/>
          <w:bCs w:val="0"/>
          <w:color w:val="000000"/>
          <w:spacing w:val="0"/>
          <w:w w:val="100"/>
          <w:position w:val="0"/>
        </w:rPr>
        <w:t>万元，占注册资本8.29%， 谢志耀出资</w:t>
      </w:r>
      <w:r>
        <w:rPr>
          <w:b w:val="0"/>
          <w:bCs w:val="0"/>
          <w:color w:val="000000"/>
          <w:spacing w:val="0"/>
          <w:w w:val="100"/>
          <w:position w:val="0"/>
        </w:rPr>
        <w:t xml:space="preserve">919. </w:t>
      </w:r>
      <w:r>
        <w:rPr>
          <w:b w:val="0"/>
          <w:bCs w:val="0"/>
          <w:color w:val="000000"/>
          <w:spacing w:val="0"/>
          <w:w w:val="100"/>
          <w:position w:val="0"/>
        </w:rPr>
        <w:t>05万元，占注册资本4.20%,江健辉出资</w:t>
      </w:r>
      <w:r>
        <w:rPr>
          <w:b w:val="0"/>
          <w:bCs w:val="0"/>
          <w:color w:val="000000"/>
          <w:spacing w:val="0"/>
          <w:w w:val="100"/>
          <w:position w:val="0"/>
        </w:rPr>
        <w:t>1,810.25</w:t>
      </w:r>
      <w:r>
        <w:rPr>
          <w:b w:val="0"/>
          <w:bCs w:val="0"/>
          <w:color w:val="000000"/>
          <w:spacing w:val="0"/>
          <w:w w:val="100"/>
          <w:position w:val="0"/>
        </w:rPr>
        <w:t xml:space="preserve">万元，占注册资本8.29%，本公司出资 </w:t>
      </w:r>
      <w:r>
        <w:rPr>
          <w:b w:val="0"/>
          <w:bCs w:val="0"/>
          <w:color w:val="000000"/>
          <w:spacing w:val="0"/>
          <w:w w:val="100"/>
          <w:position w:val="0"/>
        </w:rPr>
        <w:t>10,703.14</w:t>
      </w:r>
      <w:r>
        <w:rPr>
          <w:b w:val="0"/>
          <w:bCs w:val="0"/>
          <w:color w:val="000000"/>
          <w:spacing w:val="0"/>
          <w:w w:val="100"/>
          <w:position w:val="0"/>
        </w:rPr>
        <w:t>万元，占注册资本49%。经营范围：环境污染防治专用设备生产技术的研究、开发；销售：环境 污染防治专用设备。</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 xml:space="preserve">2013年8月为解决各股东投入和所持股权不对等的矛盾，理顺龙源环保的股权关系，促进龙源环保的 健康发展，各股东经友好协商，一致同意将龙源环保的资本公积60, 968, </w:t>
      </w:r>
      <w:r>
        <w:rPr>
          <w:b w:val="0"/>
          <w:bCs w:val="0"/>
          <w:color w:val="000000"/>
          <w:spacing w:val="0"/>
          <w:w w:val="100"/>
          <w:position w:val="0"/>
        </w:rPr>
        <w:t xml:space="preserve">627. </w:t>
      </w:r>
      <w:r>
        <w:rPr>
          <w:b w:val="0"/>
          <w:bCs w:val="0"/>
          <w:color w:val="000000"/>
          <w:spacing w:val="0"/>
          <w:w w:val="100"/>
          <w:position w:val="0"/>
        </w:rPr>
        <w:t>00元全部转为本公司增加投 入的注册资本。完成本次资本公积金转增资本后，龙源环保的注册资本总额由</w:t>
      </w:r>
      <w:r>
        <w:rPr>
          <w:b w:val="0"/>
          <w:bCs w:val="0"/>
          <w:color w:val="000000"/>
          <w:spacing w:val="0"/>
          <w:w w:val="100"/>
          <w:position w:val="0"/>
        </w:rPr>
        <w:t>218,431,373.00</w:t>
      </w:r>
      <w:r>
        <w:rPr>
          <w:b w:val="0"/>
          <w:bCs w:val="0"/>
          <w:color w:val="000000"/>
          <w:spacing w:val="0"/>
          <w:w w:val="100"/>
          <w:position w:val="0"/>
        </w:rPr>
        <w:t xml:space="preserve">元增加到 </w:t>
      </w:r>
      <w:r>
        <w:rPr>
          <w:b w:val="0"/>
          <w:bCs w:val="0"/>
          <w:color w:val="000000"/>
          <w:spacing w:val="0"/>
          <w:w w:val="100"/>
          <w:position w:val="0"/>
        </w:rPr>
        <w:t>279,400,000.00</w:t>
      </w:r>
      <w:r>
        <w:rPr>
          <w:b w:val="0"/>
          <w:bCs w:val="0"/>
          <w:color w:val="000000"/>
          <w:spacing w:val="0"/>
          <w:w w:val="100"/>
          <w:position w:val="0"/>
        </w:rPr>
        <w:t>元；本公司持有的龙源环保注册资本金额由</w:t>
      </w:r>
      <w:r>
        <w:rPr>
          <w:b w:val="0"/>
          <w:bCs w:val="0"/>
          <w:color w:val="000000"/>
          <w:spacing w:val="0"/>
          <w:w w:val="100"/>
          <w:position w:val="0"/>
        </w:rPr>
        <w:t>107,031,373.00</w:t>
      </w:r>
      <w:r>
        <w:rPr>
          <w:b w:val="0"/>
          <w:bCs w:val="0"/>
          <w:color w:val="000000"/>
          <w:spacing w:val="0"/>
          <w:w w:val="100"/>
          <w:position w:val="0"/>
        </w:rPr>
        <w:t>元增加到</w:t>
      </w:r>
      <w:r>
        <w:rPr>
          <w:b w:val="0"/>
          <w:bCs w:val="0"/>
          <w:color w:val="000000"/>
          <w:spacing w:val="0"/>
          <w:w w:val="100"/>
          <w:position w:val="0"/>
        </w:rPr>
        <w:t xml:space="preserve">168,000,000. </w:t>
      </w:r>
      <w:r>
        <w:rPr>
          <w:b w:val="0"/>
          <w:bCs w:val="0"/>
          <w:color w:val="000000"/>
          <w:spacing w:val="0"/>
          <w:w w:val="100"/>
          <w:position w:val="0"/>
        </w:rPr>
        <w:t>00元， 持股比例由原49%增加到60.1%；原股东张伟询、方容波、江健辉、谢志耀四个自然人合计持有的注册资本 金额不变，为</w:t>
      </w:r>
      <w:r>
        <w:rPr>
          <w:b w:val="0"/>
          <w:bCs w:val="0"/>
          <w:color w:val="000000"/>
          <w:spacing w:val="0"/>
          <w:w w:val="100"/>
          <w:position w:val="0"/>
        </w:rPr>
        <w:t>111,400,000.00</w:t>
      </w:r>
      <w:r>
        <w:rPr>
          <w:b w:val="0"/>
          <w:bCs w:val="0"/>
          <w:color w:val="000000"/>
          <w:spacing w:val="0"/>
          <w:w w:val="100"/>
          <w:position w:val="0"/>
        </w:rPr>
        <w:t>元，持股比例由原51%变为39.9% （张伟询、方容波、江健辉、谢志耀为一致 行动人）。</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本次变更后，龙源环保由本公司的参股公司变为本公司的控股子公司，本公司于2013年8月31日将龙 源环保纳入公司合并报表范围。</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注7：广州广电汇通金融服务有限公司于2013年5月2日成立，注册资本为10,000万元，其中本公司出 资10,000万元，占100%股权。注册地址为广州市萝岗区科学城科林路9号，法定代表人为叶子瑜，取得广 州市工商行政管理局核发注册号为440101000231409的企业法人营业执照，经营范围为：受金融企业委托 从事非金融外包业务。计算机软硬件的开发、设计、制作、销售及技术服务；计算机系统集成；网络软件 及其设备的销售、租赁、管理、技术服务；设计、制作、代理、发布：国内外各类广告。</w:t>
      </w:r>
    </w:p>
    <w:p>
      <w:pPr>
        <w:pStyle w:val="Style54"/>
        <w:keepNext w:val="0"/>
        <w:keepLines w:val="0"/>
        <w:widowControl w:val="0"/>
        <w:shd w:val="clear" w:color="auto" w:fill="auto"/>
        <w:bidi w:val="0"/>
        <w:spacing w:before="0" w:after="0" w:line="395" w:lineRule="exact"/>
        <w:ind w:left="0" w:right="0" w:firstLine="440"/>
        <w:jc w:val="both"/>
      </w:pPr>
      <w:r>
        <w:rPr>
          <w:b w:val="0"/>
          <w:bCs w:val="0"/>
          <w:color w:val="000000"/>
          <w:spacing w:val="0"/>
          <w:w w:val="100"/>
          <w:position w:val="0"/>
        </w:rPr>
        <w:t>注8：广州广电运通信息科技有限公司于2013年11月18日成立，注册资本为1,000万元，其中本公司出 资1,000万元，占100%股权。注册地址为广州高新技术产业开发区科学城科林路9号研究院办公楼，法定 代表人为叶子瑜，取得广州市工商行政管理局经济技术开发区分局核发注册号为440108000079410的企业 法人营业执照，经营范围为：集成电路设计；数据处理和存储服务；信息技术咨询服务；信息系统集成服 务；软件开发。</w:t>
      </w:r>
    </w:p>
    <w:p>
      <w:pPr>
        <w:pStyle w:val="Style54"/>
        <w:keepNext w:val="0"/>
        <w:keepLines w:val="0"/>
        <w:widowControl w:val="0"/>
        <w:shd w:val="clear" w:color="auto" w:fill="auto"/>
        <w:bidi w:val="0"/>
        <w:spacing w:before="0" w:after="0" w:line="394" w:lineRule="exact"/>
        <w:ind w:left="0" w:right="0" w:firstLine="440"/>
        <w:jc w:val="both"/>
      </w:pPr>
      <w:r>
        <w:rPr>
          <w:b w:val="0"/>
          <w:bCs w:val="0"/>
          <w:color w:val="000000"/>
          <w:spacing w:val="0"/>
          <w:w w:val="100"/>
          <w:position w:val="0"/>
        </w:rPr>
        <w:t xml:space="preserve">注9：广州市广百小额贷款有限公司于2013年8月14日成立，注册资本为30,000万元，其中本公司出资 </w:t>
      </w:r>
      <w:r>
        <w:rPr>
          <w:b w:val="0"/>
          <w:bCs w:val="0"/>
          <w:color w:val="000000"/>
          <w:spacing w:val="0"/>
          <w:w w:val="100"/>
          <w:position w:val="0"/>
        </w:rPr>
        <w:t>6,000万元，占20%股权。注册地址为广州市越秀区长堤大马路316号广州珠江华侨大酒店(拟名：广州民间 金融大厦)第5层06、07房，法定代表人为荀振英，取得广州市工商行政管理局核发注册号为 440108000079410的企业法人营业执照，经营范围为：办理各项小额贷款；其他经批准的业务。</w:t>
      </w:r>
    </w:p>
    <w:p>
      <w:pPr>
        <w:pStyle w:val="Style54"/>
        <w:keepNext w:val="0"/>
        <w:keepLines w:val="0"/>
        <w:widowControl w:val="0"/>
        <w:shd w:val="clear" w:color="auto" w:fill="auto"/>
        <w:bidi w:val="0"/>
        <w:spacing w:before="0" w:after="400" w:line="390" w:lineRule="exact"/>
        <w:ind w:left="0" w:right="0" w:firstLine="440"/>
        <w:jc w:val="both"/>
      </w:pPr>
      <w:r>
        <w:rPr>
          <w:b w:val="0"/>
          <w:bCs w:val="0"/>
          <w:color w:val="000000"/>
          <w:spacing w:val="0"/>
          <w:w w:val="100"/>
          <w:position w:val="0"/>
        </w:rPr>
        <w:t>注10：广州广电银通金融电子科技有限公司于2011年12月15日成立，注册资本为</w:t>
      </w:r>
      <w:r>
        <w:rPr>
          <w:b w:val="0"/>
          <w:bCs w:val="0"/>
          <w:color w:val="000000"/>
          <w:spacing w:val="0"/>
          <w:w w:val="100"/>
          <w:position w:val="0"/>
        </w:rPr>
        <w:t>500.00</w:t>
      </w:r>
      <w:r>
        <w:rPr>
          <w:b w:val="0"/>
          <w:bCs w:val="0"/>
          <w:color w:val="000000"/>
          <w:spacing w:val="0"/>
          <w:w w:val="100"/>
          <w:position w:val="0"/>
        </w:rPr>
        <w:t>万元，其中本 公司的子公司深圳广电银通金融电子科技有限公司出资</w:t>
      </w:r>
      <w:r>
        <w:rPr>
          <w:b w:val="0"/>
          <w:bCs w:val="0"/>
          <w:color w:val="000000"/>
          <w:spacing w:val="0"/>
          <w:w w:val="100"/>
          <w:position w:val="0"/>
        </w:rPr>
        <w:t xml:space="preserve">500. </w:t>
      </w:r>
      <w:r>
        <w:rPr>
          <w:b w:val="0"/>
          <w:bCs w:val="0"/>
          <w:color w:val="000000"/>
          <w:spacing w:val="0"/>
          <w:w w:val="100"/>
          <w:position w:val="0"/>
        </w:rPr>
        <w:t>00万元，占100%股权。注册地址为广州市天 河区黄埔大道西平云路163号通讯车间大楼东梯六层。本公司于2013年7月1日以</w:t>
      </w:r>
      <w:r>
        <w:rPr>
          <w:b w:val="0"/>
          <w:bCs w:val="0"/>
          <w:color w:val="000000"/>
          <w:spacing w:val="0"/>
          <w:w w:val="100"/>
          <w:position w:val="0"/>
        </w:rPr>
        <w:t xml:space="preserve">500. </w:t>
      </w:r>
      <w:r>
        <w:rPr>
          <w:b w:val="0"/>
          <w:bCs w:val="0"/>
          <w:color w:val="000000"/>
          <w:spacing w:val="0"/>
          <w:w w:val="100"/>
          <w:position w:val="0"/>
        </w:rPr>
        <w:t xml:space="preserve">00万元收购深圳广电 银通金融电子科技有限公司所持100%股权，并对其增资4, </w:t>
      </w:r>
      <w:r>
        <w:rPr>
          <w:b w:val="0"/>
          <w:bCs w:val="0"/>
          <w:color w:val="000000"/>
          <w:spacing w:val="0"/>
          <w:w w:val="100"/>
          <w:position w:val="0"/>
        </w:rPr>
        <w:t xml:space="preserve">500. </w:t>
      </w:r>
      <w:r>
        <w:rPr>
          <w:b w:val="0"/>
          <w:bCs w:val="0"/>
          <w:color w:val="000000"/>
          <w:spacing w:val="0"/>
          <w:w w:val="100"/>
          <w:position w:val="0"/>
        </w:rPr>
        <w:t>00万元。取得广州市工商行政管理局核发 注册号为440106000539761的企业法人营业执照。</w:t>
      </w:r>
    </w:p>
    <w:p>
      <w:pPr>
        <w:pStyle w:val="Style44"/>
        <w:keepNext/>
        <w:keepLines/>
        <w:widowControl w:val="0"/>
        <w:shd w:val="clear" w:color="auto" w:fill="auto"/>
        <w:bidi w:val="0"/>
        <w:spacing w:before="0" w:after="400" w:line="240" w:lineRule="auto"/>
        <w:ind w:left="0" w:right="0" w:firstLine="440"/>
        <w:jc w:val="left"/>
      </w:pPr>
      <w:bookmarkStart w:id="1435" w:name="bookmark1435"/>
      <w:bookmarkStart w:id="1436" w:name="bookmark1436"/>
      <w:bookmarkStart w:id="1437" w:name="bookmark1437"/>
      <w:bookmarkStart w:id="1438" w:name="bookmark1438"/>
      <w:r>
        <w:rPr>
          <w:color w:val="000000"/>
          <w:spacing w:val="0"/>
          <w:w w:val="100"/>
          <w:position w:val="0"/>
        </w:rPr>
        <w:t>4</w:t>
      </w:r>
      <w:bookmarkEnd w:id="1437"/>
      <w:r>
        <w:rPr>
          <w:color w:val="000000"/>
          <w:spacing w:val="0"/>
          <w:w w:val="100"/>
          <w:position w:val="0"/>
        </w:rPr>
        <w:t>、营业收入和营业成本</w:t>
      </w:r>
      <w:bookmarkEnd w:id="1435"/>
      <w:bookmarkEnd w:id="1436"/>
      <w:bookmarkEnd w:id="1438"/>
    </w:p>
    <w:p>
      <w:pPr>
        <w:pStyle w:val="Style44"/>
        <w:keepNext/>
        <w:keepLines/>
        <w:widowControl w:val="0"/>
        <w:shd w:val="clear" w:color="auto" w:fill="auto"/>
        <w:bidi w:val="0"/>
        <w:spacing w:before="0" w:after="320" w:line="240" w:lineRule="auto"/>
        <w:ind w:left="0" w:right="0" w:firstLine="440"/>
        <w:jc w:val="both"/>
      </w:pPr>
      <w:bookmarkStart w:id="1435" w:name="bookmark1435"/>
      <w:bookmarkStart w:id="1436" w:name="bookmark1436"/>
      <w:bookmarkStart w:id="1439" w:name="bookmark1439"/>
      <w:r>
        <w:rPr>
          <w:color w:val="000000"/>
          <w:spacing w:val="0"/>
          <w:w w:val="100"/>
          <w:position w:val="0"/>
        </w:rPr>
        <w:t>(1)营业收入</w:t>
      </w:r>
      <w:bookmarkEnd w:id="1435"/>
      <w:bookmarkEnd w:id="1436"/>
      <w:bookmarkEnd w:id="1439"/>
    </w:p>
    <w:tbl>
      <w:tblPr>
        <w:tblOverlap w:val="never"/>
        <w:jc w:val="center"/>
        <w:tblLayout w:type="fixed"/>
      </w:tblPr>
      <w:tblGrid>
        <w:gridCol w:w="2530"/>
        <w:gridCol w:w="3451"/>
        <w:gridCol w:w="3600"/>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2,151,685,549.73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1,936,158,461.19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2,151,685,549.73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1,936,158,461.19</w:t>
            </w: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1,003,500,574.58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946,879,145.69</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40"/>
        <w:jc w:val="left"/>
      </w:pPr>
      <w:bookmarkStart w:id="1440" w:name="bookmark1440"/>
      <w:bookmarkStart w:id="1441" w:name="bookmark1441"/>
      <w:bookmarkStart w:id="1442" w:name="bookmark1442"/>
      <w:r>
        <w:rPr>
          <w:color w:val="000000"/>
          <w:spacing w:val="0"/>
          <w:w w:val="100"/>
          <w:position w:val="0"/>
        </w:rPr>
        <w:t>(2)主营业务(分行业)</w:t>
      </w:r>
      <w:bookmarkEnd w:id="1440"/>
      <w:bookmarkEnd w:id="1441"/>
      <w:bookmarkEnd w:id="1442"/>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①制造业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2,144,824,548.27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1,003,500,574.58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1,928,011,975.73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946,879,145.69</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②服务业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6,861,001.46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8,146,485.46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2,151,685,549.73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1,003,500,574.58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1,936,158,461.19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946,879,145.69</w:t>
            </w:r>
          </w:p>
        </w:tc>
      </w:tr>
    </w:tbl>
    <w:p>
      <w:pPr>
        <w:widowControl w:val="0"/>
        <w:spacing w:after="319" w:line="1" w:lineRule="exact"/>
      </w:pPr>
    </w:p>
    <w:p>
      <w:pPr>
        <w:pStyle w:val="Style44"/>
        <w:keepNext/>
        <w:keepLines/>
        <w:widowControl w:val="0"/>
        <w:numPr>
          <w:ilvl w:val="0"/>
          <w:numId w:val="109"/>
        </w:numPr>
        <w:shd w:val="clear" w:color="auto" w:fill="auto"/>
        <w:bidi w:val="0"/>
        <w:spacing w:before="0" w:after="320" w:line="240" w:lineRule="auto"/>
        <w:ind w:left="0" w:right="0" w:firstLine="44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主营业务(分产品)</w:t>
      </w:r>
      <w:bookmarkEnd w:id="1443"/>
      <w:bookmarkEnd w:id="1444"/>
      <w:bookmarkEnd w:id="1446"/>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产品名称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w:t>
            </w:r>
            <w:r>
              <w:rPr>
                <w:color w:val="000000"/>
                <w:spacing w:val="0"/>
                <w:w w:val="100"/>
                <w:position w:val="0"/>
              </w:rPr>
              <w:t>ATM</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1,885,389,299.27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851,090,940.77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1,800,625,041.74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866,850,306.35</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w:t>
            </w:r>
            <w:r>
              <w:rPr>
                <w:color w:val="000000"/>
                <w:spacing w:val="0"/>
                <w:w w:val="100"/>
                <w:position w:val="0"/>
              </w:rPr>
              <w:t>AFC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65,283,244.43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44,796,845.31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31,438,214.33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22,968,434.51</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③清分机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55,494,773.35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41,858,350.96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④设备配件</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138,657,231.22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65,754,437.54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95,948,719.66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57,060,404.83</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⑤设备维护及服务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80"/>
              <w:jc w:val="both"/>
            </w:pPr>
            <w:r>
              <w:rPr>
                <w:color w:val="000000"/>
                <w:spacing w:val="0"/>
                <w:w w:val="100"/>
                <w:position w:val="0"/>
              </w:rPr>
              <w:t>6,861,001.46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8,146,485.46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2,151,685,549.73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1,003,500,574.58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1,936,158,461.19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946,879,145.69</w:t>
            </w:r>
          </w:p>
        </w:tc>
      </w:tr>
    </w:tbl>
    <w:p>
      <w:pPr>
        <w:spacing w:lineRule="exact" w:line="1"/>
        <w:rPr>
          <w:sz w:val="2"/>
          <w:szCs w:val="2"/>
        </w:rPr>
      </w:pPr>
      <w:r>
        <w:br w:type="page"/>
      </w:r>
    </w:p>
    <w:p>
      <w:pPr>
        <w:pStyle w:val="Style44"/>
        <w:keepNext/>
        <w:keepLines/>
        <w:widowControl w:val="0"/>
        <w:numPr>
          <w:ilvl w:val="0"/>
          <w:numId w:val="109"/>
        </w:numPr>
        <w:shd w:val="clear" w:color="auto" w:fill="auto"/>
        <w:bidi w:val="0"/>
        <w:spacing w:before="0" w:after="320" w:line="240" w:lineRule="auto"/>
        <w:ind w:left="0" w:right="0" w:firstLine="42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主营业务(分地区)</w:t>
      </w:r>
      <w:bookmarkEnd w:id="1447"/>
      <w:bookmarkEnd w:id="1448"/>
      <w:bookmarkEnd w:id="1450"/>
    </w:p>
    <w:tbl>
      <w:tblPr>
        <w:tblOverlap w:val="never"/>
        <w:jc w:val="center"/>
        <w:tblLayout w:type="fixed"/>
      </w:tblPr>
      <w:tblGrid>
        <w:gridCol w:w="2266"/>
        <w:gridCol w:w="1858"/>
        <w:gridCol w:w="1862"/>
        <w:gridCol w:w="1862"/>
        <w:gridCol w:w="1733"/>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①国内地区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2,008,836,663.54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919,789,169.97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1,836,517,690.53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882,135,362.48</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②国外地区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142,848,886.19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83,711,404.61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99,640,770.66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64,743,783.21</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2,151,685,549.73</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1,003,500,574.58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1,936,158,461.19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946,879,145.69</w:t>
            </w:r>
          </w:p>
        </w:tc>
      </w:tr>
    </w:tbl>
    <w:p>
      <w:pPr>
        <w:widowControl w:val="0"/>
        <w:spacing w:after="319" w:line="1" w:lineRule="exact"/>
      </w:pPr>
    </w:p>
    <w:p>
      <w:pPr>
        <w:pStyle w:val="Style44"/>
        <w:keepNext/>
        <w:keepLines/>
        <w:widowControl w:val="0"/>
        <w:numPr>
          <w:ilvl w:val="0"/>
          <w:numId w:val="109"/>
        </w:numPr>
        <w:shd w:val="clear" w:color="auto" w:fill="auto"/>
        <w:bidi w:val="0"/>
        <w:spacing w:before="0" w:after="320" w:line="240" w:lineRule="auto"/>
        <w:ind w:left="0" w:right="0" w:firstLine="42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公司来自前五名客户的营业收入情况</w:t>
      </w:r>
      <w:bookmarkEnd w:id="1451"/>
      <w:bookmarkEnd w:id="1452"/>
      <w:bookmarkEnd w:id="1454"/>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215,184,026.30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152,610,660.83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7.09%</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141,550,111.61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6.58%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GRG Banking Equipment(HK) Co.,Limited</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104,488,346.36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4.86%</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85,535,806.63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3.97%</w:t>
            </w:r>
          </w:p>
        </w:tc>
      </w:tr>
      <w:tr>
        <w:trPr>
          <w:trHeight w:val="413"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80" w:after="0" w:line="240" w:lineRule="auto"/>
              <w:ind w:left="1760" w:right="0" w:firstLine="0"/>
              <w:jc w:val="left"/>
            </w:pPr>
            <w:r>
              <w:rPr>
                <w:color w:val="000000"/>
                <w:spacing w:val="0"/>
                <w:w w:val="100"/>
                <w:position w:val="0"/>
              </w:rPr>
              <w:t>699,368,951.73</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32.50%</w:t>
            </w:r>
          </w:p>
        </w:tc>
      </w:tr>
    </w:tbl>
    <w:p>
      <w:pPr>
        <w:widowControl w:val="0"/>
        <w:spacing w:after="319" w:line="1" w:lineRule="exact"/>
      </w:pPr>
    </w:p>
    <w:p>
      <w:pPr>
        <w:pStyle w:val="Style44"/>
        <w:keepNext/>
        <w:keepLines/>
        <w:widowControl w:val="0"/>
        <w:shd w:val="clear" w:color="auto" w:fill="auto"/>
        <w:bidi w:val="0"/>
        <w:spacing w:before="0" w:after="380" w:line="240" w:lineRule="auto"/>
        <w:ind w:left="0" w:right="0" w:firstLine="420"/>
        <w:jc w:val="left"/>
      </w:pPr>
      <w:bookmarkStart w:id="1455" w:name="bookmark1455"/>
      <w:bookmarkStart w:id="1456" w:name="bookmark1456"/>
      <w:bookmarkStart w:id="1457" w:name="bookmark1457"/>
      <w:bookmarkStart w:id="1458" w:name="bookmark1458"/>
      <w:r>
        <w:rPr>
          <w:color w:val="000000"/>
          <w:spacing w:val="0"/>
          <w:w w:val="100"/>
          <w:position w:val="0"/>
        </w:rPr>
        <w:t>5</w:t>
      </w:r>
      <w:bookmarkEnd w:id="1457"/>
      <w:r>
        <w:rPr>
          <w:color w:val="000000"/>
          <w:spacing w:val="0"/>
          <w:w w:val="100"/>
          <w:position w:val="0"/>
        </w:rPr>
        <w:t>、投资收益</w:t>
      </w:r>
      <w:bookmarkEnd w:id="1455"/>
      <w:bookmarkEnd w:id="1456"/>
      <w:bookmarkEnd w:id="1458"/>
    </w:p>
    <w:p>
      <w:pPr>
        <w:pStyle w:val="Style44"/>
        <w:keepNext/>
        <w:keepLines/>
        <w:widowControl w:val="0"/>
        <w:shd w:val="clear" w:color="auto" w:fill="auto"/>
        <w:bidi w:val="0"/>
        <w:spacing w:before="0" w:after="320" w:line="240" w:lineRule="auto"/>
        <w:ind w:left="0" w:right="0" w:firstLine="420"/>
        <w:jc w:val="left"/>
      </w:pPr>
      <w:bookmarkStart w:id="1455" w:name="bookmark1455"/>
      <w:bookmarkStart w:id="1456" w:name="bookmark1456"/>
      <w:bookmarkStart w:id="1459" w:name="bookmark1459"/>
      <w:r>
        <w:rPr>
          <w:color w:val="000000"/>
          <w:spacing w:val="0"/>
          <w:w w:val="100"/>
          <w:position w:val="0"/>
        </w:rPr>
        <w:t>⑴投资收益明细</w:t>
      </w:r>
      <w:bookmarkEnd w:id="1455"/>
      <w:bookmarkEnd w:id="1456"/>
      <w:bookmarkEnd w:id="1459"/>
    </w:p>
    <w:tbl>
      <w:tblPr>
        <w:tblOverlap w:val="never"/>
        <w:jc w:val="center"/>
        <w:tblLayout w:type="fixed"/>
      </w:tblPr>
      <w:tblGrid>
        <w:gridCol w:w="4526"/>
        <w:gridCol w:w="2520"/>
        <w:gridCol w:w="2534"/>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2,694,005.65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1,372,443.65</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-7,917,425.14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-8,145,472.93</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15,735,435.36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both"/>
            </w:pPr>
            <w:r>
              <w:rPr>
                <w:color w:val="000000"/>
                <w:spacing w:val="0"/>
                <w:w w:val="100"/>
                <w:position w:val="0"/>
              </w:rPr>
              <w:t>10,512,015.87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-6,773,029.28</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460" w:name="bookmark1460"/>
      <w:bookmarkStart w:id="1461" w:name="bookmark1461"/>
      <w:bookmarkStart w:id="1462" w:name="bookmark1462"/>
      <w:r>
        <w:rPr>
          <w:color w:val="000000"/>
          <w:spacing w:val="0"/>
          <w:w w:val="100"/>
          <w:position w:val="0"/>
        </w:rPr>
        <w:t>(2)按成本法核算的长期股权投资收益</w:t>
      </w:r>
      <w:bookmarkEnd w:id="1460"/>
      <w:bookmarkEnd w:id="1461"/>
      <w:bookmarkEnd w:id="1462"/>
    </w:p>
    <w:tbl>
      <w:tblPr>
        <w:tblOverlap w:val="never"/>
        <w:jc w:val="center"/>
        <w:tblLayout w:type="fixed"/>
      </w:tblPr>
      <w:tblGrid>
        <w:gridCol w:w="3326"/>
        <w:gridCol w:w="1728"/>
        <w:gridCol w:w="1594"/>
        <w:gridCol w:w="2933"/>
      </w:tblGrid>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广州穗通金融服务有限公司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2,694,005.65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1,372,443.65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子公司本期分红</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2,694,005.65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1,372,443.65</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numPr>
          <w:ilvl w:val="0"/>
          <w:numId w:val="111"/>
        </w:numPr>
        <w:shd w:val="clear" w:color="auto" w:fill="auto"/>
        <w:bidi w:val="0"/>
        <w:spacing w:before="0" w:after="320" w:line="240" w:lineRule="auto"/>
        <w:ind w:left="0" w:right="0" w:firstLine="42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按权益法核算的长期股权投资收益</w:t>
      </w:r>
      <w:bookmarkEnd w:id="1463"/>
      <w:bookmarkEnd w:id="1464"/>
      <w:bookmarkEnd w:id="1466"/>
    </w:p>
    <w:tbl>
      <w:tblPr>
        <w:tblOverlap w:val="never"/>
        <w:jc w:val="center"/>
        <w:tblLayout w:type="fixed"/>
      </w:tblPr>
      <w:tblGrid>
        <w:gridCol w:w="3326"/>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1200" w:right="0" w:firstLine="0"/>
              <w:jc w:val="left"/>
            </w:pPr>
            <w:r>
              <w:rPr>
                <w:rFonts w:ascii="SimSun" w:eastAsia="SimSun" w:hAnsi="SimSun" w:cs="SimSun"/>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本期比上期增减变动的原因</w:t>
            </w:r>
          </w:p>
        </w:tc>
      </w:tr>
    </w:tbl>
    <w:p>
      <w:pPr>
        <w:spacing w:lineRule="exact" w:line="1"/>
        <w:rPr>
          <w:sz w:val="2"/>
          <w:szCs w:val="2"/>
        </w:rPr>
      </w:pPr>
      <w:r>
        <w:br w:type="page"/>
      </w:r>
    </w:p>
    <w:tbl>
      <w:tblPr>
        <w:tblOverlap w:val="never"/>
        <w:jc w:val="center"/>
        <w:tblLayout w:type="fixed"/>
      </w:tblPr>
      <w:tblGrid>
        <w:gridCol w:w="3326"/>
        <w:gridCol w:w="1728"/>
        <w:gridCol w:w="1594"/>
        <w:gridCol w:w="2933"/>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广州市龙源环保科技有限公司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-8,345,452.83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-8,145,472.93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合营企业经营亏损</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广州市广百小额贷款有限公司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428,027.69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本期新增投资</w:t>
            </w: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00"/>
              <w:jc w:val="both"/>
            </w:pPr>
            <w:r>
              <w:rPr>
                <w:color w:val="000000"/>
                <w:spacing w:val="0"/>
                <w:w w:val="100"/>
                <w:position w:val="0"/>
              </w:rPr>
              <w:t>-7,917,425.14</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-8,145,472.93</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44"/>
        <w:keepNext/>
        <w:keepLines/>
        <w:widowControl w:val="0"/>
        <w:shd w:val="clear" w:color="auto" w:fill="auto"/>
        <w:bidi w:val="0"/>
        <w:spacing w:before="0" w:after="320" w:line="240" w:lineRule="auto"/>
        <w:ind w:left="0" w:right="0" w:firstLine="42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6</w:t>
      </w:r>
      <w:bookmarkEnd w:id="1469"/>
      <w:r>
        <w:rPr>
          <w:color w:val="000000"/>
          <w:spacing w:val="0"/>
          <w:w w:val="100"/>
          <w:position w:val="0"/>
        </w:rPr>
        <w:t>、现金流量表补充资料</w:t>
      </w:r>
      <w:bookmarkEnd w:id="1467"/>
      <w:bookmarkEnd w:id="1468"/>
      <w:bookmarkEnd w:id="1470"/>
    </w:p>
    <w:tbl>
      <w:tblPr>
        <w:tblOverlap w:val="never"/>
        <w:jc w:val="center"/>
        <w:tblLayout w:type="fixed"/>
      </w:tblPr>
      <w:tblGrid>
        <w:gridCol w:w="5405"/>
        <w:gridCol w:w="2160"/>
        <w:gridCol w:w="2016"/>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641,270,766.29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535,789,251.19</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-3,659,146.88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-1,593,610.87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20,093,635.55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17,752,529.14</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786,940.64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702,520.86</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48,497.60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539,791.84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-273,476.92</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-10,512,015.87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6,773,029.28</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1,506,433.95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-5,764,109.21</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-335,947,751.13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-106,104,374.11</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-65,310,373.19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184,693,853.57</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382,499,523.53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169,496,257.23</w:t>
            </w: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631,264,653.23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801,520,367.76</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1,186,850,981.18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1,703,848,033.38</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1,703,848,033.38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1,011,513,794.80</w:t>
            </w: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-516,997,052.20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00"/>
              <w:jc w:val="both"/>
            </w:pPr>
            <w:r>
              <w:rPr>
                <w:color w:val="000000"/>
                <w:spacing w:val="0"/>
                <w:w w:val="100"/>
                <w:position w:val="0"/>
              </w:rPr>
              <w:t>692,334,238.58</w:t>
            </w:r>
          </w:p>
        </w:tc>
      </w:tr>
    </w:tbl>
    <w:p>
      <w:pPr>
        <w:spacing w:lineRule="exact" w:line="1"/>
        <w:rPr>
          <w:sz w:val="2"/>
          <w:szCs w:val="2"/>
        </w:rPr>
      </w:pPr>
      <w:r>
        <w:br w:type="page"/>
      </w:r>
    </w:p>
    <w:p>
      <w:pPr>
        <w:pStyle w:val="Style31"/>
        <w:keepNext/>
        <w:keepLines/>
        <w:widowControl w:val="0"/>
        <w:shd w:val="clear" w:color="auto" w:fill="auto"/>
        <w:bidi w:val="0"/>
        <w:spacing w:before="0" w:after="340" w:line="240" w:lineRule="auto"/>
        <w:ind w:left="0" w:right="0" w:firstLine="0"/>
        <w:jc w:val="left"/>
      </w:pPr>
      <w:bookmarkStart w:id="1471" w:name="bookmark1471"/>
      <w:bookmarkStart w:id="1472" w:name="bookmark1472"/>
      <w:bookmarkStart w:id="1473" w:name="bookmark1473"/>
      <w:r>
        <w:rPr>
          <w:color w:val="000000"/>
          <w:spacing w:val="0"/>
          <w:w w:val="100"/>
          <w:position w:val="0"/>
          <w:sz w:val="24"/>
          <w:szCs w:val="24"/>
        </w:rPr>
        <w:t>十五、补充资料</w:t>
      </w:r>
      <w:bookmarkEnd w:id="1471"/>
      <w:bookmarkEnd w:id="1472"/>
      <w:bookmarkEnd w:id="1473"/>
    </w:p>
    <w:p>
      <w:pPr>
        <w:pStyle w:val="Style44"/>
        <w:keepNext/>
        <w:keepLines/>
        <w:widowControl w:val="0"/>
        <w:shd w:val="clear" w:color="auto" w:fill="auto"/>
        <w:bidi w:val="0"/>
        <w:spacing w:before="0" w:after="340" w:line="240" w:lineRule="auto"/>
        <w:ind w:left="0" w:right="0" w:firstLine="42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74"/>
      <w:bookmarkEnd w:id="1475"/>
      <w:bookmarkEnd w:id="14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506,352.73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28,975,621.78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17,885,990.85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同一控制下企业合并产生的子公司期初至合并日的当期净损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86,401.43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28,190,029.87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国家规划布局内重点软件企业</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年度企业所得税退税款</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34"/>
        <w:gridCol w:w="2232"/>
        <w:gridCol w:w="2515"/>
      </w:tblGrid>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4,905,515.37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-279,821.43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71,018,702.72</w:t>
            </w:r>
          </w:p>
        </w:tc>
        <w:tc>
          <w:tcPr>
            <w:tcBorders>
              <w:top w:val="single" w:sz="4"/>
              <w:left w:val="single" w:sz="4"/>
              <w:bottom w:val="single" w:sz="4"/>
              <w:righ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477"/>
      <w:bookmarkEnd w:id="1478"/>
      <w:bookmarkEnd w:id="1479"/>
    </w:p>
    <w:p>
      <w:pPr>
        <w:pStyle w:val="Style44"/>
        <w:keepNext/>
        <w:keepLines/>
        <w:widowControl w:val="0"/>
        <w:shd w:val="clear" w:color="auto" w:fill="auto"/>
        <w:bidi w:val="0"/>
        <w:spacing w:before="0" w:after="340" w:line="240" w:lineRule="auto"/>
        <w:ind w:left="0" w:right="0" w:firstLine="420"/>
        <w:jc w:val="left"/>
      </w:pPr>
      <w:bookmarkStart w:id="1477" w:name="bookmark1477"/>
      <w:bookmarkStart w:id="1478" w:name="bookmark1478"/>
      <w:bookmarkStart w:id="1480" w:name="bookmark1480"/>
      <w:r>
        <w:rPr>
          <w:color w:val="000000"/>
          <w:spacing w:val="0"/>
          <w:w w:val="100"/>
          <w:position w:val="0"/>
        </w:rPr>
        <w:t>⑴同时按照国际会计准则与按照中国会计准则披露的财务报告中净利润和净资产差异情况</w:t>
      </w:r>
      <w:bookmarkEnd w:id="1477"/>
      <w:bookmarkEnd w:id="1478"/>
      <w:bookmarkEnd w:id="148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705,076,417.95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578,631,983.99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3,485,408,686.27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2,968,241,852.43</w:t>
            </w:r>
          </w:p>
        </w:tc>
      </w:tr>
      <w:tr>
        <w:trPr>
          <w:trHeight w:val="398" w:hRule="exact"/>
        </w:trPr>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481" w:name="bookmark1481"/>
      <w:bookmarkStart w:id="1482" w:name="bookmark1482"/>
      <w:bookmarkStart w:id="1483" w:name="bookmark1483"/>
      <w:r>
        <w:rPr>
          <w:color w:val="000000"/>
          <w:spacing w:val="0"/>
          <w:w w:val="100"/>
          <w:position w:val="0"/>
        </w:rPr>
        <w:t>(2)同时按照境外会计准则与按照中国会计准则披露的财务报告中净利润和净资产差异情况</w:t>
      </w:r>
      <w:bookmarkEnd w:id="1481"/>
      <w:bookmarkEnd w:id="1482"/>
      <w:bookmarkEnd w:id="14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85"/>
        <w:gridCol w:w="1742"/>
        <w:gridCol w:w="2002"/>
        <w:gridCol w:w="1771"/>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80"/>
              <w:jc w:val="left"/>
            </w:pPr>
            <w:r>
              <w:rPr>
                <w:color w:val="000000"/>
                <w:spacing w:val="0"/>
                <w:w w:val="100"/>
                <w:position w:val="0"/>
              </w:rPr>
              <w:t>705,076,417.95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pPr>
            <w:r>
              <w:rPr>
                <w:color w:val="000000"/>
                <w:spacing w:val="0"/>
                <w:w w:val="100"/>
                <w:position w:val="0"/>
              </w:rPr>
              <w:t>578,631,983.99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3,485,408,686.27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2,968,241,852.43</w:t>
            </w:r>
          </w:p>
        </w:tc>
      </w:tr>
      <w:tr>
        <w:trPr>
          <w:trHeight w:val="398" w:hRule="exact"/>
        </w:trPr>
        <w:tc>
          <w:tcPr>
            <w:gridSpan w:val="5"/>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4"/>
        <w:keepNext/>
        <w:keepLines/>
        <w:widowControl w:val="0"/>
        <w:shd w:val="clear" w:color="auto" w:fill="auto"/>
        <w:bidi w:val="0"/>
        <w:spacing w:before="0" w:after="340" w:line="240" w:lineRule="auto"/>
        <w:ind w:left="0" w:right="0" w:firstLine="420"/>
        <w:jc w:val="left"/>
      </w:pPr>
      <w:bookmarkStart w:id="1484" w:name="bookmark1484"/>
      <w:bookmarkStart w:id="1485" w:name="bookmark1485"/>
      <w:bookmarkStart w:id="1486" w:name="bookmark1486"/>
      <w:r>
        <w:rPr>
          <w:color w:val="000000"/>
          <w:spacing w:val="0"/>
          <w:w w:val="100"/>
          <w:position w:val="0"/>
        </w:rPr>
        <w:t>⑶境内外会计准则下会计数据差异原因说明</w:t>
      </w:r>
      <w:bookmarkEnd w:id="1484"/>
      <w:bookmarkEnd w:id="1485"/>
      <w:bookmarkEnd w:id="1486"/>
    </w:p>
    <w:p>
      <w:pPr>
        <w:pStyle w:val="Style44"/>
        <w:keepNext/>
        <w:keepLines/>
        <w:widowControl w:val="0"/>
        <w:shd w:val="clear" w:color="auto" w:fill="auto"/>
        <w:bidi w:val="0"/>
        <w:spacing w:before="0" w:after="340" w:line="240" w:lineRule="auto"/>
        <w:ind w:left="0" w:right="0" w:firstLine="420"/>
        <w:jc w:val="left"/>
      </w:pPr>
      <w:bookmarkStart w:id="1484" w:name="bookmark1484"/>
      <w:bookmarkStart w:id="1485" w:name="bookmark1485"/>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color w:val="000000"/>
          <w:spacing w:val="0"/>
          <w:w w:val="100"/>
          <w:position w:val="0"/>
        </w:rPr>
        <w:t>、净资产收益率及每股收益</w:t>
      </w:r>
      <w:bookmarkEnd w:id="1484"/>
      <w:bookmarkEnd w:id="1485"/>
      <w:bookmarkEnd w:id="1488"/>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901"/>
        <w:gridCol w:w="1954"/>
      </w:tblGrid>
      <w:tr>
        <w:trPr>
          <w:trHeight w:val="408"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加权平均净资产收益率</w:t>
            </w:r>
          </w:p>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稀释每股收益</w:t>
            </w:r>
          </w:p>
        </w:tc>
      </w:tr>
      <w:tr>
        <w:trPr>
          <w:trHeight w:val="398" w:hRule="exact"/>
        </w:trPr>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21.95%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725" w:hRule="exact"/>
        </w:trPr>
        <w:tc>
          <w:tcPr>
            <w:tcBorders>
              <w:top w:val="single" w:sz="4"/>
              <w:left w:val="single" w:sz="4"/>
              <w:bottom w:val="single" w:sz="4"/>
            </w:tcBorders>
            <w:shd w:val="clear" w:color="auto" w:fill="D3D3D3"/>
            <w:vAlign w:val="top"/>
          </w:tcPr>
          <w:p>
            <w:pPr>
              <w:pStyle w:val="Style28"/>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19.74%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0.85</w:t>
            </w:r>
          </w:p>
        </w:tc>
      </w:tr>
    </w:tbl>
    <w:p>
      <w:pPr>
        <w:spacing w:lineRule="exact" w:line="1"/>
        <w:rPr>
          <w:sz w:val="2"/>
          <w:szCs w:val="2"/>
        </w:rPr>
      </w:pPr>
      <w:r>
        <w:br w:type="page"/>
      </w:r>
    </w:p>
    <w:p>
      <w:pPr>
        <w:pStyle w:val="Style44"/>
        <w:keepNext/>
        <w:keepLines/>
        <w:widowControl w:val="0"/>
        <w:shd w:val="clear" w:color="auto" w:fill="auto"/>
        <w:bidi w:val="0"/>
        <w:spacing w:before="0" w:after="320" w:line="240" w:lineRule="auto"/>
        <w:ind w:left="0" w:right="0" w:firstLine="420"/>
        <w:jc w:val="left"/>
      </w:pPr>
      <w:bookmarkStart w:id="1489" w:name="bookmark1489"/>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color w:val="000000"/>
          <w:spacing w:val="0"/>
          <w:w w:val="100"/>
          <w:position w:val="0"/>
        </w:rPr>
        <w:t>、公司主要会计报表项目的异常情况及原因的说明</w:t>
      </w:r>
      <w:bookmarkEnd w:id="1490"/>
      <w:bookmarkEnd w:id="1491"/>
      <w:bookmarkEnd w:id="1493"/>
      <w:bookmarkEnd w:id="1489"/>
    </w:p>
    <w:tbl>
      <w:tblPr>
        <w:tblOverlap w:val="never"/>
        <w:jc w:val="center"/>
        <w:tblLayout w:type="fixed"/>
      </w:tblPr>
      <w:tblGrid>
        <w:gridCol w:w="1982"/>
        <w:gridCol w:w="1478"/>
        <w:gridCol w:w="1483"/>
        <w:gridCol w:w="1018"/>
        <w:gridCol w:w="3696"/>
      </w:tblGrid>
      <w:tr>
        <w:trPr>
          <w:trHeight w:val="326" w:hRule="exact"/>
        </w:trPr>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报表项目</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年初余额</w:t>
            </w:r>
          </w:p>
        </w:tc>
        <w:tc>
          <w:tcPr>
            <w:vMerge w:val="restart"/>
            <w:tcBorders>
              <w:top w:val="single" w:sz="4"/>
              <w:lef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变动比率</w:t>
            </w:r>
          </w:p>
        </w:tc>
        <w:tc>
          <w:tcPr>
            <w:vMerge w:val="restart"/>
            <w:tcBorders>
              <w:top w:val="single" w:sz="4"/>
              <w:left w:val="single" w:sz="4"/>
              <w:right w:val="single" w:sz="4"/>
            </w:tcBorders>
            <w:shd w:val="clear" w:color="auto" w:fill="D3D3D3"/>
            <w:vAlign w:val="center"/>
          </w:tcPr>
          <w:p>
            <w:pPr>
              <w:pStyle w:val="Style28"/>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变动原因</w:t>
            </w:r>
          </w:p>
        </w:tc>
      </w:tr>
      <w:tr>
        <w:trPr>
          <w:trHeight w:val="32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（或本期金额）</w:t>
            </w:r>
          </w:p>
        </w:tc>
        <w:tc>
          <w:tcPr>
            <w:tcBorders>
              <w:top w:val="single" w:sz="4"/>
              <w:left w:val="single" w:sz="4"/>
            </w:tcBorders>
            <w:shd w:val="clear" w:color="auto" w:fill="D3D3D3"/>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（或上期金额）</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1,644,875,412.34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2,003,540,034.34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投资理财产品、分配股利</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129,978,323.60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49,453,209.32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162.83%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预付办公场地款</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50,255,996.53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31,953,073.30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投标保证金及员工备用金增加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1,170,842,477.23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769,594,720.41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期末备货大</w:t>
            </w:r>
          </w:p>
        </w:tc>
      </w:tr>
      <w:tr>
        <w:trPr>
          <w:trHeight w:val="46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64,713,476.44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164,079,876.42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both"/>
            </w:pPr>
            <w:r>
              <w:rPr>
                <w:color w:val="000000"/>
                <w:spacing w:val="0"/>
                <w:w w:val="100"/>
                <w:position w:val="0"/>
              </w:rPr>
              <w:t>-60.56%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参股转为控股</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389,213,922.31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290,435,982.97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新增合并</w:t>
            </w:r>
          </w:p>
        </w:tc>
      </w:tr>
      <w:tr>
        <w:trPr>
          <w:trHeight w:val="46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49,321,137.17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2,616,656.28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1784.89%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科学城三期项目的投入</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398,581,292.49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271,949,850.22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46.56%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期末备货大，货款未到期结算</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481,153,801.03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269,248,409.78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78.70%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合同预收款增加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165,160,702.63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122,073,093.91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规模扩大，员工人数增加</w:t>
            </w:r>
          </w:p>
        </w:tc>
      </w:tr>
      <w:tr>
        <w:trPr>
          <w:trHeight w:val="71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747,237,306.00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622,697,755.00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实施</w:t>
            </w:r>
            <w:r>
              <w:rPr>
                <w:color w:val="000000"/>
                <w:spacing w:val="0"/>
                <w:w w:val="100"/>
                <w:position w:val="0"/>
              </w:rPr>
              <w:t>2012</w:t>
            </w:r>
            <w:r>
              <w:rPr>
                <w:rFonts w:ascii="SimSun" w:eastAsia="SimSun" w:hAnsi="SimSun" w:cs="SimSun"/>
                <w:color w:val="000000"/>
                <w:spacing w:val="0"/>
                <w:w w:val="100"/>
                <w:position w:val="0"/>
              </w:rPr>
              <w:t>年度利润分配方案，未分配利润转 增股本</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2,241,056,886.31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1,911,456,422.49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本期经营利润增加</w:t>
            </w:r>
          </w:p>
        </w:tc>
      </w:tr>
      <w:tr>
        <w:trPr>
          <w:trHeight w:val="46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2,515,897,353.80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2,168,409,553.00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销量增加</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1,141,832,667.12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1,034,826,018.55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10.34%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销量增加</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439,081,953.44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332,901,259.58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工资、服务费等增加</w:t>
            </w:r>
          </w:p>
        </w:tc>
      </w:tr>
      <w:tr>
        <w:trPr>
          <w:trHeight w:val="47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-296,689.55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-1,252,368.99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pPr>
            <w:r>
              <w:rPr>
                <w:color w:val="000000"/>
                <w:spacing w:val="0"/>
                <w:w w:val="100"/>
                <w:position w:val="0"/>
              </w:rPr>
              <w:t>76.31%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核销的应收账款坏账损失</w:t>
            </w:r>
          </w:p>
        </w:tc>
      </w:tr>
    </w:tbl>
    <w:p>
      <w:pPr>
        <w:sectPr>
          <w:headerReference w:type="default" r:id="rId37"/>
          <w:footerReference w:type="default" r:id="rId38"/>
          <w:footnotePr>
            <w:pos w:val="pageBottom"/>
            <w:numFmt w:val="decimal"/>
            <w:numRestart w:val="continuous"/>
          </w:footnotePr>
          <w:pgSz w:w="11900" w:h="16840"/>
          <w:pgMar w:top="1354" w:right="1057" w:bottom="1599" w:left="1061" w:header="0" w:footer="3" w:gutter="0"/>
          <w:cols w:space="720"/>
          <w:noEndnote/>
          <w:rtlGutter w:val="0"/>
          <w:docGrid w:linePitch="360"/>
        </w:sectPr>
      </w:pPr>
    </w:p>
    <w:p>
      <w:pPr>
        <w:pStyle w:val="Style20"/>
        <w:keepNext/>
        <w:keepLines/>
        <w:widowControl w:val="0"/>
        <w:shd w:val="clear" w:color="auto" w:fill="auto"/>
        <w:bidi w:val="0"/>
        <w:spacing w:before="0" w:after="480" w:line="240" w:lineRule="auto"/>
        <w:ind w:left="0" w:right="0" w:firstLine="0"/>
        <w:jc w:val="center"/>
      </w:pPr>
      <w:bookmarkStart w:id="1494" w:name="bookmark1494"/>
      <w:bookmarkStart w:id="1495" w:name="bookmark1495"/>
      <w:bookmarkStart w:id="1496" w:name="bookmark1496"/>
      <w:r>
        <w:rPr>
          <w:color w:val="000000"/>
          <w:spacing w:val="0"/>
          <w:w w:val="100"/>
          <w:position w:val="0"/>
        </w:rPr>
        <w:t>第十一节备查文件目录</w:t>
      </w:r>
      <w:bookmarkEnd w:id="1494"/>
      <w:bookmarkEnd w:id="1495"/>
      <w:bookmarkEnd w:id="1496"/>
    </w:p>
    <w:p>
      <w:pPr>
        <w:pStyle w:val="Style54"/>
        <w:keepNext w:val="0"/>
        <w:keepLines w:val="0"/>
        <w:widowControl w:val="0"/>
        <w:shd w:val="clear" w:color="auto" w:fill="auto"/>
        <w:tabs>
          <w:tab w:pos="809" w:val="left"/>
        </w:tabs>
        <w:bidi w:val="0"/>
        <w:spacing w:before="0" w:after="0" w:line="326" w:lineRule="exact"/>
        <w:ind w:left="0" w:right="0" w:firstLine="340"/>
        <w:jc w:val="left"/>
      </w:pPr>
      <w:bookmarkStart w:id="1497" w:name="bookmark1497"/>
      <w:bookmarkStart w:id="1498" w:name="bookmark1498"/>
      <w:r>
        <w:rPr>
          <w:b w:val="0"/>
          <w:bCs w:val="0"/>
          <w:color w:val="000000"/>
          <w:spacing w:val="0"/>
          <w:w w:val="100"/>
          <w:position w:val="0"/>
        </w:rPr>
        <w:t>一</w:t>
      </w:r>
      <w:bookmarkEnd w:id="1498"/>
      <w:r>
        <w:rPr>
          <w:b w:val="0"/>
          <w:bCs w:val="0"/>
          <w:color w:val="000000"/>
          <w:spacing w:val="0"/>
          <w:w w:val="100"/>
          <w:position w:val="0"/>
        </w:rPr>
        <w:t>、</w:t>
        <w:tab/>
        <w:t>载有董事长签名的</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年年度报告全文；</w:t>
      </w:r>
      <w:bookmarkEnd w:id="1497"/>
    </w:p>
    <w:p>
      <w:pPr>
        <w:pStyle w:val="Style54"/>
        <w:keepNext w:val="0"/>
        <w:keepLines w:val="0"/>
        <w:widowControl w:val="0"/>
        <w:shd w:val="clear" w:color="auto" w:fill="auto"/>
        <w:tabs>
          <w:tab w:pos="809" w:val="left"/>
        </w:tabs>
        <w:bidi w:val="0"/>
        <w:spacing w:before="0" w:after="0" w:line="326" w:lineRule="exact"/>
        <w:ind w:left="0" w:right="0" w:firstLine="340"/>
        <w:jc w:val="left"/>
      </w:pPr>
      <w:bookmarkStart w:id="1499" w:name="bookmark1499"/>
      <w:r>
        <w:rPr>
          <w:b w:val="0"/>
          <w:bCs w:val="0"/>
          <w:color w:val="000000"/>
          <w:spacing w:val="0"/>
          <w:w w:val="100"/>
          <w:position w:val="0"/>
        </w:rPr>
        <w:t>二</w:t>
      </w:r>
      <w:bookmarkEnd w:id="1499"/>
      <w:r>
        <w:rPr>
          <w:b w:val="0"/>
          <w:bCs w:val="0"/>
          <w:color w:val="000000"/>
          <w:spacing w:val="0"/>
          <w:w w:val="100"/>
          <w:position w:val="0"/>
        </w:rPr>
        <w:t>、</w:t>
        <w:tab/>
        <w:t>载有法定代表人、主管会计工作负责人、会计机构负责人签名并盖章的财务报表；</w:t>
      </w:r>
    </w:p>
    <w:p>
      <w:pPr>
        <w:pStyle w:val="Style54"/>
        <w:keepNext w:val="0"/>
        <w:keepLines w:val="0"/>
        <w:widowControl w:val="0"/>
        <w:shd w:val="clear" w:color="auto" w:fill="auto"/>
        <w:tabs>
          <w:tab w:pos="814" w:val="left"/>
        </w:tabs>
        <w:bidi w:val="0"/>
        <w:spacing w:before="0" w:after="0" w:line="326" w:lineRule="exact"/>
        <w:ind w:left="0" w:right="0" w:firstLine="340"/>
        <w:jc w:val="left"/>
      </w:pPr>
      <w:bookmarkStart w:id="1500" w:name="bookmark1500"/>
      <w:r>
        <w:rPr>
          <w:b w:val="0"/>
          <w:bCs w:val="0"/>
          <w:color w:val="000000"/>
          <w:spacing w:val="0"/>
          <w:w w:val="100"/>
          <w:position w:val="0"/>
        </w:rPr>
        <w:t>三</w:t>
      </w:r>
      <w:bookmarkEnd w:id="1500"/>
      <w:r>
        <w:rPr>
          <w:b w:val="0"/>
          <w:bCs w:val="0"/>
          <w:color w:val="000000"/>
          <w:spacing w:val="0"/>
          <w:w w:val="100"/>
          <w:position w:val="0"/>
        </w:rPr>
        <w:t>、</w:t>
        <w:tab/>
        <w:t>载有会计师事务所盖章、注册会计师签名并盖章的审计报告原件；</w:t>
      </w:r>
    </w:p>
    <w:p>
      <w:pPr>
        <w:pStyle w:val="Style54"/>
        <w:keepNext w:val="0"/>
        <w:keepLines w:val="0"/>
        <w:widowControl w:val="0"/>
        <w:shd w:val="clear" w:color="auto" w:fill="auto"/>
        <w:tabs>
          <w:tab w:pos="829" w:val="left"/>
        </w:tabs>
        <w:bidi w:val="0"/>
        <w:spacing w:before="0" w:after="0" w:line="326" w:lineRule="exact"/>
        <w:ind w:left="0" w:right="0" w:firstLine="340"/>
        <w:jc w:val="left"/>
      </w:pPr>
      <w:bookmarkStart w:id="1501" w:name="bookmark1501"/>
      <w:r>
        <w:rPr>
          <w:b w:val="0"/>
          <w:bCs w:val="0"/>
          <w:color w:val="000000"/>
          <w:spacing w:val="0"/>
          <w:w w:val="100"/>
          <w:position w:val="0"/>
        </w:rPr>
        <w:t>四</w:t>
      </w:r>
      <w:bookmarkEnd w:id="1501"/>
      <w:r>
        <w:rPr>
          <w:b w:val="0"/>
          <w:bCs w:val="0"/>
          <w:color w:val="000000"/>
          <w:spacing w:val="0"/>
          <w:w w:val="100"/>
          <w:position w:val="0"/>
        </w:rPr>
        <w:t>、</w:t>
        <w:tab/>
        <w:t>报告期内，公司在《证券时报》和巨潮资讯网(</w:t>
      </w:r>
      <w:r>
        <w:rPr>
          <w:rFonts w:ascii="Times New Roman" w:eastAsia="Times New Roman" w:hAnsi="Times New Roman" w:cs="Times New Roman"/>
          <w:b w:val="0"/>
          <w:bCs w:val="0"/>
          <w:color w:val="000000"/>
          <w:spacing w:val="0"/>
          <w:w w:val="100"/>
          <w:position w:val="0"/>
        </w:rPr>
        <w:t>www.cninfo.com.cn</w:t>
      </w:r>
      <w:r>
        <w:rPr>
          <w:b w:val="0"/>
          <w:bCs w:val="0"/>
          <w:color w:val="000000"/>
          <w:spacing w:val="0"/>
          <w:w w:val="100"/>
          <w:position w:val="0"/>
        </w:rPr>
        <w:t>)上公开披露过的所有公司文 件的正本及公告的原稿。</w:t>
      </w:r>
    </w:p>
    <w:p>
      <w:pPr>
        <w:pStyle w:val="Style54"/>
        <w:keepNext w:val="0"/>
        <w:keepLines w:val="0"/>
        <w:widowControl w:val="0"/>
        <w:shd w:val="clear" w:color="auto" w:fill="auto"/>
        <w:bidi w:val="0"/>
        <w:spacing w:before="0" w:after="1080" w:line="326" w:lineRule="exact"/>
        <w:ind w:left="0" w:right="0" w:firstLine="440"/>
        <w:jc w:val="left"/>
      </w:pPr>
      <w:r>
        <w:rPr>
          <w:b w:val="0"/>
          <w:bCs w:val="0"/>
          <w:color w:val="000000"/>
          <w:spacing w:val="0"/>
          <w:w w:val="100"/>
          <w:position w:val="0"/>
        </w:rPr>
        <w:t>上述文件备置于公司证券部备查。</w:t>
      </w:r>
    </w:p>
    <w:p>
      <w:pPr>
        <w:pStyle w:val="Style54"/>
        <w:keepNext w:val="0"/>
        <w:keepLines w:val="0"/>
        <w:widowControl w:val="0"/>
        <w:shd w:val="clear" w:color="auto" w:fill="auto"/>
        <w:bidi w:val="0"/>
        <w:spacing w:before="0" w:after="220" w:line="240" w:lineRule="auto"/>
        <w:ind w:left="0" w:right="0" w:firstLine="0"/>
        <w:jc w:val="right"/>
      </w:pPr>
      <w:r>
        <w:rPr>
          <w:b w:val="0"/>
          <w:bCs w:val="0"/>
          <w:color w:val="000000"/>
          <w:spacing w:val="0"/>
          <w:w w:val="100"/>
          <w:position w:val="0"/>
        </w:rPr>
        <w:t>广州广电运通金融电子股份有限公司</w:t>
      </w:r>
    </w:p>
    <w:p>
      <w:pPr>
        <w:pStyle w:val="Style54"/>
        <w:keepNext w:val="0"/>
        <w:keepLines w:val="0"/>
        <w:widowControl w:val="0"/>
        <w:shd w:val="clear" w:color="auto" w:fill="auto"/>
        <w:bidi w:val="0"/>
        <w:spacing w:before="0" w:after="220" w:line="240" w:lineRule="auto"/>
        <w:ind w:left="7260" w:right="0" w:firstLine="0"/>
        <w:jc w:val="left"/>
      </w:pPr>
      <w:r>
        <w:rPr>
          <w:b w:val="0"/>
          <w:bCs w:val="0"/>
          <w:color w:val="000000"/>
          <w:spacing w:val="0"/>
          <w:w w:val="100"/>
          <w:position w:val="0"/>
        </w:rPr>
        <w:t>董事长：赵友永</w:t>
      </w:r>
    </w:p>
    <w:p>
      <w:pPr>
        <w:pStyle w:val="Style58"/>
        <w:keepNext w:val="0"/>
        <w:keepLines w:val="0"/>
        <w:widowControl w:val="0"/>
        <w:shd w:val="clear" w:color="auto" w:fill="auto"/>
        <w:bidi w:val="0"/>
        <w:spacing w:before="0" w:after="340" w:line="240" w:lineRule="auto"/>
        <w:ind w:left="7260" w:right="0" w:firstLine="0"/>
        <w:jc w:val="left"/>
      </w:pPr>
      <w:r>
        <w:rPr>
          <w:b w:val="0"/>
          <w:bCs w:val="0"/>
          <w:color w:val="000000"/>
          <w:spacing w:val="0"/>
          <w:w w:val="100"/>
          <w:position w:val="0"/>
        </w:rPr>
        <w:t>2014</w:t>
      </w:r>
      <w:r>
        <w:rPr>
          <w:rFonts w:ascii="SimSun" w:eastAsia="SimSun" w:hAnsi="SimSun" w:cs="SimSun"/>
          <w:b w:val="0"/>
          <w:bCs w:val="0"/>
          <w:color w:val="000000"/>
          <w:spacing w:val="0"/>
          <w:w w:val="100"/>
          <w:position w:val="0"/>
        </w:rPr>
        <w:t>年</w:t>
      </w:r>
      <w:r>
        <w:rPr>
          <w:b w:val="0"/>
          <w:bCs w:val="0"/>
          <w:color w:val="000000"/>
          <w:spacing w:val="0"/>
          <w:w w:val="100"/>
          <w:position w:val="0"/>
        </w:rPr>
        <w:t>3</w:t>
      </w:r>
      <w:r>
        <w:rPr>
          <w:rFonts w:ascii="SimSun" w:eastAsia="SimSun" w:hAnsi="SimSun" w:cs="SimSun"/>
          <w:b w:val="0"/>
          <w:bCs w:val="0"/>
          <w:color w:val="000000"/>
          <w:spacing w:val="0"/>
          <w:w w:val="100"/>
          <w:position w:val="0"/>
        </w:rPr>
        <w:t>月</w:t>
      </w:r>
      <w:r>
        <w:rPr>
          <w:b w:val="0"/>
          <w:bCs w:val="0"/>
          <w:color w:val="000000"/>
          <w:spacing w:val="0"/>
          <w:w w:val="100"/>
          <w:position w:val="0"/>
        </w:rPr>
        <w:t>27</w:t>
      </w:r>
      <w:r>
        <w:rPr>
          <w:rFonts w:ascii="SimSun" w:eastAsia="SimSun" w:hAnsi="SimSun" w:cs="SimSun"/>
          <w:b w:val="0"/>
          <w:bCs w:val="0"/>
          <w:color w:val="000000"/>
          <w:spacing w:val="0"/>
          <w:w w:val="100"/>
          <w:position w:val="0"/>
        </w:rPr>
        <w:t>日</w:t>
      </w:r>
    </w:p>
    <w:sectPr>
      <w:footnotePr>
        <w:pos w:val="pageBottom"/>
        <w:numFmt w:val="decimal"/>
        <w:numRestart w:val="continuous"/>
      </w:footnotePr>
      <w:pgSz w:w="11900" w:h="16840"/>
      <w:pgMar w:top="1969" w:right="1107" w:bottom="1969"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3907790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307.69999999999999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5273675</wp:posOffset>
              </wp:positionH>
              <wp:positionV relativeFrom="page">
                <wp:posOffset>6843395</wp:posOffset>
              </wp:positionV>
              <wp:extent cx="152400" cy="79375"/>
              <wp:wrapNone/>
              <wp:docPr id="106" name="Shape 106"/>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2" type="#_x0000_t202" style="position:absolute;margin-left:415.25pt;margin-top:538.85000000000002pt;width:12.pt;height:6.25pt;z-index:-18874402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3712210</wp:posOffset>
              </wp:positionH>
              <wp:positionV relativeFrom="page">
                <wp:posOffset>9955530</wp:posOffset>
              </wp:positionV>
              <wp:extent cx="152400" cy="79375"/>
              <wp:wrapNone/>
              <wp:docPr id="111" name="Shape 11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7" type="#_x0000_t202" style="position:absolute;margin-left:292.30000000000001pt;margin-top:783.89999999999998pt;width:12.pt;height:6.25pt;z-index:-18874402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5273675</wp:posOffset>
              </wp:positionH>
              <wp:positionV relativeFrom="page">
                <wp:posOffset>6838315</wp:posOffset>
              </wp:positionV>
              <wp:extent cx="149225" cy="79375"/>
              <wp:wrapNone/>
              <wp:docPr id="116" name="Shape 11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2" type="#_x0000_t202" style="position:absolute;margin-left:415.25pt;margin-top:538.45000000000005pt;width:11.75pt;height:6.25pt;z-index:-18874401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3712210</wp:posOffset>
              </wp:positionH>
              <wp:positionV relativeFrom="page">
                <wp:posOffset>9955530</wp:posOffset>
              </wp:positionV>
              <wp:extent cx="152400" cy="79375"/>
              <wp:wrapNone/>
              <wp:docPr id="121" name="Shape 12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292.30000000000001pt;margin-top:783.89999999999998pt;width:12.pt;height:6.25pt;z-index:-18874401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3951605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311.15000000000003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3738245</wp:posOffset>
              </wp:positionH>
              <wp:positionV relativeFrom="page">
                <wp:posOffset>9955530</wp:posOffset>
              </wp:positionV>
              <wp:extent cx="100330" cy="79375"/>
              <wp:wrapNone/>
              <wp:docPr id="65" name="Shape 6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1" type="#_x0000_t202" style="position:absolute;margin-left:294.35000000000002pt;margin-top:783.89999999999998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5295900</wp:posOffset>
              </wp:positionH>
              <wp:positionV relativeFrom="page">
                <wp:posOffset>6823710</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2" type="#_x0000_t202" style="position:absolute;margin-left:417.pt;margin-top:537.29999999999995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3712210</wp:posOffset>
              </wp:positionH>
              <wp:positionV relativeFrom="page">
                <wp:posOffset>9955530</wp:posOffset>
              </wp:positionV>
              <wp:extent cx="152400" cy="79375"/>
              <wp:wrapNone/>
              <wp:docPr id="81" name="Shape 8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7" type="#_x0000_t202" style="position:absolute;margin-left:292.30000000000001pt;margin-top:783.89999999999998pt;width:12.pt;height:6.25pt;z-index:-18874404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5273675</wp:posOffset>
              </wp:positionH>
              <wp:positionV relativeFrom="page">
                <wp:posOffset>6826885</wp:posOffset>
              </wp:positionV>
              <wp:extent cx="149225" cy="79375"/>
              <wp:wrapNone/>
              <wp:docPr id="86" name="Shape 8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2" type="#_x0000_t202" style="position:absolute;margin-left:415.25pt;margin-top:537.54999999999995pt;width:11.75pt;height:6.25pt;z-index:-18874404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3712210</wp:posOffset>
              </wp:positionH>
              <wp:positionV relativeFrom="page">
                <wp:posOffset>9955530</wp:posOffset>
              </wp:positionV>
              <wp:extent cx="152400" cy="79375"/>
              <wp:wrapNone/>
              <wp:docPr id="91" name="Shape 9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7" type="#_x0000_t202" style="position:absolute;margin-left:292.30000000000001pt;margin-top:783.89999999999998pt;width:12.pt;height:6.25pt;z-index:-18874403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5273675</wp:posOffset>
              </wp:positionH>
              <wp:positionV relativeFrom="page">
                <wp:posOffset>6824345</wp:posOffset>
              </wp:positionV>
              <wp:extent cx="149225" cy="79375"/>
              <wp:wrapNone/>
              <wp:docPr id="96" name="Shape 96"/>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2" type="#_x0000_t202" style="position:absolute;margin-left:415.25pt;margin-top:537.35000000000002pt;width:11.75pt;height:6.25pt;z-index:-18874403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3712210</wp:posOffset>
              </wp:positionH>
              <wp:positionV relativeFrom="page">
                <wp:posOffset>9955530</wp:posOffset>
              </wp:positionV>
              <wp:extent cx="152400" cy="79375"/>
              <wp:wrapNone/>
              <wp:docPr id="101" name="Shape 10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7" type="#_x0000_t202" style="position:absolute;margin-left:292.30000000000001pt;margin-top:783.89999999999998pt;width:12.pt;height:6.25pt;z-index:-18874402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4043045</wp:posOffset>
              </wp:positionH>
              <wp:positionV relativeFrom="page">
                <wp:posOffset>561340</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35000000000002pt;margin-top:44.2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707390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7212330</wp:posOffset>
              </wp:positionH>
              <wp:positionV relativeFrom="page">
                <wp:posOffset>549910</wp:posOffset>
              </wp:positionV>
              <wp:extent cx="2557145" cy="106680"/>
              <wp:wrapNone/>
              <wp:docPr id="103" name="Shape 10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29" type="#_x0000_t202" style="position:absolute;margin-left:567.89999999999998pt;margin-top:43.300000000000004pt;width:201.3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725805</wp:posOffset>
              </wp:positionV>
              <wp:extent cx="8906510" cy="0"/>
              <wp:wrapNone/>
              <wp:docPr id="105" name="Shape 10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149999999999999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4279265</wp:posOffset>
              </wp:positionH>
              <wp:positionV relativeFrom="page">
                <wp:posOffset>561340</wp:posOffset>
              </wp:positionV>
              <wp:extent cx="2560320" cy="106680"/>
              <wp:wrapNone/>
              <wp:docPr id="108" name="Shape 10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34" type="#_x0000_t202" style="position:absolute;margin-left:336.94999999999999pt;margin-top:44.200000000000003pt;width:201.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7212330</wp:posOffset>
              </wp:positionH>
              <wp:positionV relativeFrom="page">
                <wp:posOffset>544830</wp:posOffset>
              </wp:positionV>
              <wp:extent cx="2557145" cy="106680"/>
              <wp:wrapNone/>
              <wp:docPr id="113" name="Shape 11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39" type="#_x0000_t202" style="position:absolute;margin-left:567.89999999999998pt;margin-top:42.899999999999999pt;width:201.34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720725</wp:posOffset>
              </wp:positionV>
              <wp:extent cx="8906510" cy="0"/>
              <wp:wrapNone/>
              <wp:docPr id="115" name="Shape 1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75pt;width:701.30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4279265</wp:posOffset>
              </wp:positionH>
              <wp:positionV relativeFrom="page">
                <wp:posOffset>561340</wp:posOffset>
              </wp:positionV>
              <wp:extent cx="2560320" cy="106680"/>
              <wp:wrapNone/>
              <wp:docPr id="118" name="Shape 11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44" type="#_x0000_t202" style="position:absolute;margin-left:336.94999999999999pt;margin-top:44.200000000000003pt;width:201.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4043045</wp:posOffset>
              </wp:positionH>
              <wp:positionV relativeFrom="page">
                <wp:posOffset>478790</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18.35000000000002pt;margin-top:37.7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广州广电运通金融电子股份有限公司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4283710</wp:posOffset>
              </wp:positionH>
              <wp:positionV relativeFrom="page">
                <wp:posOffset>561340</wp:posOffset>
              </wp:positionV>
              <wp:extent cx="2560320" cy="106680"/>
              <wp:wrapNone/>
              <wp:docPr id="62" name="Shape 6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88" type="#_x0000_t202" style="position:absolute;margin-left:337.30000000000001pt;margin-top:44.2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707390</wp:posOffset>
              </wp:positionV>
              <wp:extent cx="6163310" cy="0"/>
              <wp:wrapNone/>
              <wp:docPr id="64" name="Shape 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7212965</wp:posOffset>
              </wp:positionH>
              <wp:positionV relativeFrom="page">
                <wp:posOffset>556895</wp:posOffset>
              </wp:positionV>
              <wp:extent cx="2557145" cy="106680"/>
              <wp:wrapNone/>
              <wp:docPr id="73" name="Shape 7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099" type="#_x0000_t202" style="position:absolute;margin-left:567.95000000000005pt;margin-top:43.850000000000001pt;width:201.3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706120</wp:posOffset>
              </wp:positionV>
              <wp:extent cx="8906510" cy="0"/>
              <wp:wrapNone/>
              <wp:docPr id="75" name="Shape 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5.600000000000001pt;width:701.30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4279265</wp:posOffset>
              </wp:positionH>
              <wp:positionV relativeFrom="page">
                <wp:posOffset>561340</wp:posOffset>
              </wp:positionV>
              <wp:extent cx="2560320" cy="106680"/>
              <wp:wrapNone/>
              <wp:docPr id="78" name="Shape 7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04" type="#_x0000_t202" style="position:absolute;margin-left:336.94999999999999pt;margin-top:44.200000000000003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7212330</wp:posOffset>
              </wp:positionH>
              <wp:positionV relativeFrom="page">
                <wp:posOffset>558800</wp:posOffset>
              </wp:positionV>
              <wp:extent cx="2557145" cy="106680"/>
              <wp:wrapNone/>
              <wp:docPr id="83" name="Shape 8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09" type="#_x0000_t202" style="position:absolute;margin-left:567.89999999999998pt;margin-top:44.pt;width:201.3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85" name="Shape 8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4279265</wp:posOffset>
              </wp:positionH>
              <wp:positionV relativeFrom="page">
                <wp:posOffset>561340</wp:posOffset>
              </wp:positionV>
              <wp:extent cx="2560320" cy="106680"/>
              <wp:wrapNone/>
              <wp:docPr id="88" name="Shape 8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14" type="#_x0000_t202" style="position:absolute;margin-left:336.94999999999999pt;margin-top:44.200000000000003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90" name="Shape 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7212330</wp:posOffset>
              </wp:positionH>
              <wp:positionV relativeFrom="page">
                <wp:posOffset>557530</wp:posOffset>
              </wp:positionV>
              <wp:extent cx="2557145" cy="106680"/>
              <wp:wrapNone/>
              <wp:docPr id="93" name="Shape 93"/>
              <a:graphic xmlns:a="http://schemas.openxmlformats.org/drawingml/2006/main">
                <a:graphicData uri="http://schemas.microsoft.com/office/word/2010/wordprocessingShape">
                  <wps:wsp>
                    <wps:cNvSpPr txBox="1"/>
                    <wps:spPr>
                      <a:xfrm>
                        <a:ext cx="2557145"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19" type="#_x0000_t202" style="position:absolute;margin-left:567.89999999999998pt;margin-top:43.899999999999999pt;width:201.3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906510" cy="0"/>
              <wp:wrapNone/>
              <wp:docPr id="95" name="Shape 9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4279265</wp:posOffset>
              </wp:positionH>
              <wp:positionV relativeFrom="page">
                <wp:posOffset>561340</wp:posOffset>
              </wp:positionV>
              <wp:extent cx="2560320" cy="106680"/>
              <wp:wrapNone/>
              <wp:docPr id="98" name="Shape 9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124" type="#_x0000_t202" style="position:absolute;margin-left:336.94999999999999pt;margin-top:44.200000000000003pt;width:201.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广州广电运通金融电子股份有限公司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703580</wp:posOffset>
              </wp:positionH>
              <wp:positionV relativeFrom="page">
                <wp:posOffset>707390</wp:posOffset>
              </wp:positionV>
              <wp:extent cx="6163310" cy="0"/>
              <wp:wrapNone/>
              <wp:docPr id="100" name="Shape 1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9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FFFFFF"/>
      </w:rPr>
    </w:lvl>
  </w:abstractNum>
  <w:abstractNum w:abstractNumId="7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Arial" w:eastAsia="Arial" w:hAnsi="Arial" w:cs="Arial"/>
      <w:b w:val="0"/>
      <w:bCs w:val="0"/>
      <w:i/>
      <w:iCs/>
      <w:smallCaps w:val="0"/>
      <w:strike w:val="0"/>
      <w:color w:val="EBEBEB"/>
      <w:sz w:val="52"/>
      <w:szCs w:val="52"/>
      <w:u w:val="none"/>
      <w:shd w:val="clear" w:color="auto" w:fill="auto"/>
    </w:rPr>
  </w:style>
  <w:style w:type="character" w:customStyle="1" w:styleId="CharStyle9">
    <w:name w:val="标题 #2_"/>
    <w:basedOn w:val="DefaultParagraphFont"/>
    <w:link w:val="Style8"/>
    <w:rPr>
      <w:rFonts w:ascii="Arial" w:eastAsia="Arial" w:hAnsi="Arial" w:cs="Arial"/>
      <w:b w:val="0"/>
      <w:bCs w:val="0"/>
      <w:i w:val="0"/>
      <w:iCs w:val="0"/>
      <w:smallCaps w:val="0"/>
      <w:strike w:val="0"/>
      <w:sz w:val="48"/>
      <w:szCs w:val="48"/>
      <w:u w:val="none"/>
      <w:shd w:val="clear" w:color="auto" w:fill="auto"/>
    </w:rPr>
  </w:style>
  <w:style w:type="character" w:customStyle="1" w:styleId="CharStyle11">
    <w:name w:val="正文文本 (6)_"/>
    <w:basedOn w:val="DefaultParagraphFont"/>
    <w:link w:val="Style10"/>
    <w:rPr>
      <w:rFonts w:ascii="SimHei" w:eastAsia="SimHei" w:hAnsi="SimHei" w:cs="SimHei"/>
      <w:b w:val="0"/>
      <w:bCs w:val="0"/>
      <w:i w:val="0"/>
      <w:iCs w:val="0"/>
      <w:smallCaps w:val="0"/>
      <w:strike w:val="0"/>
      <w:color w:val="245085"/>
      <w:sz w:val="26"/>
      <w:szCs w:val="26"/>
      <w:u w:val="none"/>
      <w:shd w:val="clear" w:color="auto" w:fill="auto"/>
    </w:rPr>
  </w:style>
  <w:style w:type="character" w:customStyle="1" w:styleId="CharStyle13">
    <w:name w:val="正文文本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8">
    <w:name w:val="正文文本 (5)_"/>
    <w:basedOn w:val="DefaultParagraphFont"/>
    <w:link w:val="Style1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1">
    <w:name w:val="标题 #4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9">
    <w:name w:val="其他_"/>
    <w:basedOn w:val="DefaultParagraphFont"/>
    <w:link w:val="Style2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2">
    <w:name w:val="标题 #5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5">
    <w:name w:val="标题 #6_"/>
    <w:basedOn w:val="DefaultParagraphFont"/>
    <w:link w:val="Style44"/>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3)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5">
    <w:name w:val="正文文本 (9)_"/>
    <w:basedOn w:val="DefaultParagraphFont"/>
    <w:link w:val="Style54"/>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10)_"/>
    <w:basedOn w:val="DefaultParagraphFont"/>
    <w:link w:val="Style58"/>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62">
    <w:name w:val="图片标题_"/>
    <w:basedOn w:val="DefaultParagraphFont"/>
    <w:link w:val="Style61"/>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outlineLvl w:val="0"/>
    </w:pPr>
    <w:rPr>
      <w:rFonts w:ascii="Arial" w:eastAsia="Arial" w:hAnsi="Arial" w:cs="Arial"/>
      <w:b w:val="0"/>
      <w:bCs w:val="0"/>
      <w:i/>
      <w:iCs/>
      <w:smallCaps w:val="0"/>
      <w:strike w:val="0"/>
      <w:color w:val="EBEBEB"/>
      <w:sz w:val="52"/>
      <w:szCs w:val="52"/>
      <w:u w:val="none"/>
      <w:shd w:val="clear" w:color="auto" w:fill="auto"/>
    </w:rPr>
  </w:style>
  <w:style w:type="paragraph" w:customStyle="1" w:styleId="Style8">
    <w:name w:val="标题 #2"/>
    <w:basedOn w:val="Normal"/>
    <w:link w:val="CharStyle9"/>
    <w:pPr>
      <w:widowControl w:val="0"/>
      <w:shd w:val="clear" w:color="auto" w:fill="auto"/>
      <w:ind w:firstLine="260"/>
      <w:outlineLvl w:val="1"/>
    </w:pPr>
    <w:rPr>
      <w:rFonts w:ascii="Arial" w:eastAsia="Arial" w:hAnsi="Arial" w:cs="Arial"/>
      <w:b w:val="0"/>
      <w:bCs w:val="0"/>
      <w:i w:val="0"/>
      <w:iCs w:val="0"/>
      <w:smallCaps w:val="0"/>
      <w:strike w:val="0"/>
      <w:sz w:val="48"/>
      <w:szCs w:val="48"/>
      <w:u w:val="none"/>
      <w:shd w:val="clear" w:color="auto" w:fill="auto"/>
    </w:rPr>
  </w:style>
  <w:style w:type="paragraph" w:customStyle="1" w:styleId="Style10">
    <w:name w:val="正文文本 (6)"/>
    <w:basedOn w:val="Normal"/>
    <w:link w:val="CharStyle11"/>
    <w:pPr>
      <w:widowControl w:val="0"/>
      <w:shd w:val="clear" w:color="auto" w:fill="auto"/>
    </w:pPr>
    <w:rPr>
      <w:rFonts w:ascii="SimHei" w:eastAsia="SimHei" w:hAnsi="SimHei" w:cs="SimHei"/>
      <w:b w:val="0"/>
      <w:bCs w:val="0"/>
      <w:i w:val="0"/>
      <w:iCs w:val="0"/>
      <w:smallCaps w:val="0"/>
      <w:strike w:val="0"/>
      <w:color w:val="245085"/>
      <w:sz w:val="26"/>
      <w:szCs w:val="26"/>
      <w:u w:val="none"/>
      <w:shd w:val="clear" w:color="auto" w:fill="auto"/>
    </w:rPr>
  </w:style>
  <w:style w:type="paragraph" w:customStyle="1" w:styleId="Style12">
    <w:name w:val="正文文本 (4)"/>
    <w:basedOn w:val="Normal"/>
    <w:link w:val="CharStyle13"/>
    <w:pPr>
      <w:widowControl w:val="0"/>
      <w:shd w:val="clear" w:color="auto" w:fill="auto"/>
      <w:spacing w:after="19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4">
    <w:name w:val="标题 #3"/>
    <w:basedOn w:val="Normal"/>
    <w:link w:val="CharStyle15"/>
    <w:pPr>
      <w:widowControl w:val="0"/>
      <w:shd w:val="clear" w:color="auto" w:fill="auto"/>
      <w:spacing w:before="60" w:after="940"/>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17">
    <w:name w:val="正文文本 (5)"/>
    <w:basedOn w:val="Normal"/>
    <w:link w:val="CharStyle18"/>
    <w:pPr>
      <w:widowControl w:val="0"/>
      <w:shd w:val="clear" w:color="auto" w:fill="auto"/>
      <w:ind w:left="3840"/>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20">
    <w:name w:val="标题 #4"/>
    <w:basedOn w:val="Normal"/>
    <w:link w:val="CharStyle21"/>
    <w:pPr>
      <w:widowControl w:val="0"/>
      <w:shd w:val="clear" w:color="auto" w:fill="auto"/>
      <w:spacing w:after="45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22">
    <w:name w:val="正文文本 (2)"/>
    <w:basedOn w:val="Normal"/>
    <w:link w:val="CharStyle23"/>
    <w:pPr>
      <w:widowControl w:val="0"/>
      <w:shd w:val="clear" w:color="auto" w:fill="auto"/>
      <w:spacing w:after="12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5">
    <w:name w:val="目录"/>
    <w:basedOn w:val="Normal"/>
    <w:link w:val="CharStyle2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8">
    <w:name w:val="其他"/>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1">
    <w:name w:val="标题 #5"/>
    <w:basedOn w:val="Normal"/>
    <w:link w:val="CharStyle32"/>
    <w:pPr>
      <w:widowControl w:val="0"/>
      <w:shd w:val="clear" w:color="auto" w:fill="auto"/>
      <w:spacing w:after="320"/>
      <w:outlineLvl w:val="4"/>
    </w:pPr>
    <w:rPr>
      <w:rFonts w:ascii="SimSun" w:eastAsia="SimSun" w:hAnsi="SimSun" w:cs="SimSun"/>
      <w:b/>
      <w:bCs/>
      <w:i w:val="0"/>
      <w:iCs w:val="0"/>
      <w:smallCaps w:val="0"/>
      <w:strike w:val="0"/>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正文文本"/>
    <w:basedOn w:val="Normal"/>
    <w:link w:val="CharStyle36"/>
    <w:pPr>
      <w:widowControl w:val="0"/>
      <w:shd w:val="clear" w:color="auto" w:fill="auto"/>
      <w:spacing w:after="120"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44">
    <w:name w:val="标题 #6"/>
    <w:basedOn w:val="Normal"/>
    <w:link w:val="CharStyle45"/>
    <w:pPr>
      <w:widowControl w:val="0"/>
      <w:shd w:val="clear" w:color="auto" w:fill="auto"/>
      <w:spacing w:after="33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3)"/>
    <w:basedOn w:val="Normal"/>
    <w:link w:val="CharStyle48"/>
    <w:pPr>
      <w:widowControl w:val="0"/>
      <w:shd w:val="clear" w:color="auto" w:fill="auto"/>
      <w:spacing w:line="329"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4">
    <w:name w:val="正文文本 (9)"/>
    <w:basedOn w:val="Normal"/>
    <w:link w:val="CharStyle55"/>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10)"/>
    <w:basedOn w:val="Normal"/>
    <w:link w:val="CharStyle59"/>
    <w:pPr>
      <w:widowControl w:val="0"/>
      <w:shd w:val="clear" w:color="auto" w:fill="auto"/>
      <w:spacing w:after="30"/>
      <w:ind w:firstLine="70"/>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61">
    <w:name w:val="图片标题"/>
    <w:basedOn w:val="Normal"/>
    <w:link w:val="CharStyle62"/>
    <w:pPr>
      <w:widowControl w:val="0"/>
      <w:shd w:val="clear" w:color="auto" w:fill="auto"/>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20" Type="http://schemas.openxmlformats.org/officeDocument/2006/relationships/footer" Target="footer4.xml"/><Relationship Id="rId21" Type="http://schemas.openxmlformats.org/officeDocument/2006/relationships/header" Target="header5.xml"/><Relationship Id="rId22" Type="http://schemas.openxmlformats.org/officeDocument/2006/relationships/footer" Target="footer5.xm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s>
</file>

<file path=docProps/core.xml><?xml version="1.0" encoding="utf-8"?>
<cp:coreProperties xmlns:cp="http://schemas.openxmlformats.org/package/2006/metadata/core-properties" xmlns:dc="http://purl.org/dc/elements/1.1/">
  <dc:title>广州广电运通金融电子股份有限公司2012年度报告全文</dc:title>
  <dc:subject/>
  <dc:creator>广州广电运通金融电子股份有限公司</dc:creator>
  <cp:keywords/>
</cp:coreProperties>
</file>