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line="1219" w:lineRule="exact"/>
        <w:ind w:left="37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941576" cy="7741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941576" cy="774192"/>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spacing w:line="460" w:lineRule="exact" w:before="0"/>
        <w:ind w:left="6" w:right="3" w:firstLine="0"/>
        <w:jc w:val="center"/>
        <w:rPr>
          <w:rFonts w:ascii="宋体" w:hAnsi="宋体" w:cs="宋体" w:eastAsia="宋体" w:hint="default"/>
          <w:sz w:val="36"/>
          <w:szCs w:val="36"/>
        </w:rPr>
      </w:pPr>
      <w:r>
        <w:rPr>
          <w:rFonts w:ascii="宋体" w:hAnsi="宋体" w:cs="宋体" w:eastAsia="宋体" w:hint="default"/>
          <w:b/>
          <w:bCs/>
          <w:sz w:val="36"/>
          <w:szCs w:val="36"/>
        </w:rPr>
        <w:t>广州广电运通金融电子股份有限公司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 w:right="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31"/>
          <w:szCs w:val="31"/>
        </w:rPr>
      </w:pPr>
    </w:p>
    <w:p>
      <w:pPr>
        <w:spacing w:before="0"/>
        <w:ind w:left="0" w:right="3" w:firstLine="0"/>
        <w:jc w:val="center"/>
        <w:rPr>
          <w:rFonts w:ascii="宋体" w:hAnsi="宋体" w:cs="宋体" w:eastAsia="宋体" w:hint="default"/>
          <w:sz w:val="32"/>
          <w:szCs w:val="32"/>
        </w:rPr>
      </w:pPr>
      <w:r>
        <w:rPr>
          <w:rFonts w:ascii="宋体" w:hAnsi="宋体" w:cs="宋体" w:eastAsia="宋体" w:hint="default"/>
          <w:b/>
          <w:bCs/>
          <w:sz w:val="32"/>
          <w:szCs w:val="32"/>
        </w:rPr>
        <w:t>二零一六年三月</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tabs>
          <w:tab w:pos="7067" w:val="left" w:leader="none"/>
        </w:tabs>
        <w:spacing w:before="239"/>
        <w:ind w:left="0" w:right="3" w:firstLine="0"/>
        <w:jc w:val="center"/>
        <w:rPr>
          <w:rFonts w:ascii="Times New Roman" w:hAnsi="Times New Roman" w:cs="Times New Roman" w:eastAsia="Times New Roman" w:hint="default"/>
          <w:sz w:val="32"/>
          <w:szCs w:val="32"/>
        </w:rPr>
      </w:pPr>
      <w:r>
        <w:rPr>
          <w:rFonts w:ascii="宋体" w:hAnsi="宋体" w:cs="宋体" w:eastAsia="宋体" w:hint="default"/>
          <w:b/>
          <w:bCs/>
          <w:w w:val="95"/>
          <w:sz w:val="32"/>
          <w:szCs w:val="32"/>
        </w:rPr>
        <w:t>证券简称：广电运通</w:t>
        <w:tab/>
      </w:r>
      <w:r>
        <w:rPr>
          <w:rFonts w:ascii="宋体" w:hAnsi="宋体" w:cs="宋体" w:eastAsia="宋体" w:hint="default"/>
          <w:b/>
          <w:bCs/>
          <w:sz w:val="32"/>
          <w:szCs w:val="32"/>
        </w:rPr>
        <w:t>证券代码：</w:t>
      </w:r>
      <w:r>
        <w:rPr>
          <w:rFonts w:ascii="Times New Roman" w:hAnsi="Times New Roman" w:cs="Times New Roman" w:eastAsia="Times New Roman" w:hint="default"/>
          <w:b/>
          <w:bCs/>
          <w:sz w:val="32"/>
          <w:szCs w:val="32"/>
        </w:rPr>
        <w:t>002152</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1"/>
          <w:szCs w:val="21"/>
        </w:rPr>
      </w:pPr>
    </w:p>
    <w:p>
      <w:pPr>
        <w:pStyle w:val="BodyText"/>
        <w:spacing w:line="240" w:lineRule="auto" w:before="76"/>
        <w:ind w:left="599" w:right="3"/>
        <w:jc w:val="center"/>
        <w:rPr>
          <w:rFonts w:ascii="Times New Roman" w:hAnsi="Times New Roman" w:cs="Times New Roman" w:eastAsia="Times New Roman" w:hint="default"/>
        </w:rPr>
      </w:pPr>
      <w:r>
        <w:rPr>
          <w:rFonts w:ascii="Times New Roman"/>
        </w:rPr>
        <w:t>1</w:t>
      </w:r>
    </w:p>
    <w:p>
      <w:pPr>
        <w:spacing w:after="0" w:line="240" w:lineRule="auto"/>
        <w:jc w:val="center"/>
        <w:rPr>
          <w:rFonts w:ascii="Times New Roman" w:hAnsi="Times New Roman" w:cs="Times New Roman" w:eastAsia="Times New Roman" w:hint="default"/>
        </w:rPr>
        <w:sectPr>
          <w:headerReference w:type="default" r:id="rId5"/>
          <w:type w:val="continuous"/>
          <w:pgSz w:w="11910" w:h="16840"/>
          <w:pgMar w:header="745" w:top="106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802" w:right="24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7"/>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7"/>
        <w:ind w:left="15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spacing w:val="2"/>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0"/>
        <w:ind w:left="152" w:right="2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公司负责人赵友永、主管会计工作负责人蒋春晨及会计机构负责人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惠小绒声明：保证年度报告中财务报告的真实、准确、完整。</w:t>
      </w:r>
      <w:r>
        <w:rPr>
          <w:rFonts w:ascii="宋体" w:hAnsi="宋体" w:cs="宋体" w:eastAsia="宋体" w:hint="default"/>
          <w:sz w:val="28"/>
          <w:szCs w:val="28"/>
        </w:rPr>
      </w:r>
    </w:p>
    <w:p>
      <w:pPr>
        <w:spacing w:line="475" w:lineRule="auto" w:before="148"/>
        <w:ind w:left="714" w:right="24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sz w:val="28"/>
          <w:szCs w:val="28"/>
        </w:rPr>
        <w:t>公司主要存在产品价格下行的风险、开展</w:t>
      </w:r>
      <w:r>
        <w:rPr>
          <w:rFonts w:ascii="宋体" w:hAnsi="宋体" w:cs="宋体" w:eastAsia="宋体" w:hint="default"/>
          <w:b/>
          <w:bCs/>
          <w:spacing w:val="-62"/>
          <w:sz w:val="28"/>
          <w:szCs w:val="28"/>
        </w:rPr>
        <w:t> </w:t>
      </w:r>
      <w:r>
        <w:rPr>
          <w:rFonts w:ascii="Times New Roman" w:hAnsi="Times New Roman" w:cs="Times New Roman" w:eastAsia="Times New Roman" w:hint="default"/>
          <w:b/>
          <w:bCs/>
          <w:spacing w:val="-8"/>
          <w:sz w:val="28"/>
          <w:szCs w:val="28"/>
        </w:rPr>
        <w:t>ATM</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6"/>
          <w:sz w:val="28"/>
          <w:szCs w:val="28"/>
        </w:rPr>
        <w:t>外包服务的运营风险、投资</w:t>
      </w:r>
      <w:r>
        <w:rPr>
          <w:rFonts w:ascii="宋体" w:hAnsi="宋体" w:cs="宋体" w:eastAsia="宋体" w:hint="default"/>
          <w:spacing w:val="-6"/>
          <w:sz w:val="28"/>
          <w:szCs w:val="28"/>
        </w:rPr>
      </w:r>
    </w:p>
    <w:p>
      <w:pPr>
        <w:spacing w:line="299" w:lineRule="exact" w:before="0"/>
        <w:ind w:left="152" w:right="104" w:firstLine="0"/>
        <w:jc w:val="left"/>
        <w:rPr>
          <w:rFonts w:ascii="宋体" w:hAnsi="宋体" w:cs="宋体" w:eastAsia="宋体" w:hint="default"/>
          <w:sz w:val="28"/>
          <w:szCs w:val="28"/>
        </w:rPr>
      </w:pPr>
      <w:r>
        <w:rPr>
          <w:rFonts w:ascii="宋体" w:hAnsi="宋体" w:cs="宋体" w:eastAsia="宋体" w:hint="default"/>
          <w:b/>
          <w:bCs/>
          <w:spacing w:val="2"/>
          <w:sz w:val="28"/>
          <w:szCs w:val="28"/>
        </w:rPr>
        <w:t>风险、经营规模迅速扩张导致的管理风险等，敬请广大投资者注意投资风险。</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46" w:lineRule="auto" w:before="0"/>
        <w:ind w:left="714" w:right="104" w:hanging="562"/>
        <w:jc w:val="left"/>
        <w:rPr>
          <w:rFonts w:ascii="宋体" w:hAnsi="宋体" w:cs="宋体" w:eastAsia="宋体" w:hint="default"/>
          <w:sz w:val="28"/>
          <w:szCs w:val="28"/>
        </w:rPr>
      </w:pPr>
      <w:r>
        <w:rPr>
          <w:rFonts w:ascii="宋体" w:hAnsi="宋体" w:cs="宋体" w:eastAsia="宋体" w:hint="default"/>
          <w:b/>
          <w:bCs/>
          <w:sz w:val="28"/>
          <w:szCs w:val="28"/>
        </w:rPr>
        <w:t>详细内容见本报告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第四节九（五）公司面临的风险及应对措施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b/>
          <w:bCs/>
          <w:w w:val="99"/>
          <w:sz w:val="28"/>
          <w:szCs w:val="28"/>
        </w:rPr>
        <w:t> </w:t>
      </w:r>
      <w:r>
        <w:rPr>
          <w:rFonts w:ascii="宋体" w:hAnsi="宋体" w:cs="宋体" w:eastAsia="宋体" w:hint="default"/>
          <w:b/>
          <w:bCs/>
          <w:spacing w:val="-6"/>
          <w:w w:val="99"/>
          <w:sz w:val="28"/>
          <w:szCs w:val="28"/>
        </w:rPr>
        <w:t>公司经本次董事会审议通过的利润分配预案为：以</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spacing w:val="-1"/>
          <w:w w:val="100"/>
          <w:sz w:val="28"/>
          <w:szCs w:val="28"/>
        </w:rPr>
        <w:t>1,079,504,767</w:t>
      </w:r>
      <w:r>
        <w:rPr>
          <w:rFonts w:ascii="Times New Roman" w:hAnsi="Times New Roman" w:cs="Times New Roman" w:eastAsia="Times New Roman" w:hint="default"/>
          <w:b/>
          <w:bCs/>
          <w:spacing w:val="9"/>
          <w:w w:val="100"/>
          <w:sz w:val="28"/>
          <w:szCs w:val="28"/>
        </w:rPr>
        <w:t> </w:t>
      </w:r>
      <w:r>
        <w:rPr>
          <w:rFonts w:ascii="宋体" w:hAnsi="宋体" w:cs="宋体" w:eastAsia="宋体" w:hint="default"/>
          <w:b/>
          <w:bCs/>
          <w:w w:val="99"/>
          <w:sz w:val="28"/>
          <w:szCs w:val="28"/>
        </w:rPr>
        <w:t>股为基数，</w:t>
      </w:r>
      <w:r>
        <w:rPr>
          <w:rFonts w:ascii="宋体" w:hAnsi="宋体" w:cs="宋体" w:eastAsia="宋体" w:hint="default"/>
          <w:sz w:val="28"/>
          <w:szCs w:val="28"/>
        </w:rPr>
      </w:r>
    </w:p>
    <w:p>
      <w:pPr>
        <w:spacing w:line="357" w:lineRule="exact" w:before="0"/>
        <w:ind w:left="152" w:right="104"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w:t>
      </w:r>
      <w:r>
        <w:rPr>
          <w:rFonts w:ascii="宋体" w:hAnsi="宋体" w:cs="宋体" w:eastAsia="宋体" w:hint="default"/>
          <w:sz w:val="28"/>
          <w:szCs w:val="28"/>
        </w:rPr>
      </w:r>
    </w:p>
    <w:p>
      <w:pPr>
        <w:spacing w:before="236"/>
        <w:ind w:left="152" w:right="240"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8" w:lineRule="auto" w:before="0"/>
        <w:ind w:left="15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本年度报告涉及未来发展规划和经营目标的相关陈述，属于公司计划性事</w:t>
      </w:r>
      <w:r>
        <w:rPr>
          <w:rFonts w:ascii="宋体" w:hAnsi="宋体" w:cs="宋体" w:eastAsia="宋体" w:hint="default"/>
          <w:b/>
          <w:bCs/>
          <w:spacing w:val="2"/>
          <w:w w:val="99"/>
          <w:sz w:val="28"/>
          <w:szCs w:val="28"/>
        </w:rPr>
        <w:t> </w:t>
      </w:r>
      <w:r>
        <w:rPr>
          <w:rFonts w:ascii="宋体" w:hAnsi="宋体" w:cs="宋体" w:eastAsia="宋体" w:hint="default"/>
          <w:b/>
          <w:bCs/>
          <w:sz w:val="28"/>
          <w:szCs w:val="28"/>
        </w:rPr>
        <w:t>务，不构成公司对投资者的实质承诺，请投资者注意投资风险。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headerReference w:type="default" r:id="rId7"/>
          <w:footerReference w:type="default" r:id="rId8"/>
          <w:pgSz w:w="11910" w:h="16840"/>
          <w:pgMar w:header="877" w:footer="982" w:top="1100" w:bottom="1180" w:left="980" w:right="8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1" w:right="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119"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管理层讨论与分析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119"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174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before="893"/>
        <w:ind w:left="1" w:right="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广电运通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运通电子</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无线电集团</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广州市人民政府国有资产监督管理委员会</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广州银通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广州穗通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GRG Banking Equipment (HK)</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（广电运通国际有限公司）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支点投资</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中智融通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广电汇通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运通信息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北京广电科技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龙源环保</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广百小额贷</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力沛咨询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内蒙古安保投资公司</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GRGI</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GRG INTERNATIONAL</w:t>
            </w:r>
            <w:r>
              <w:rPr>
                <w:rFonts w:ascii="Times New Roman"/>
                <w:spacing w:val="-35"/>
                <w:sz w:val="18"/>
              </w:rPr>
              <w:t> </w:t>
            </w:r>
            <w:r>
              <w:rPr>
                <w:rFonts w:ascii="Times New Roman"/>
                <w:spacing w:val="-7"/>
                <w:sz w:val="18"/>
              </w:rPr>
              <w:t>LTD</w:t>
            </w:r>
            <w:r>
              <w:rPr>
                <w:rFonts w:ascii="Times New Roman"/>
                <w:sz w:val="18"/>
              </w:rPr>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深圳鹏通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石家庄银通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上海欣辰通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云南云通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云南云通金融外包服务有限公司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宜昌宜通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南宁盈通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辽宁辽通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河南商通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金牛押运</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河北晨通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南阳宛通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山西尚通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广东榕通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商洛金盾</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邵阳保安</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兴安盟威信</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武威神威</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巴彦淖尔天力</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海南警锐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海南警锐押运护卫有限公司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平顶山鹰翔</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平顶山鹰翔保安押运有限公司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西安金盾</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西安金盾押运有限公司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海格通信</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海格机械</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通导信息</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广电房地产</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广电物业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广电计量</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海华电子</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8"/>
                <w:sz w:val="18"/>
              </w:rPr>
              <w:t>ATM</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银行自动柜员机（</w:t>
            </w:r>
            <w:r>
              <w:rPr>
                <w:rFonts w:ascii="Times New Roman" w:hAnsi="Times New Roman" w:cs="Times New Roman" w:eastAsia="Times New Roman" w:hint="default"/>
                <w:sz w:val="18"/>
                <w:szCs w:val="18"/>
              </w:rPr>
              <w:t>Automatic </w:t>
            </w:r>
            <w:r>
              <w:rPr>
                <w:rFonts w:ascii="Times New Roman" w:hAnsi="Times New Roman" w:cs="Times New Roman" w:eastAsia="Times New Roman" w:hint="default"/>
                <w:spacing w:val="-3"/>
                <w:sz w:val="18"/>
                <w:szCs w:val="18"/>
              </w:rPr>
              <w:t>Teller </w:t>
            </w:r>
            <w:r>
              <w:rPr>
                <w:rFonts w:ascii="Times New Roman" w:hAnsi="Times New Roman" w:cs="Times New Roman" w:eastAsia="Times New Roman" w:hint="default"/>
                <w:sz w:val="18"/>
                <w:szCs w:val="18"/>
              </w:rPr>
              <w:t>Machine</w:t>
            </w:r>
            <w:r>
              <w:rPr>
                <w:rFonts w:ascii="宋体" w:hAnsi="宋体" w:cs="宋体" w:eastAsia="宋体" w:hint="default"/>
                <w:sz w:val="18"/>
                <w:szCs w:val="18"/>
              </w:rPr>
              <w:t>）</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AFC</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地铁、轻轨、铁道、高铁等轨道交通票卡处理设备（</w:t>
            </w:r>
            <w:r>
              <w:rPr>
                <w:rFonts w:ascii="Times New Roman" w:hAnsi="Times New Roman" w:cs="Times New Roman" w:eastAsia="Times New Roman" w:hint="default"/>
                <w:sz w:val="18"/>
                <w:szCs w:val="18"/>
              </w:rPr>
              <w:t>Automatic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Fare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w w:val="99"/>
                <w:sz w:val="18"/>
                <w:szCs w:val="18"/>
              </w:rPr>
              <w:t>Collection</w:t>
            </w:r>
            <w:r>
              <w:rPr>
                <w:rFonts w:ascii="宋体" w:hAnsi="宋体" w:cs="宋体" w:eastAsia="宋体" w:hint="default"/>
                <w:spacing w:val="-6"/>
                <w:w w:val="99"/>
                <w:sz w:val="18"/>
                <w:szCs w:val="18"/>
              </w:rPr>
              <w:t>），主要包括</w:t>
            </w:r>
            <w:r>
              <w:rPr>
                <w:rFonts w:ascii="宋体" w:hAnsi="宋体" w:cs="宋体" w:eastAsia="宋体" w:hint="default"/>
                <w:spacing w:val="-28"/>
                <w:w w:val="99"/>
                <w:sz w:val="18"/>
                <w:szCs w:val="18"/>
              </w:rPr>
              <w:t> </w:t>
            </w:r>
            <w:r>
              <w:rPr>
                <w:rFonts w:ascii="Times New Roman" w:hAnsi="Times New Roman" w:cs="Times New Roman" w:eastAsia="Times New Roman" w:hint="default"/>
                <w:spacing w:val="-1"/>
                <w:w w:val="99"/>
                <w:sz w:val="18"/>
                <w:szCs w:val="18"/>
              </w:rPr>
              <w:t>TVM</w:t>
            </w:r>
            <w:r>
              <w:rPr>
                <w:rFonts w:ascii="宋体" w:hAnsi="宋体" w:cs="宋体" w:eastAsia="宋体" w:hint="default"/>
                <w:spacing w:val="-1"/>
                <w:w w:val="99"/>
                <w:sz w:val="18"/>
                <w:szCs w:val="18"/>
              </w:rPr>
              <w:t>、自动检票机、自动验票机等设备</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VTM</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远程视频柜员机</w:t>
            </w:r>
            <w:r>
              <w:rPr>
                <w:rFonts w:ascii="Times New Roman" w:hAnsi="Times New Roman" w:cs="Times New Roman" w:eastAsia="Times New Roman" w:hint="default"/>
                <w:sz w:val="18"/>
                <w:szCs w:val="18"/>
              </w:rPr>
              <w:t>(Virtual </w:t>
            </w:r>
            <w:r>
              <w:rPr>
                <w:rFonts w:ascii="Times New Roman" w:hAnsi="Times New Roman" w:cs="Times New Roman" w:eastAsia="Times New Roman" w:hint="default"/>
                <w:spacing w:val="-3"/>
                <w:sz w:val="18"/>
                <w:szCs w:val="18"/>
              </w:rPr>
              <w:t>Teller</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Machine)</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AOC</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 </w:t>
            </w:r>
            <w:r>
              <w:rPr>
                <w:rFonts w:ascii="Times New Roman" w:hAnsi="Times New Roman" w:cs="Times New Roman" w:eastAsia="Times New Roman" w:hint="default"/>
                <w:sz w:val="18"/>
                <w:szCs w:val="18"/>
              </w:rPr>
              <w:t>Operation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，银行自动柜员机监控调度指挥中心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left="2641" w:right="0"/>
        <w:jc w:val="left"/>
        <w:rPr>
          <w:b w:val="0"/>
          <w:bCs w:val="0"/>
        </w:rPr>
      </w:pPr>
      <w:bookmarkStart w:name="三、信息披露及备置地点" w:id="3"/>
      <w:bookmarkEnd w:id="3"/>
      <w:r>
        <w:rPr>
          <w:b w:val="0"/>
          <w:bCs w:val="0"/>
        </w:rPr>
      </w:r>
      <w:bookmarkStart w:name="第二节 公司简介和主要财务指标" w:id="4"/>
      <w:bookmarkEnd w:id="4"/>
      <w:r>
        <w:rPr>
          <w:b w:val="0"/>
          <w:bCs w:val="0"/>
        </w:rPr>
      </w:r>
      <w:bookmarkStart w:name="_bookmark1" w:id="5"/>
      <w:bookmarkEnd w:id="5"/>
      <w:r>
        <w:rPr>
          <w:b w:val="0"/>
          <w:bCs w:val="0"/>
        </w:rPr>
      </w:r>
      <w:r>
        <w:rPr/>
        <w:t>第二节</w:t>
      </w:r>
      <w:r>
        <w:rPr>
          <w:spacing w:val="-7"/>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17"/>
        <w:gridCol w:w="2363"/>
        <w:gridCol w:w="1789"/>
        <w:gridCol w:w="2188"/>
      </w:tblGrid>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63"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49"/>
              <w:ind w:left="28"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广电运通</w:t>
            </w:r>
          </w:p>
        </w:tc>
        <w:tc>
          <w:tcPr>
            <w:tcW w:w="1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002152</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4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广电运通</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7"/>
                <w:sz w:val="18"/>
              </w:rPr>
              <w:t> </w:t>
            </w:r>
            <w:r>
              <w:rPr>
                <w:rFonts w:ascii="Times New Roman"/>
                <w:sz w:val="18"/>
              </w:rPr>
              <w:t>Co.,Ltd.</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GRG</w:t>
            </w:r>
            <w:r>
              <w:rPr>
                <w:rFonts w:ascii="Times New Roman"/>
                <w:spacing w:val="-6"/>
                <w:sz w:val="18"/>
              </w:rPr>
              <w:t> </w:t>
            </w:r>
            <w:r>
              <w:rPr>
                <w:rFonts w:ascii="Times New Roman"/>
                <w:sz w:val="18"/>
              </w:rPr>
              <w:t>Banking</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赵友永</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1"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www.grgbanking.com</w:t>
              </w:r>
            </w:hyperlink>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40" w:type="dxa"/>
            <w:gridSpan w:val="3"/>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任斌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王英</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广州市萝岗区科学城科林路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020-62878517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020-62878900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020-62878517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020-62878517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securities@grgbanking.com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6"/>
        <w:gridCol w:w="5842"/>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left="212" w:right="101"/>
        <w:jc w:val="left"/>
        <w:rPr>
          <w:b w:val="0"/>
          <w:bCs w:val="0"/>
        </w:rPr>
      </w:pPr>
      <w:bookmarkStart w:name="六、主要会计数据和财务指标"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60"/>
        <w:jc w:val="right"/>
      </w:pPr>
      <w:r>
        <w:rPr/>
        <w:pict>
          <v:shape style="position:absolute;margin-left:56.459999pt;margin-top:-227.808273pt;width:479.1pt;height:281.2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914401017163404737</w:t>
                        </w:r>
                      </w:p>
                    </w:tc>
                  </w:tr>
                  <w:tr>
                    <w:trPr>
                      <w:trHeight w:val="4810"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4"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月在广州市工商行政管理局变更登记，公司经营范围增加了 </w:t>
                        </w:r>
                        <w:r>
                          <w:rPr>
                            <w:rFonts w:ascii="宋体" w:hAnsi="宋体" w:cs="宋体" w:eastAsia="宋体" w:hint="default"/>
                            <w:sz w:val="18"/>
                            <w:szCs w:val="18"/>
                          </w:rPr>
                          <w:t>“</w:t>
                        </w:r>
                        <w:r>
                          <w:rPr>
                            <w:rFonts w:ascii="宋体" w:hAnsi="宋体" w:cs="宋体" w:eastAsia="宋体" w:hint="default"/>
                            <w:sz w:val="18"/>
                            <w:szCs w:val="18"/>
                          </w:rPr>
                          <w:t>对自动柜员机提供日常维护与管理服务；对现金及有价证券提供清分处理服 </w:t>
                        </w:r>
                        <w:r>
                          <w:rPr>
                            <w:rFonts w:ascii="宋体" w:hAnsi="宋体" w:cs="宋体" w:eastAsia="宋体" w:hint="default"/>
                            <w:spacing w:val="-31"/>
                            <w:sz w:val="18"/>
                            <w:szCs w:val="18"/>
                          </w:rPr>
                          <w:t>务。</w:t>
                        </w:r>
                        <w:r>
                          <w:rPr>
                            <w:rFonts w:ascii="宋体" w:hAnsi="宋体" w:cs="宋体" w:eastAsia="宋体" w:hint="default"/>
                            <w:spacing w:val="-31"/>
                            <w:sz w:val="18"/>
                            <w:szCs w:val="18"/>
                          </w:rPr>
                          <w:t>”</w:t>
                        </w:r>
                      </w:p>
                      <w:p>
                        <w:pPr>
                          <w:pStyle w:val="TableParagraph"/>
                          <w:spacing w:line="316" w:lineRule="auto" w:before="65"/>
                          <w:ind w:left="2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日在广州市工商行政管理局变更登记，根据《广州市商 </w:t>
                        </w:r>
                        <w:r>
                          <w:rPr>
                            <w:rFonts w:ascii="宋体" w:hAnsi="宋体" w:cs="宋体" w:eastAsia="宋体" w:hint="default"/>
                            <w:spacing w:val="-3"/>
                            <w:sz w:val="18"/>
                            <w:szCs w:val="18"/>
                          </w:rPr>
                          <w:t>事登记制度改革实施办法（试行）》规定，商事主体登记事项包括主营项目类别，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记载于营业执照，而经营范围改为申报事项，由广州市商事主体信息公示平台公 示。此次执照换发后，公司营业执照中记载事项的内容也进行了调整，现公司营 业执照登记的经营范围为：计算机、通信和其他电子设备制造业（具体经营项目 请登录广州市商事主体信息公示平台查询。依法须经批准的项目，经相关部门批 </w:t>
                        </w:r>
                        <w:r>
                          <w:rPr>
                            <w:rFonts w:ascii="宋体" w:hAnsi="宋体" w:cs="宋体" w:eastAsia="宋体" w:hint="default"/>
                            <w:spacing w:val="-5"/>
                            <w:sz w:val="18"/>
                            <w:szCs w:val="18"/>
                          </w:rPr>
                          <w:t>准后方可开展经营活动）。同时，根据最新的工商行政管理局系统目录，广州市商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事主体信息公示平台登记的公司经营范围与原营业执照登记的经营范围进行了调 整，具体内容为：计算机应用电子设备制造；自动售货机、售票机、柜员机及零 </w:t>
                        </w:r>
                        <w:r>
                          <w:rPr>
                            <w:rFonts w:ascii="宋体" w:hAnsi="宋体" w:cs="宋体" w:eastAsia="宋体" w:hint="default"/>
                            <w:spacing w:val="-5"/>
                            <w:sz w:val="18"/>
                            <w:szCs w:val="18"/>
                          </w:rPr>
                          <w:t>配件的批发；技术进出口；货物进出口（专营专控商品除外）；计算器及货币专用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设备制造；信息系统集成服务；信息技术咨询服务；软件开发；计算机技术开发</w:t>
                        </w:r>
                        <w:r>
                          <w:rPr>
                            <w:rFonts w:ascii="宋体" w:hAnsi="宋体" w:cs="宋体" w:eastAsia="宋体" w:hint="default"/>
                            <w:sz w:val="18"/>
                            <w:szCs w:val="18"/>
                          </w:rPr>
                          <w:t> 技术服务；计算机和辅助设备修理。公司经营范围并未有实质性变化。</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bookmarkStart w:name="四、注册变更情况" w:id="9"/>
      <w:bookmarkEnd w:id="9"/>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before="26"/>
        <w:ind w:left="212" w:right="101"/>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01"/>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879"/>
        <w:gridCol w:w="6689"/>
      </w:tblGrid>
      <w:tr>
        <w:trPr>
          <w:trHeight w:val="403"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吴震、蔡洁瑜</w:t>
            </w:r>
          </w:p>
        </w:tc>
      </w:tr>
    </w:tbl>
    <w:p>
      <w:pPr>
        <w:pStyle w:val="BodyText"/>
        <w:spacing w:line="240" w:lineRule="auto" w:before="49"/>
        <w:ind w:left="212" w:right="101"/>
        <w:jc w:val="left"/>
      </w:pPr>
      <w:r>
        <w:rPr/>
        <w:t>公司聘请的报告期内履行持续督导职责的保荐机构</w:t>
      </w:r>
    </w:p>
    <w:p>
      <w:pPr>
        <w:pStyle w:val="BodyText"/>
        <w:spacing w:line="340" w:lineRule="auto" w:before="115"/>
        <w:ind w:left="212"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01"/>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101"/>
        <w:jc w:val="left"/>
      </w:pPr>
      <w:r>
        <w:rPr/>
        <w:t>公司是否因会计政策变更及会计差错更正等追溯调整或重述以前年度会计数据</w:t>
      </w:r>
    </w:p>
    <w:p>
      <w:pPr>
        <w:pStyle w:val="BodyText"/>
        <w:spacing w:line="240" w:lineRule="auto" w:before="117"/>
        <w:ind w:left="212" w:right="10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653"/>
        <w:gridCol w:w="1558"/>
        <w:gridCol w:w="1560"/>
        <w:gridCol w:w="1135"/>
        <w:gridCol w:w="1558"/>
      </w:tblGrid>
      <w:tr>
        <w:trPr>
          <w:trHeight w:val="715" w:hRule="exact"/>
        </w:trPr>
        <w:tc>
          <w:tcPr>
            <w:tcW w:w="36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83" w:right="110" w:hanging="272"/>
              <w:jc w:val="left"/>
              <w:rPr>
                <w:rFonts w:ascii="宋体" w:hAnsi="宋体" w:cs="宋体" w:eastAsia="宋体" w:hint="default"/>
                <w:sz w:val="18"/>
                <w:szCs w:val="18"/>
              </w:rPr>
            </w:pPr>
            <w:bookmarkStart w:name="五、其他有关资料" w:id="10"/>
            <w:bookmarkEnd w:id="10"/>
            <w:r>
              <w:rPr/>
            </w:r>
            <w:r>
              <w:rPr>
                <w:rFonts w:ascii="宋体" w:hAnsi="宋体" w:cs="宋体" w:eastAsia="宋体" w:hint="default"/>
                <w:sz w:val="18"/>
                <w:szCs w:val="18"/>
              </w:rPr>
              <w:t>本年比上年 增减</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3,972,941,256.17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3,151,910,135.24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26.05%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2,515,897,353.80</w:t>
            </w:r>
          </w:p>
        </w:tc>
      </w:tr>
      <w:tr>
        <w:trPr>
          <w:trHeight w:val="40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898,465,097.07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807,445,127.21</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11.27%</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705,076,417.95</w:t>
            </w:r>
            <w:r>
              <w:rPr>
                <w:rFonts w:ascii="Times New Roman"/>
                <w:sz w:val="18"/>
              </w:rPr>
            </w:r>
          </w:p>
        </w:tc>
      </w:tr>
      <w:tr>
        <w:trPr>
          <w:trHeight w:val="40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824,279,182.99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722,976,703.41</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14.01%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634,057,715.23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653"/>
        <w:gridCol w:w="1558"/>
        <w:gridCol w:w="1560"/>
        <w:gridCol w:w="1135"/>
        <w:gridCol w:w="1558"/>
      </w:tblGrid>
      <w:tr>
        <w:trPr>
          <w:trHeight w:val="36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净利润（元）</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857,574,817.93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1,108,639,128.97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-22.65%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715,293,502.00</w:t>
            </w:r>
            <w:r>
              <w:rPr>
                <w:rFonts w:ascii="Times New Roman"/>
                <w:sz w:val="18"/>
              </w:rPr>
            </w:r>
          </w:p>
        </w:tc>
      </w:tr>
      <w:tr>
        <w:trPr>
          <w:trHeight w:val="40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w w:val="95"/>
                <w:sz w:val="18"/>
              </w:rPr>
              <w:t>11.11%</w:t>
            </w:r>
            <w:r>
              <w:rPr>
                <w:rFonts w:ascii="Times New Roman"/>
                <w:w w:val="95"/>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0.79</w:t>
            </w:r>
            <w:r>
              <w:rPr>
                <w:rFonts w:ascii="Times New Roman"/>
                <w:sz w:val="18"/>
              </w:rPr>
            </w:r>
          </w:p>
        </w:tc>
      </w:tr>
      <w:tr>
        <w:trPr>
          <w:trHeight w:val="40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w w:val="95"/>
                <w:sz w:val="18"/>
              </w:rPr>
              <w:t>11.11%</w:t>
            </w:r>
            <w:r>
              <w:rPr>
                <w:rFonts w:ascii="Times New Roman"/>
                <w:w w:val="95"/>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0.79</w:t>
            </w:r>
            <w:r>
              <w:rPr>
                <w:rFonts w:ascii="Times New Roman"/>
                <w:sz w:val="18"/>
              </w:rPr>
            </w:r>
          </w:p>
        </w:tc>
      </w:tr>
      <w:tr>
        <w:trPr>
          <w:trHeight w:val="40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20.98%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21.24%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21.95%</w:t>
            </w:r>
          </w:p>
        </w:tc>
      </w:tr>
      <w:tr>
        <w:trPr>
          <w:trHeight w:val="713" w:hRule="exact"/>
        </w:trPr>
        <w:tc>
          <w:tcPr>
            <w:tcW w:w="365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3" w:right="110"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7,700,178,135.23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6,644,312,951.94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5,059,327,906.93</w:t>
            </w:r>
          </w:p>
        </w:tc>
      </w:tr>
      <w:tr>
        <w:trPr>
          <w:trHeight w:val="40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4,509,953,569.97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4,147,283,509.07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3,485,408,686.27</w:t>
            </w:r>
          </w:p>
        </w:tc>
      </w:tr>
    </w:tbl>
    <w:p>
      <w:pPr>
        <w:pStyle w:val="BodyText"/>
        <w:spacing w:line="240" w:lineRule="auto" w:before="49"/>
        <w:ind w:left="212" w:right="101"/>
        <w:jc w:val="left"/>
      </w:pPr>
      <w:r>
        <w:rPr/>
        <w:t>截止披露前一交易日的公司总股本：</w:t>
      </w:r>
    </w:p>
    <w:p>
      <w:pPr>
        <w:spacing w:line="240" w:lineRule="auto" w:before="12"/>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5104"/>
        <w:gridCol w:w="4253"/>
      </w:tblGrid>
      <w:tr>
        <w:trPr>
          <w:trHeight w:val="401" w:hRule="exact"/>
        </w:trPr>
        <w:tc>
          <w:tcPr>
            <w:tcW w:w="5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1,079,504,767</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0.83</w:t>
            </w:r>
            <w:r>
              <w:rPr>
                <w:rFonts w:ascii="Times New Roman"/>
                <w:sz w:val="18"/>
              </w:rPr>
            </w:r>
          </w:p>
        </w:tc>
      </w:tr>
    </w:tbl>
    <w:p>
      <w:pPr>
        <w:pStyle w:val="BodyText"/>
        <w:spacing w:line="240" w:lineRule="auto" w:before="49"/>
        <w:ind w:left="212" w:right="101"/>
        <w:jc w:val="left"/>
      </w:pPr>
      <w:r>
        <w:rPr/>
        <w:t>注：公司已于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日完成公司非公开发行股票发行相关股份登记和上市工作，公司总股本由</w:t>
      </w:r>
      <w:r>
        <w:rPr>
          <w:spacing w:val="-46"/>
        </w:rPr>
        <w:t> </w:t>
      </w:r>
      <w:r>
        <w:rPr>
          <w:rFonts w:ascii="Times New Roman" w:hAnsi="Times New Roman" w:cs="Times New Roman" w:eastAsia="Times New Roman" w:hint="default"/>
        </w:rPr>
        <w:t>896,684,767 </w:t>
      </w:r>
      <w:r>
        <w:rPr/>
        <w:t>股变更</w:t>
      </w:r>
    </w:p>
    <w:p>
      <w:pPr>
        <w:pStyle w:val="BodyText"/>
        <w:spacing w:line="240" w:lineRule="auto" w:before="60"/>
        <w:ind w:left="212" w:right="101"/>
        <w:jc w:val="left"/>
      </w:pPr>
      <w:r>
        <w:rPr/>
        <w:t>为</w:t>
      </w:r>
      <w:r>
        <w:rPr>
          <w:spacing w:val="-48"/>
        </w:rPr>
        <w:t> </w:t>
      </w:r>
      <w:r>
        <w:rPr>
          <w:rFonts w:ascii="Times New Roman" w:hAnsi="Times New Roman" w:cs="Times New Roman" w:eastAsia="Times New Roman" w:hint="default"/>
        </w:rPr>
        <w:t>1,079,504,767</w:t>
      </w:r>
      <w:r>
        <w:rPr>
          <w:rFonts w:ascii="Times New Roman" w:hAnsi="Times New Roman" w:cs="Times New Roman" w:eastAsia="Times New Roman" w:hint="default"/>
          <w:spacing w:val="-2"/>
        </w:rPr>
        <w:t> </w:t>
      </w:r>
      <w:r>
        <w:rPr/>
        <w:t>股。</w:t>
      </w:r>
    </w:p>
    <w:p>
      <w:pPr>
        <w:spacing w:line="240" w:lineRule="auto" w:before="3"/>
        <w:rPr>
          <w:rFonts w:ascii="宋体" w:hAnsi="宋体" w:cs="宋体" w:eastAsia="宋体" w:hint="default"/>
          <w:sz w:val="24"/>
          <w:szCs w:val="24"/>
        </w:rPr>
      </w:pPr>
    </w:p>
    <w:p>
      <w:pPr>
        <w:pStyle w:val="Heading2"/>
        <w:spacing w:line="240" w:lineRule="auto"/>
        <w:ind w:left="212" w:right="101"/>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212" w:right="10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w:t>
      </w:r>
      <w:bookmarkStart w:name="七、境内外会计准则下会计数据差异" w:id="11"/>
      <w:bookmarkEnd w:id="11"/>
      <w:r>
        <w:rPr/>
        <w:t>和净</w:t>
      </w:r>
      <w:r>
        <w:rPr/>
        <w:t>资</w:t>
      </w:r>
      <w:bookmarkStart w:name="1、同时按照国际会计准则与按照中国会计准则披露的财务报告中净利润和净资产差异情况" w:id="12"/>
      <w:bookmarkEnd w:id="12"/>
      <w:r>
        <w:rPr/>
        <w:t>产差</w:t>
      </w:r>
      <w:r>
        <w:rPr/>
        <w:t>异情况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left="212"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23"/>
          <w:szCs w:val="23"/>
        </w:rPr>
      </w:pPr>
    </w:p>
    <w:p>
      <w:pPr>
        <w:pStyle w:val="Heading5"/>
        <w:spacing w:line="240" w:lineRule="auto"/>
        <w:ind w:left="212" w:right="10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left="212"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bookmarkStart w:name="2、同时按照境外会计准则与按照中国会计准则披露的财务报告中净利润和净资产差异情况" w:id="13"/>
      <w:bookmarkEnd w:id="13"/>
      <w:r>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left="212" w:right="101"/>
        <w:jc w:val="left"/>
        <w:rPr>
          <w:b w:val="0"/>
          <w:bCs w:val="0"/>
        </w:rPr>
      </w:pPr>
      <w:r>
        <w:rPr/>
        <w:t>八、分季度主要财务指标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53"/>
        <w:jc w:val="right"/>
      </w:pPr>
      <w:bookmarkStart w:name="八、分季度主要财务指标" w:id="14"/>
      <w:bookmarkEnd w:id="14"/>
      <w:r>
        <w:rPr/>
      </w: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697,468,658.34</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658,237,525.14</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758,741,775.18</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1,858,493,297.51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170,386,538.81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174,749,750.58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133,497,133.96</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419,831,673.72</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154,237,003.66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154,749,626.38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117,830,228.02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397,462,324.93</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-681,060,970.71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-24,636,502.37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-171,034,972.94</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1,734,307,263.95</w:t>
            </w:r>
          </w:p>
        </w:tc>
      </w:tr>
    </w:tbl>
    <w:p>
      <w:pPr>
        <w:pStyle w:val="BodyText"/>
        <w:spacing w:line="240" w:lineRule="auto" w:before="49"/>
        <w:ind w:left="212" w:right="101"/>
        <w:jc w:val="left"/>
      </w:pPr>
      <w:r>
        <w:rPr/>
        <w:t>上述财务指标或其加总数是否与公司已披露季度报告、半年度报告相关财务指标存在重大差异</w:t>
      </w:r>
    </w:p>
    <w:p>
      <w:pPr>
        <w:pStyle w:val="BodyText"/>
        <w:spacing w:line="240" w:lineRule="auto" w:before="117"/>
        <w:ind w:left="212" w:right="10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2" w:top="1100" w:bottom="1180" w:left="920" w:right="980"/>
        </w:sectPr>
      </w:pPr>
    </w:p>
    <w:p>
      <w:pPr>
        <w:spacing w:line="240" w:lineRule="auto" w:before="9"/>
        <w:rPr>
          <w:rFonts w:ascii="宋体" w:hAnsi="宋体" w:cs="宋体" w:eastAsia="宋体" w:hint="default"/>
          <w:sz w:val="19"/>
          <w:szCs w:val="19"/>
        </w:rPr>
      </w:pPr>
    </w:p>
    <w:p>
      <w:pPr>
        <w:pStyle w:val="Heading2"/>
        <w:spacing w:line="240" w:lineRule="auto" w:before="26"/>
        <w:ind w:left="232" w:right="0"/>
        <w:jc w:val="left"/>
        <w:rPr>
          <w:b w:val="0"/>
          <w:bCs w:val="0"/>
        </w:rPr>
      </w:pPr>
      <w:r>
        <w:rPr/>
        <w:t>九</w:t>
      </w:r>
      <w:bookmarkStart w:name="九、非经常性损益项目及金额" w:id="15"/>
      <w:bookmarkEnd w:id="15"/>
      <w:r>
        <w:rPr/>
        <w:t>、</w:t>
      </w:r>
      <w:r>
        <w:rPr/>
        <w:t>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73"/>
        <w:jc w:val="right"/>
      </w:pPr>
      <w:r>
        <w:rPr/>
        <w:t>单位：元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4536"/>
        <w:gridCol w:w="1585"/>
        <w:gridCol w:w="1532"/>
        <w:gridCol w:w="1531"/>
        <w:gridCol w:w="713"/>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5"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49"/>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32"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before="49"/>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7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4" w:lineRule="auto" w:before="50"/>
              <w:ind w:left="105" w:right="9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104,225.62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465,489.59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506,352.73</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45,961,623.49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46,460,284.99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28,975,621.78</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5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0"/>
              <w:ind w:left="105" w:right="98"/>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 取得投资时应享有被投资单位可辨认净资产公允价值 产生的收益</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133,304.19</w:t>
            </w:r>
          </w:p>
        </w:tc>
        <w:tc>
          <w:tcPr>
            <w:tcW w:w="1531"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43,259,054.46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48,979,982.55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17,885,990.85</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4"/>
              <w:jc w:val="right"/>
              <w:rPr>
                <w:rFonts w:ascii="Times New Roman" w:hAnsi="Times New Roman" w:cs="Times New Roman" w:eastAsia="Times New Roman" w:hint="default"/>
                <w:sz w:val="18"/>
                <w:szCs w:val="18"/>
              </w:rPr>
            </w:pPr>
            <w:r>
              <w:rPr>
                <w:rFonts w:ascii="Times New Roman"/>
                <w:spacing w:val="-1"/>
                <w:sz w:val="18"/>
              </w:rPr>
              <w:t>1,552,939.58</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-1,603,832.44</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86,401.43</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85"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28,190,029.87</w:t>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14,421,997.79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11,234,800.39</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4,905,515.37</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2,269,931.28</w:t>
            </w:r>
            <w:r>
              <w:rPr>
                <w:rFonts w:ascii="Times New Roman"/>
                <w:sz w:val="18"/>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-1,267,995.31</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-279,821.43</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8"/>
                <w:szCs w:val="18"/>
              </w:rPr>
            </w:pPr>
            <w:r>
              <w:rPr>
                <w:rFonts w:ascii="Times New Roman"/>
                <w:spacing w:val="-1"/>
                <w:sz w:val="18"/>
              </w:rPr>
              <w:t>74,185,914.08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84,468,423.80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71,018,702.72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232"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left="232" w:right="26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2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3262"/>
        <w:gridCol w:w="3118"/>
        <w:gridCol w:w="3190"/>
      </w:tblGrid>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9" w:right="0"/>
              <w:jc w:val="left"/>
              <w:rPr>
                <w:rFonts w:ascii="Times New Roman" w:hAnsi="Times New Roman" w:cs="Times New Roman" w:eastAsia="Times New Roman" w:hint="default"/>
                <w:sz w:val="18"/>
                <w:szCs w:val="18"/>
              </w:rPr>
            </w:pPr>
            <w:r>
              <w:rPr>
                <w:rFonts w:ascii="Times New Roman"/>
                <w:sz w:val="18"/>
              </w:rPr>
              <w:t>181,675,223.38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每年均有</w:t>
            </w:r>
          </w:p>
        </w:tc>
      </w:tr>
    </w:tbl>
    <w:p>
      <w:pPr>
        <w:spacing w:after="0" w:line="240" w:lineRule="auto"/>
        <w:jc w:val="center"/>
        <w:rPr>
          <w:rFonts w:ascii="宋体" w:hAnsi="宋体" w:cs="宋体" w:eastAsia="宋体" w:hint="default"/>
          <w:sz w:val="18"/>
          <w:szCs w:val="18"/>
        </w:rPr>
        <w:sectPr>
          <w:pgSz w:w="11910" w:h="16840"/>
          <w:pgMar w:header="877" w:footer="982" w:top="1100" w:bottom="1180" w:left="90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71"/>
        <w:jc w:val="center"/>
        <w:rPr>
          <w:b w:val="0"/>
          <w:bCs w:val="0"/>
        </w:rPr>
      </w:pPr>
      <w:bookmarkStart w:name="2、主要境外资产情况" w:id="16"/>
      <w:bookmarkEnd w:id="16"/>
      <w:r>
        <w:rPr>
          <w:b w:val="0"/>
          <w:bCs w:val="0"/>
        </w:rPr>
      </w:r>
      <w:bookmarkStart w:name="三、核心竞争力分析" w:id="17"/>
      <w:bookmarkEnd w:id="17"/>
      <w:r>
        <w:rPr>
          <w:b w:val="0"/>
          <w:bCs w:val="0"/>
        </w:rPr>
      </w:r>
      <w:bookmarkStart w:name="第三节 公司业务概要" w:id="18"/>
      <w:bookmarkEnd w:id="18"/>
      <w:r>
        <w:rPr>
          <w:b w:val="0"/>
          <w:bCs w:val="0"/>
        </w:rPr>
      </w:r>
      <w:bookmarkStart w:name="_bookmark2" w:id="19"/>
      <w:bookmarkEnd w:id="19"/>
      <w:r>
        <w:rPr>
          <w:b w:val="0"/>
          <w:bCs w:val="0"/>
        </w:rPr>
      </w:r>
      <w:r>
        <w:rPr/>
        <w:t>第三节</w:t>
      </w:r>
      <w:r>
        <w:rPr>
          <w:spacing w:val="-7"/>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w:t>
      </w:r>
      <w:bookmarkStart w:name="一、报告期内公司从事的主要业务" w:id="20"/>
      <w:bookmarkEnd w:id="20"/>
      <w:r>
        <w:rPr/>
        <w:t>公</w:t>
      </w:r>
      <w:r>
        <w:rPr/>
        <w:t>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94"/>
        <w:jc w:val="left"/>
      </w:pPr>
      <w:r>
        <w:rPr/>
        <w:t>公司定位“高端制造</w:t>
      </w:r>
      <w:r>
        <w:rPr>
          <w:rFonts w:ascii="Times New Roman" w:hAnsi="Times New Roman" w:cs="Times New Roman" w:eastAsia="Times New Roman" w:hint="default"/>
        </w:rPr>
        <w:t>+</w:t>
      </w:r>
      <w:r>
        <w:rPr/>
        <w:t>高端服务”双轮驱动，产品及服务覆盖金融电子、轨道交通两大领域，是一家以银行自动柜员机</w:t>
      </w:r>
    </w:p>
    <w:p>
      <w:pPr>
        <w:pStyle w:val="BodyText"/>
        <w:spacing w:line="300" w:lineRule="auto" w:before="62"/>
        <w:ind w:right="94"/>
        <w:jc w:val="left"/>
      </w:pPr>
      <w:r>
        <w:rPr>
          <w:spacing w:val="-4"/>
          <w:w w:val="99"/>
        </w:rPr>
        <w:t>（</w:t>
      </w:r>
      <w:r>
        <w:rPr>
          <w:rFonts w:ascii="Times New Roman" w:hAnsi="Times New Roman" w:cs="Times New Roman" w:eastAsia="Times New Roman" w:hint="default"/>
          <w:spacing w:val="-4"/>
          <w:w w:val="99"/>
        </w:rPr>
        <w:t>ATM</w:t>
      </w:r>
      <w:r>
        <w:rPr>
          <w:spacing w:val="-4"/>
          <w:w w:val="99"/>
        </w:rPr>
        <w:t>）、远程智慧银行（</w:t>
      </w:r>
      <w:r>
        <w:rPr>
          <w:rFonts w:ascii="Times New Roman" w:hAnsi="Times New Roman" w:cs="Times New Roman" w:eastAsia="Times New Roman" w:hint="default"/>
          <w:spacing w:val="-4"/>
          <w:w w:val="99"/>
        </w:rPr>
        <w:t>VTM</w:t>
      </w:r>
      <w:r>
        <w:rPr>
          <w:spacing w:val="-4"/>
          <w:w w:val="99"/>
        </w:rPr>
        <w:t>）、清分机、智能交通自动售检票系统（</w:t>
      </w:r>
      <w:r>
        <w:rPr>
          <w:rFonts w:ascii="Times New Roman" w:hAnsi="Times New Roman" w:cs="Times New Roman" w:eastAsia="Times New Roman" w:hint="default"/>
          <w:spacing w:val="-4"/>
          <w:w w:val="99"/>
        </w:rPr>
        <w:t>AFC</w:t>
      </w:r>
      <w:r>
        <w:rPr>
          <w:spacing w:val="-4"/>
          <w:w w:val="99"/>
        </w:rPr>
        <w:t>）等自助设备产业为核心，融合自助设备维保</w:t>
      </w:r>
      <w:r>
        <w:rPr>
          <w:spacing w:val="-68"/>
          <w:w w:val="99"/>
        </w:rPr>
        <w:t> </w:t>
      </w:r>
      <w:r>
        <w:rPr>
          <w:spacing w:val="-68"/>
          <w:w w:val="99"/>
        </w:rPr>
      </w:r>
      <w:r>
        <w:rPr/>
        <w:t>服务、金融外包服务、金融武装押运业务三大服务业，集自主研发、生产、销售及服务为一体的现代化高科技企业。</w:t>
      </w:r>
    </w:p>
    <w:p>
      <w:pPr>
        <w:pStyle w:val="BodyText"/>
        <w:spacing w:line="307" w:lineRule="auto" w:before="72"/>
        <w:ind w:right="192" w:firstLine="360"/>
        <w:jc w:val="both"/>
      </w:pPr>
      <w:r>
        <w:rPr>
          <w:spacing w:val="-2"/>
        </w:rPr>
        <w:t>近年，经济、政策、行业环境发生了深刻变化。一方面，中国经济进入新常态，产业增速回落；银行业全面推进利率市</w:t>
      </w:r>
      <w:r>
        <w:rPr/>
        <w:t> 场化，加速渠道变革和业务外包，启动了实质性变革。另一方面，新兴支付技术冲击传统支付领域、国内</w:t>
      </w:r>
      <w:r>
        <w:rPr>
          <w:spacing w:val="-5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行业进入国 产品牌主导的价格竞争阶段等，给传统 </w:t>
      </w:r>
      <w:r>
        <w:rPr>
          <w:rFonts w:ascii="Times New Roman" w:hAnsi="Times New Roman" w:cs="Times New Roman" w:eastAsia="Times New Roman" w:hint="default"/>
          <w:spacing w:val="-8"/>
        </w:rPr>
        <w:t>ATM </w:t>
      </w:r>
      <w:r>
        <w:rPr/>
        <w:t>制造业带来挑战。基于环境变化的研判、分析，公司在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年做出战略布局 调整，调整后公司业务划分为三大领域：</w:t>
      </w:r>
    </w:p>
    <w:p>
      <w:pPr>
        <w:pStyle w:val="BodyText"/>
        <w:spacing w:line="300" w:lineRule="auto" w:before="64"/>
        <w:ind w:right="192" w:firstLine="360"/>
        <w:jc w:val="both"/>
      </w:pPr>
      <w:r>
        <w:rPr>
          <w:rFonts w:ascii="Times New Roman" w:hAnsi="Times New Roman" w:cs="Times New Roman" w:eastAsia="Times New Roman" w:hint="default"/>
        </w:rPr>
        <w:t>1</w:t>
      </w:r>
      <w:r>
        <w:rPr/>
        <w:t>、传统领域，包括国内</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销售业务、海外业务和产品制造业务。传统领域的使命和任务是持续提升公司</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t>制造 业的竞争优势和行业地位，为其他领域的拓展、扩张提供强大支撑；</w:t>
      </w:r>
    </w:p>
    <w:p>
      <w:pPr>
        <w:pStyle w:val="BodyText"/>
        <w:spacing w:line="300" w:lineRule="auto" w:before="72"/>
        <w:ind w:right="193" w:firstLine="360"/>
        <w:jc w:val="both"/>
      </w:pPr>
      <w:r>
        <w:rPr>
          <w:rFonts w:ascii="Times New Roman" w:hAnsi="Times New Roman" w:cs="Times New Roman" w:eastAsia="Times New Roman" w:hint="default"/>
        </w:rPr>
        <w:t>2</w:t>
      </w:r>
      <w:r>
        <w:rPr/>
        <w:t>、服务领域，包括自助设备维保业务、金融武装押运业务以及金融外包服务业务。服务领域的使命和任务是加速外延 扩张和战略布局，尽快成长为公司核心业务和主要利润来源；</w:t>
      </w:r>
    </w:p>
    <w:p>
      <w:pPr>
        <w:pStyle w:val="BodyText"/>
        <w:spacing w:line="309" w:lineRule="auto" w:before="72"/>
        <w:ind w:left="153" w:right="190" w:firstLine="359"/>
        <w:jc w:val="both"/>
      </w:pPr>
      <w:r>
        <w:rPr>
          <w:rFonts w:ascii="Times New Roman" w:hAnsi="Times New Roman" w:cs="Times New Roman" w:eastAsia="Times New Roman" w:hint="default"/>
        </w:rPr>
        <w:t>3</w:t>
      </w:r>
      <w:r>
        <w:rPr/>
        <w:t>、拓展领域，包括以研究院为孵化平台的创新业务、清分机业务、</w:t>
      </w:r>
      <w:r>
        <w:rPr>
          <w:rFonts w:ascii="Times New Roman" w:hAnsi="Times New Roman" w:cs="Times New Roman" w:eastAsia="Times New Roman" w:hint="default"/>
        </w:rPr>
        <w:t>AFC </w:t>
      </w:r>
      <w:r>
        <w:rPr/>
        <w:t>业务、金融 </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t>外包业务、环保业务等。拓展 </w:t>
      </w:r>
      <w:r>
        <w:rPr>
          <w:spacing w:val="-2"/>
        </w:rPr>
        <w:t>领域的使命是探索公司发展方向，以技术创新、体制机制创新和战略合作手段培育、推进未来业务，以资本运作手段提升企</w:t>
      </w:r>
      <w:r>
        <w:rPr>
          <w:spacing w:val="-64"/>
        </w:rPr>
        <w:t> </w:t>
      </w:r>
      <w:r>
        <w:rPr>
          <w:spacing w:val="-64"/>
        </w:rPr>
      </w:r>
      <w:r>
        <w:rPr/>
        <w:t>业价值。</w:t>
      </w:r>
    </w:p>
    <w:p>
      <w:pPr>
        <w:spacing w:line="240" w:lineRule="auto" w:before="1"/>
        <w:rPr>
          <w:rFonts w:ascii="宋体" w:hAnsi="宋体" w:cs="宋体" w:eastAsia="宋体" w:hint="default"/>
          <w:sz w:val="21"/>
          <w:szCs w:val="21"/>
        </w:rPr>
      </w:pPr>
    </w:p>
    <w:p>
      <w:pPr>
        <w:pStyle w:val="Heading2"/>
        <w:spacing w:line="240" w:lineRule="auto"/>
        <w:ind w:right="9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7"/>
          <w:szCs w:val="27"/>
        </w:rPr>
      </w:pPr>
    </w:p>
    <w:tbl>
      <w:tblPr>
        <w:tblW w:w="0" w:type="auto"/>
        <w:jc w:val="left"/>
        <w:tblInd w:w="160" w:type="dxa"/>
        <w:tblLayout w:type="fixed"/>
        <w:tblCellMar>
          <w:top w:w="0" w:type="dxa"/>
          <w:left w:w="0" w:type="dxa"/>
          <w:bottom w:w="0" w:type="dxa"/>
          <w:right w:w="0" w:type="dxa"/>
        </w:tblCellMar>
        <w:tblLook w:val="01E0"/>
      </w:tblPr>
      <w:tblGrid>
        <w:gridCol w:w="3028"/>
        <w:gridCol w:w="6529"/>
      </w:tblGrid>
      <w:tr>
        <w:trPr>
          <w:trHeight w:val="185" w:hRule="exact"/>
        </w:trPr>
        <w:tc>
          <w:tcPr>
            <w:tcW w:w="30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2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0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2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5,668.74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w:t>
            </w:r>
            <w:bookmarkStart w:name="二、主要资产重大变化情况" w:id="21"/>
            <w:bookmarkEnd w:id="21"/>
            <w:r>
              <w:rPr>
                <w:rFonts w:ascii="宋体" w:hAnsi="宋体" w:cs="宋体" w:eastAsia="宋体" w:hint="default"/>
                <w:sz w:val="18"/>
                <w:szCs w:val="18"/>
              </w:rPr>
            </w:r>
            <w:bookmarkStart w:name="1、主要资产重大变化情况" w:id="22"/>
            <w:bookmarkEnd w:id="22"/>
            <w:r>
              <w:rPr>
                <w:rFonts w:ascii="宋体" w:hAnsi="宋体" w:cs="宋体" w:eastAsia="宋体" w:hint="default"/>
                <w:sz w:val="18"/>
                <w:szCs w:val="18"/>
              </w:rPr>
              <w:t>要是广州金融外包服务总部平台建设的投入。</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2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23,240.52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万元，主要是溢价收购所致。</w:t>
            </w:r>
          </w:p>
        </w:tc>
      </w:tr>
    </w:tbl>
    <w:p>
      <w:pPr>
        <w:spacing w:line="240" w:lineRule="auto" w:before="4"/>
        <w:rPr>
          <w:rFonts w:ascii="宋体" w:hAnsi="宋体" w:cs="宋体" w:eastAsia="宋体" w:hint="default"/>
          <w:b/>
          <w:bCs/>
          <w:sz w:val="20"/>
          <w:szCs w:val="20"/>
        </w:rPr>
      </w:pPr>
    </w:p>
    <w:p>
      <w:pPr>
        <w:pStyle w:val="Heading5"/>
        <w:spacing w:line="240" w:lineRule="auto" w:before="44"/>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firstLine="360"/>
        <w:jc w:val="left"/>
      </w:pPr>
      <w:r>
        <w:rPr/>
        <w:t>报告期内，公司的核心竞争力未发生重大变化，公司所拥有的在位优势、技术研发优势、售后服务优势及本土化优势， 保障了公司业务的稳定性和盈利能力的连续性；随着公司高端制造与高端服务战略的不断实施，公司服务业占比稳步提升。</w:t>
      </w:r>
    </w:p>
    <w:p>
      <w:pPr>
        <w:pStyle w:val="BodyText"/>
        <w:spacing w:line="240" w:lineRule="auto" w:before="59"/>
        <w:ind w:left="512" w:right="94"/>
        <w:jc w:val="left"/>
      </w:pPr>
      <w:r>
        <w:rPr>
          <w:spacing w:val="2"/>
        </w:rPr>
        <w:t>一方</w:t>
      </w:r>
      <w:r>
        <w:rPr>
          <w:spacing w:val="4"/>
        </w:rPr>
        <w:t>面</w:t>
      </w:r>
      <w:r>
        <w:rPr>
          <w:spacing w:val="2"/>
        </w:rPr>
        <w:t>，</w:t>
      </w:r>
      <w:r>
        <w:rPr>
          <w:spacing w:val="4"/>
        </w:rPr>
        <w:t>公</w:t>
      </w:r>
      <w:r>
        <w:rPr>
          <w:spacing w:val="2"/>
        </w:rPr>
        <w:t>司是</w:t>
      </w:r>
      <w:r>
        <w:rPr>
          <w:spacing w:val="4"/>
        </w:rPr>
        <w:t>全</w:t>
      </w:r>
      <w:r>
        <w:rPr>
          <w:spacing w:val="2"/>
        </w:rPr>
        <w:t>球</w:t>
      </w:r>
      <w:r>
        <w:rPr>
          <w:spacing w:val="4"/>
        </w:rPr>
        <w:t>领</w:t>
      </w:r>
      <w:r>
        <w:rPr>
          <w:spacing w:val="2"/>
        </w:rPr>
        <w:t>先</w:t>
      </w:r>
      <w:r>
        <w:rPr>
          <w:spacing w:val="4"/>
        </w:rPr>
        <w:t>的货</w:t>
      </w:r>
      <w:r>
        <w:rPr>
          <w:spacing w:val="2"/>
        </w:rPr>
        <w:t>币处</w:t>
      </w:r>
      <w:r>
        <w:rPr>
          <w:spacing w:val="4"/>
        </w:rPr>
        <w:t>理</w:t>
      </w:r>
      <w:r>
        <w:rPr>
          <w:spacing w:val="2"/>
        </w:rPr>
        <w:t>设</w:t>
      </w:r>
      <w:r>
        <w:rPr>
          <w:spacing w:val="4"/>
        </w:rPr>
        <w:t>备</w:t>
      </w:r>
      <w:r>
        <w:rPr>
          <w:spacing w:val="2"/>
        </w:rPr>
        <w:t>及系</w:t>
      </w:r>
      <w:r>
        <w:rPr>
          <w:spacing w:val="4"/>
        </w:rPr>
        <w:t>统</w:t>
      </w:r>
      <w:r>
        <w:rPr>
          <w:spacing w:val="2"/>
        </w:rPr>
        <w:t>解</w:t>
      </w:r>
      <w:r>
        <w:rPr>
          <w:spacing w:val="4"/>
        </w:rPr>
        <w:t>决</w:t>
      </w:r>
      <w:r>
        <w:rPr>
          <w:spacing w:val="2"/>
        </w:rPr>
        <w:t>方</w:t>
      </w:r>
      <w:r>
        <w:rPr>
          <w:spacing w:val="4"/>
        </w:rPr>
        <w:t>案提</w:t>
      </w:r>
      <w:r>
        <w:rPr>
          <w:spacing w:val="2"/>
        </w:rPr>
        <w:t>供商</w:t>
      </w:r>
      <w:r>
        <w:rPr>
          <w:spacing w:val="4"/>
        </w:rPr>
        <w:t>，</w:t>
      </w:r>
      <w:r>
        <w:rPr>
          <w:spacing w:val="2"/>
        </w:rPr>
        <w:t>是</w:t>
      </w:r>
      <w:r>
        <w:rPr>
          <w:spacing w:val="4"/>
        </w:rPr>
        <w:t>一</w:t>
      </w:r>
      <w:r>
        <w:rPr>
          <w:spacing w:val="2"/>
        </w:rPr>
        <w:t>家以</w:t>
      </w:r>
      <w:r>
        <w:rPr>
          <w:spacing w:val="4"/>
        </w:rPr>
        <w:t>银</w:t>
      </w:r>
      <w:r>
        <w:rPr>
          <w:spacing w:val="2"/>
        </w:rPr>
        <w:t>行</w:t>
      </w:r>
      <w:r>
        <w:rPr>
          <w:spacing w:val="4"/>
        </w:rPr>
        <w:t>自</w:t>
      </w:r>
      <w:r>
        <w:rPr>
          <w:spacing w:val="2"/>
        </w:rPr>
        <w:t>动</w:t>
      </w:r>
      <w:r>
        <w:rPr>
          <w:spacing w:val="4"/>
        </w:rPr>
        <w:t>柜员</w:t>
      </w:r>
      <w:r>
        <w:rPr>
          <w:spacing w:val="2"/>
        </w:rPr>
        <w:t>机</w:t>
      </w:r>
      <w:r>
        <w:rPr>
          <w:spacing w:val="5"/>
        </w:rPr>
        <w:t>（</w:t>
      </w:r>
      <w:r>
        <w:rPr>
          <w:rFonts w:ascii="Times New Roman" w:hAnsi="Times New Roman" w:cs="Times New Roman" w:eastAsia="Times New Roman" w:hint="default"/>
          <w:spacing w:val="-20"/>
          <w:w w:val="99"/>
        </w:rPr>
        <w:t>A</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spacing w:val="3"/>
          <w:w w:val="99"/>
        </w:rPr>
        <w:t>M</w:t>
      </w:r>
      <w:r>
        <w:rPr>
          <w:spacing w:val="-87"/>
        </w:rPr>
        <w:t>）</w:t>
      </w:r>
      <w:r>
        <w:rPr>
          <w:spacing w:val="2"/>
        </w:rPr>
        <w:t>、</w:t>
      </w:r>
      <w:r>
        <w:rPr>
          <w:spacing w:val="4"/>
        </w:rPr>
        <w:t>远</w:t>
      </w:r>
      <w:r>
        <w:rPr>
          <w:spacing w:val="2"/>
        </w:rPr>
        <w:t>程</w:t>
      </w:r>
      <w:r>
        <w:rPr>
          <w:spacing w:val="4"/>
        </w:rPr>
        <w:t>智</w:t>
      </w:r>
      <w:r>
        <w:rPr>
          <w:spacing w:val="2"/>
        </w:rPr>
        <w:t>慧银行</w:t>
      </w:r>
      <w:r>
        <w:rPr/>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07" w:lineRule="auto" w:before="44"/>
        <w:ind w:right="94"/>
        <w:jc w:val="left"/>
      </w:pPr>
      <w:r>
        <w:rPr>
          <w:spacing w:val="-3"/>
          <w:w w:val="99"/>
        </w:rPr>
        <w:t>（</w:t>
      </w:r>
      <w:r>
        <w:rPr>
          <w:rFonts w:ascii="Times New Roman" w:hAnsi="Times New Roman" w:cs="Times New Roman" w:eastAsia="Times New Roman" w:hint="default"/>
          <w:spacing w:val="-3"/>
          <w:w w:val="99"/>
        </w:rPr>
        <w:t>VTM</w:t>
      </w:r>
      <w:r>
        <w:rPr>
          <w:spacing w:val="-3"/>
          <w:w w:val="99"/>
        </w:rPr>
        <w:t>）、清分机、智能交通自动售检票系统（</w:t>
      </w:r>
      <w:r>
        <w:rPr>
          <w:rFonts w:ascii="Times New Roman" w:hAnsi="Times New Roman" w:cs="Times New Roman" w:eastAsia="Times New Roman" w:hint="default"/>
          <w:spacing w:val="-3"/>
          <w:w w:val="99"/>
        </w:rPr>
        <w:t>AFC</w:t>
      </w:r>
      <w:r>
        <w:rPr>
          <w:spacing w:val="-3"/>
          <w:w w:val="99"/>
        </w:rPr>
        <w:t>）等自助设备产业为核心，集自主研发、生产、销售及服务为一体的现</w:t>
      </w:r>
      <w:r>
        <w:rPr>
          <w:spacing w:val="-43"/>
          <w:w w:val="99"/>
        </w:rPr>
        <w:t> </w:t>
      </w:r>
      <w:r>
        <w:rPr>
          <w:spacing w:val="-43"/>
          <w:w w:val="99"/>
        </w:rPr>
      </w:r>
      <w:r>
        <w:rPr>
          <w:spacing w:val="-5"/>
        </w:rPr>
        <w:t>代化高科技企业。致力于通过新产品和新技术研究，为客户提供系统解决方案。公司自成立以来一直重视科技创新，坚持“高</w:t>
      </w:r>
      <w:r>
        <w:rPr>
          <w:spacing w:val="-80"/>
        </w:rPr>
        <w:t> </w:t>
      </w:r>
      <w:r>
        <w:rPr>
          <w:spacing w:val="-80"/>
        </w:rPr>
      </w:r>
      <w:r>
        <w:rPr>
          <w:spacing w:val="-2"/>
        </w:rPr>
        <w:t>投入、高产出”的研发战略思维，以市场为导向，走自主研发、自主品牌的技术驱动之路，专注于核心竞争优势的建设，不</w:t>
      </w:r>
      <w:r>
        <w:rPr>
          <w:spacing w:val="-73"/>
        </w:rPr>
        <w:t> </w:t>
      </w:r>
      <w:r>
        <w:rPr>
          <w:spacing w:val="-73"/>
        </w:rPr>
      </w:r>
      <w:r>
        <w:rPr/>
        <w:t>断加强</w:t>
      </w:r>
      <w:r>
        <w:rPr>
          <w:spacing w:val="-4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系统核心技术的研发与提升，推进核心技术产业化进程，已成为全球真正掌握核心现金循环技术的少数几家企 </w:t>
      </w:r>
      <w:r>
        <w:rPr>
          <w:spacing w:val="-4"/>
        </w:rPr>
        <w:t>业之一。依托强大的现金处理技术研发实力，公司不断拓展现金技术应用领域的研究，陆续研发了智能清分设备及系列软件、</w:t>
      </w:r>
      <w:r>
        <w:rPr>
          <w:spacing w:val="-44"/>
        </w:rPr>
        <w:t> </w:t>
      </w:r>
      <w:r>
        <w:rPr>
          <w:spacing w:val="-44"/>
        </w:rPr>
      </w:r>
      <w:r>
        <w:rPr/>
        <w:t>清分中心自动流水线等系统解决方案和包括纸币识别、纸币找零、票卡等核心模块在内的</w:t>
      </w:r>
      <w:r>
        <w:rPr>
          <w:spacing w:val="5"/>
        </w:rPr>
        <w:t> </w:t>
      </w:r>
      <w:r>
        <w:rPr>
          <w:rFonts w:ascii="Times New Roman" w:hAnsi="Times New Roman" w:cs="Times New Roman" w:eastAsia="Times New Roman" w:hint="default"/>
        </w:rPr>
        <w:t>AFC</w:t>
      </w:r>
      <w:r>
        <w:rPr>
          <w:rFonts w:ascii="Times New Roman" w:hAnsi="Times New Roman" w:cs="Times New Roman" w:eastAsia="Times New Roman" w:hint="default"/>
          <w:spacing w:val="3"/>
        </w:rPr>
        <w:t> </w:t>
      </w:r>
      <w:r>
        <w:rPr/>
        <w:t>系统解决方案；截至</w:t>
      </w:r>
      <w:r>
        <w:rPr>
          <w:spacing w:val="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4"/>
        </w:rPr>
        <w:t>日，公司已拥有</w:t>
      </w:r>
      <w:r>
        <w:rPr>
          <w:spacing w:val="-52"/>
        </w:rPr>
        <w:t> </w:t>
      </w:r>
      <w:r>
        <w:rPr>
          <w:rFonts w:ascii="Times New Roman" w:hAnsi="Times New Roman" w:cs="Times New Roman" w:eastAsia="Times New Roman" w:hint="default"/>
        </w:rPr>
        <w:t>625</w:t>
      </w:r>
      <w:r>
        <w:rPr>
          <w:rFonts w:ascii="Times New Roman" w:hAnsi="Times New Roman" w:cs="Times New Roman" w:eastAsia="Times New Roman" w:hint="default"/>
          <w:spacing w:val="-6"/>
        </w:rPr>
        <w:t> </w:t>
      </w:r>
      <w:r>
        <w:rPr/>
        <w:t>项专利技术使用权，其中报告期内新增</w:t>
      </w:r>
      <w:r>
        <w:rPr>
          <w:spacing w:val="-52"/>
        </w:rPr>
        <w:t> </w:t>
      </w:r>
      <w:r>
        <w:rPr>
          <w:rFonts w:ascii="Times New Roman" w:hAnsi="Times New Roman" w:cs="Times New Roman" w:eastAsia="Times New Roman" w:hint="default"/>
        </w:rPr>
        <w:t>181</w:t>
      </w:r>
      <w:r>
        <w:rPr>
          <w:rFonts w:ascii="Times New Roman" w:hAnsi="Times New Roman" w:cs="Times New Roman" w:eastAsia="Times New Roman" w:hint="default"/>
          <w:spacing w:val="-6"/>
        </w:rPr>
        <w:t> </w:t>
      </w:r>
      <w:r>
        <w:rPr/>
        <w:t>项。凭借着过硬的技术实力，公司智能清分产品 已批量应用于国有大行、股份制银行、城商行及农村信用社等，成功将公司的产业链拓展到清分领域；公司</w:t>
      </w:r>
      <w:r>
        <w:rPr>
          <w:spacing w:val="-36"/>
        </w:rPr>
        <w:t> </w:t>
      </w:r>
      <w:r>
        <w:rPr>
          <w:rFonts w:ascii="Times New Roman" w:hAnsi="Times New Roman" w:cs="Times New Roman" w:eastAsia="Times New Roman" w:hint="default"/>
        </w:rPr>
        <w:t>AFC</w:t>
      </w:r>
      <w:r>
        <w:rPr>
          <w:rFonts w:ascii="Times New Roman" w:hAnsi="Times New Roman" w:cs="Times New Roman" w:eastAsia="Times New Roman" w:hint="default"/>
          <w:spacing w:val="6"/>
        </w:rPr>
        <w:t> </w:t>
      </w:r>
      <w:r>
        <w:rPr/>
        <w:t>产品已批 </w:t>
      </w:r>
      <w:r>
        <w:rPr>
          <w:spacing w:val="-2"/>
        </w:rPr>
        <w:t>量应用于地铁、高铁等市场，成功将公司的产业链拓展到智能交通领域。公司秉承以技术创新为用户创造价值，面对银行客</w:t>
      </w:r>
      <w:r>
        <w:rPr>
          <w:spacing w:val="-64"/>
        </w:rPr>
        <w:t> </w:t>
      </w:r>
      <w:r>
        <w:rPr>
          <w:spacing w:val="-64"/>
        </w:rPr>
      </w:r>
      <w:r>
        <w:rPr/>
        <w:t>户大量服务网点及服务外包、提升服务效率的需求，创新银行网点渠道服务模式，在国内率先推出远程视频柜员机</w:t>
      </w:r>
      <w:r>
        <w:rPr>
          <w:spacing w:val="-34"/>
        </w:rPr>
        <w:t> </w:t>
      </w:r>
      <w:r>
        <w:rPr>
          <w:rFonts w:ascii="Times New Roman" w:hAnsi="Times New Roman" w:cs="Times New Roman" w:eastAsia="Times New Roman" w:hint="default"/>
        </w:rPr>
        <w:t>VTM</w:t>
      </w:r>
      <w:r>
        <w:rPr/>
        <w:t>， 同时不断开发出 </w:t>
      </w:r>
      <w:r>
        <w:rPr>
          <w:rFonts w:ascii="Times New Roman" w:hAnsi="Times New Roman" w:cs="Times New Roman" w:eastAsia="Times New Roman" w:hint="default"/>
        </w:rPr>
        <w:t>i58</w:t>
      </w:r>
      <w:r>
        <w:rPr/>
        <w:t>、</w:t>
      </w:r>
      <w:r>
        <w:rPr>
          <w:rFonts w:ascii="Times New Roman" w:hAnsi="Times New Roman" w:cs="Times New Roman" w:eastAsia="Times New Roman" w:hint="default"/>
        </w:rPr>
        <w:t>P</w:t>
      </w:r>
      <w:r>
        <w:rPr>
          <w:rFonts w:ascii="Times New Roman" w:hAnsi="Times New Roman" w:cs="Times New Roman" w:eastAsia="Times New Roman" w:hint="default"/>
          <w:spacing w:val="-9"/>
        </w:rPr>
        <w:t> </w:t>
      </w:r>
      <w:r>
        <w:rPr/>
        <w:t>系列、智能柜台金融终端设备等新产品，融合互联网技术，将产品链由“柜员机”向“智能网点” 延伸。</w:t>
      </w:r>
    </w:p>
    <w:p>
      <w:pPr>
        <w:pStyle w:val="BodyText"/>
        <w:spacing w:line="309" w:lineRule="auto" w:before="67"/>
        <w:ind w:right="94" w:firstLine="360"/>
        <w:jc w:val="left"/>
      </w:pPr>
      <w:r>
        <w:rPr/>
        <w:t>另一方面，公司在构建产品售后服务体系的基础上不断挖掘产业链价值，拓展服务领域，努力建设金融外包服务系统。 </w:t>
      </w:r>
      <w:r>
        <w:rPr>
          <w:spacing w:val="-2"/>
        </w:rPr>
        <w:t>公司不断完善的售后服务体系具有服务网络覆盖面广和服务响应及时的优势，不仅赢得了客户的口碑和认可，成为提高和巩</w:t>
      </w:r>
      <w:r>
        <w:rPr>
          <w:spacing w:val="-64"/>
        </w:rPr>
        <w:t> </w:t>
      </w:r>
      <w:r>
        <w:rPr>
          <w:spacing w:val="-64"/>
        </w:rPr>
      </w:r>
      <w:r>
        <w:rPr/>
        <w:t>固公司市场竞争力的重要因素，还为公司承接其他品牌</w:t>
      </w:r>
      <w:r>
        <w:rPr>
          <w:spacing w:val="-4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的维护业务奠定了坚实的基础。深圳银通及其子公司、广州穗 通专注金融外包服务业务的价值创造，广州安保投资公司及其子公司内蒙古安保投资公司专注金融武装押运业务的价值创</w:t>
      </w:r>
      <w:r>
        <w:rPr>
          <w:spacing w:val="-7"/>
        </w:rPr>
        <w:t> </w:t>
      </w:r>
      <w:r>
        <w:rPr>
          <w:spacing w:val="-7"/>
        </w:rPr>
      </w:r>
      <w:r>
        <w:rPr/>
        <w:t>造，用现代化手段承接和整合银行传统业务，帮助银行实现现代化转型升级。截至目前，公司在全国范围内已有</w:t>
      </w:r>
      <w:r>
        <w:rPr>
          <w:spacing w:val="-65"/>
        </w:rPr>
        <w:t> </w:t>
      </w:r>
      <w:r>
        <w:rPr>
          <w:rFonts w:ascii="Times New Roman" w:hAnsi="Times New Roman" w:cs="Times New Roman" w:eastAsia="Times New Roman" w:hint="default"/>
        </w:rPr>
        <w:t>800</w:t>
      </w:r>
      <w:r>
        <w:rPr>
          <w:rFonts w:ascii="Times New Roman" w:hAnsi="Times New Roman" w:cs="Times New Roman" w:eastAsia="Times New Roman" w:hint="default"/>
          <w:spacing w:val="-20"/>
        </w:rPr>
        <w:t> </w:t>
      </w:r>
      <w:r>
        <w:rPr>
          <w:spacing w:val="-3"/>
        </w:rPr>
        <w:t>多个服 </w:t>
      </w:r>
      <w:r>
        <w:rPr/>
        <w:t>务网点，</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多家专业金融外包服务公司及押运公司，并自主研发了钞票冠字号识别与定位追踪、动态密码、视频监控等金 融外包服务的核心技术，逐步形成了专业化、规模化、集成化的金融外包服务优势。</w:t>
      </w:r>
    </w:p>
    <w:p>
      <w:pPr>
        <w:pStyle w:val="BodyText"/>
        <w:spacing w:line="304" w:lineRule="auto" w:before="62"/>
        <w:ind w:right="190" w:firstLine="360"/>
        <w:jc w:val="both"/>
      </w:pPr>
      <w:r>
        <w:rPr>
          <w:spacing w:val="-2"/>
        </w:rPr>
        <w:t>公司坚持以“快速应变，引领未来”的品牌理念，凭借快速灵活的需求定制能力、持续创新的自主研发能力、随时响应</w:t>
      </w:r>
      <w:r>
        <w:rPr/>
        <w:t> 的服务能力，经过多年的市场培育和拓展，已经赢得全球越来越多用户的信赖与合作。在金融电子领域，公司</w:t>
      </w:r>
      <w:r>
        <w:rPr>
          <w:spacing w:val="-6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7"/>
        </w:rPr>
        <w:t> </w:t>
      </w:r>
      <w:r>
        <w:rPr/>
        <w:t>自</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年以来连续八年在国内市场销售量保持第一，是我国同行业中经营规模最大、技术实力最强的</w:t>
      </w:r>
      <w:r>
        <w:rPr>
          <w:spacing w:val="-5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民族品牌供应商。在智 能交通领域，公司</w:t>
      </w:r>
      <w:r>
        <w:rPr>
          <w:spacing w:val="-36"/>
        </w:rPr>
        <w:t> </w:t>
      </w:r>
      <w:r>
        <w:rPr>
          <w:rFonts w:ascii="Times New Roman" w:hAnsi="Times New Roman" w:cs="Times New Roman" w:eastAsia="Times New Roman" w:hint="default"/>
        </w:rPr>
        <w:t>AFC</w:t>
      </w:r>
      <w:r>
        <w:rPr>
          <w:rFonts w:ascii="Times New Roman" w:hAnsi="Times New Roman" w:cs="Times New Roman" w:eastAsia="Times New Roman" w:hint="default"/>
          <w:spacing w:val="6"/>
        </w:rPr>
        <w:t> </w:t>
      </w:r>
      <w:r>
        <w:rPr/>
        <w:t>设备及核心模块在中国轨道交通与高速铁路客运专线得到广泛应用，极大推动了中国轨道交通的智 能化进程。</w:t>
      </w:r>
    </w:p>
    <w:p>
      <w:pPr>
        <w:spacing w:after="0" w:line="304" w:lineRule="auto"/>
        <w:jc w:val="both"/>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124" w:right="94"/>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7"/>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3"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bookmarkStart w:name="一、概述" w:id="25"/>
      <w:bookmarkEnd w:id="25"/>
      <w:r>
        <w:rPr>
          <w:rFonts w:ascii="Times New Roman" w:hAnsi="Times New Roman" w:cs="Times New Roman" w:eastAsia="Times New Roman" w:hint="default"/>
          <w:spacing w:val="2"/>
        </w:rPr>
      </w:r>
      <w:r>
        <w:rPr/>
        <w:t>年，公司紧紧围绕“夯实软实力，深化全产业链布局”的年度经营主题，以完善核心技术体系建设为基础，围绕 </w:t>
      </w:r>
      <w:r>
        <w:rPr>
          <w:spacing w:val="-2"/>
        </w:rPr>
        <w:t>“行业同心多元化”战略，深入巩固传统领域业务，全力推进服务领域布局，积极探索拓展领域机会，公司整体经营状况保</w:t>
      </w:r>
      <w:r>
        <w:rPr>
          <w:spacing w:val="-67"/>
        </w:rPr>
        <w:t> </w:t>
      </w:r>
      <w:r>
        <w:rPr>
          <w:spacing w:val="-67"/>
        </w:rPr>
      </w:r>
      <w:r>
        <w:rPr/>
        <w:t>持稳健发展态势，业绩持续提升。在传统领域，公司积极调整策略，国内</w:t>
      </w:r>
      <w:r>
        <w:rPr>
          <w:spacing w:val="-5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市场继续保持领先地位，市场销售量连续第 </w:t>
      </w:r>
      <w:r>
        <w:rPr>
          <w:spacing w:val="-2"/>
        </w:rPr>
        <w:t>八年位居第一；深耕海外重点区域市场，完善海外整体市场布局，重点加强本地化团队建设，海外业务销售持续增长。在服</w:t>
      </w:r>
      <w:r>
        <w:rPr>
          <w:spacing w:val="-67"/>
        </w:rPr>
        <w:t> </w:t>
      </w:r>
      <w:r>
        <w:rPr>
          <w:spacing w:val="-67"/>
        </w:rPr>
      </w:r>
      <w:r>
        <w:rPr>
          <w:spacing w:val="-2"/>
        </w:rPr>
        <w:t>务领域，调整传统维保服务平台，建设金融外包服务平台，加速武装押运业务的拓展，金融外包布局初步形成，服务领域销</w:t>
      </w:r>
      <w:r>
        <w:rPr>
          <w:spacing w:val="-67"/>
        </w:rPr>
        <w:t> </w:t>
      </w:r>
      <w:r>
        <w:rPr>
          <w:spacing w:val="-67"/>
        </w:rPr>
      </w:r>
      <w:r>
        <w:rPr/>
        <w:t>售增长显著。在拓展领域，继续挖掘</w:t>
      </w:r>
      <w:r>
        <w:rPr>
          <w:spacing w:val="-62"/>
        </w:rPr>
        <w:t> </w:t>
      </w:r>
      <w:r>
        <w:rPr>
          <w:rFonts w:ascii="Times New Roman" w:hAnsi="Times New Roman" w:cs="Times New Roman" w:eastAsia="Times New Roman" w:hint="default"/>
        </w:rPr>
        <w:t>AFC</w:t>
      </w:r>
      <w:r>
        <w:rPr>
          <w:rFonts w:ascii="Times New Roman" w:hAnsi="Times New Roman" w:cs="Times New Roman" w:eastAsia="Times New Roman" w:hint="default"/>
          <w:spacing w:val="-17"/>
        </w:rPr>
        <w:t> </w:t>
      </w:r>
      <w:r>
        <w:rPr/>
        <w:t>市场价值，拓展</w:t>
      </w:r>
      <w:r>
        <w:rPr>
          <w:spacing w:val="-62"/>
        </w:rPr>
        <w:t> </w:t>
      </w:r>
      <w:r>
        <w:rPr>
          <w:rFonts w:ascii="Times New Roman" w:hAnsi="Times New Roman" w:cs="Times New Roman" w:eastAsia="Times New Roman" w:hint="default"/>
        </w:rPr>
        <w:t>AFC</w:t>
      </w:r>
      <w:r>
        <w:rPr>
          <w:rFonts w:ascii="Times New Roman" w:hAnsi="Times New Roman" w:cs="Times New Roman" w:eastAsia="Times New Roman" w:hint="default"/>
          <w:spacing w:val="-17"/>
        </w:rPr>
        <w:t> </w:t>
      </w:r>
      <w:r>
        <w:rPr/>
        <w:t>核心产品模块应用领域，轨道交通业务取得长足发展；继续 加快清分机、</w:t>
      </w:r>
      <w:r>
        <w:rPr>
          <w:rFonts w:ascii="Times New Roman" w:hAnsi="Times New Roman" w:cs="Times New Roman" w:eastAsia="Times New Roman" w:hint="default"/>
        </w:rPr>
        <w:t>VTM</w:t>
      </w:r>
      <w:r>
        <w:rPr/>
        <w:t>、</w:t>
      </w:r>
      <w:r>
        <w:rPr>
          <w:rFonts w:ascii="Times New Roman" w:hAnsi="Times New Roman" w:cs="Times New Roman" w:eastAsia="Times New Roman" w:hint="default"/>
        </w:rPr>
        <w:t>i58</w:t>
      </w:r>
      <w:r>
        <w:rPr/>
        <w:t>、</w:t>
      </w:r>
      <w:r>
        <w:rPr>
          <w:rFonts w:ascii="Times New Roman" w:hAnsi="Times New Roman" w:cs="Times New Roman" w:eastAsia="Times New Roman" w:hint="default"/>
        </w:rPr>
        <w:t>P</w:t>
      </w:r>
      <w:r>
        <w:rPr>
          <w:rFonts w:ascii="Times New Roman" w:hAnsi="Times New Roman" w:cs="Times New Roman" w:eastAsia="Times New Roman" w:hint="default"/>
          <w:spacing w:val="-5"/>
        </w:rPr>
        <w:t> </w:t>
      </w:r>
      <w:r>
        <w:rPr/>
        <w:t>系列、智能柜台金融终端设备等新产品的推广，新产品销售取得一定成效。</w:t>
      </w:r>
    </w:p>
    <w:p>
      <w:pPr>
        <w:pStyle w:val="Heading5"/>
        <w:spacing w:line="240" w:lineRule="auto" w:before="46"/>
        <w:ind w:left="512" w:right="94"/>
        <w:jc w:val="left"/>
        <w:rPr>
          <w:b w:val="0"/>
          <w:bCs w:val="0"/>
        </w:rPr>
      </w:pPr>
      <w:r>
        <w:rPr>
          <w:rFonts w:ascii="Times New Roman" w:hAnsi="Times New Roman" w:cs="Times New Roman" w:eastAsia="Times New Roman" w:hint="default"/>
        </w:rPr>
        <w:t>1</w:t>
      </w:r>
      <w:r>
        <w:rPr/>
        <w:t>、传统领域</w:t>
      </w:r>
      <w:r>
        <w:rPr>
          <w:b w:val="0"/>
          <w:bCs w:val="0"/>
        </w:rPr>
      </w:r>
    </w:p>
    <w:p>
      <w:pPr>
        <w:pStyle w:val="BodyText"/>
        <w:spacing w:line="304" w:lineRule="auto" w:before="101"/>
        <w:ind w:right="104" w:firstLine="360"/>
        <w:jc w:val="both"/>
      </w:pPr>
      <w:r>
        <w:rPr/>
        <w:t>在</w:t>
      </w:r>
      <w:r>
        <w:rPr>
          <w:spacing w:val="-4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国内市场上，</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年，在经济下行的宏观背景下，随着金融改革的不断深入，金融服务模式创新的不断深化， 国内传统</w:t>
      </w:r>
      <w:r>
        <w:rPr>
          <w:spacing w:val="-53"/>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7"/>
        </w:rPr>
        <w:t> </w:t>
      </w:r>
      <w:r>
        <w:rPr>
          <w:spacing w:val="-3"/>
        </w:rPr>
        <w:t>产品需求增速放缓，价格战日趋激烈，</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7"/>
        </w:rPr>
        <w:t> </w:t>
      </w:r>
      <w:r>
        <w:rPr/>
        <w:t>厂商盈利空间进一步收窄，行业竞争不断加剧。日系、欧美系老 牌厂商份额不断下滑，二三线国产品牌厂商份额持续提升，国内</w:t>
      </w:r>
      <w:r>
        <w:rPr>
          <w:spacing w:val="-49"/>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行业进入国产品牌主导的价格竞争阶段。基于环境变 </w:t>
      </w:r>
      <w:r>
        <w:rPr>
          <w:spacing w:val="-4"/>
        </w:rPr>
        <w:t>化的研判、分析，公司积极调整策略，克服竞争加剧、价格下滑影响，继续保持领先地位，市场销售量连续第八年位居第一。</w:t>
      </w:r>
      <w:r>
        <w:rPr>
          <w:spacing w:val="-44"/>
        </w:rPr>
        <w:t> </w:t>
      </w:r>
      <w:r>
        <w:rPr>
          <w:spacing w:val="-44"/>
        </w:rPr>
      </w:r>
      <w:r>
        <w:rPr/>
        <w:t>目前，公司产品已遍布国有大行、股份制银行、邮政邮储、商行、农信等，形成多元化市场格局。公司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年陆续获得建</w:t>
      </w:r>
    </w:p>
    <w:p>
      <w:pPr>
        <w:pStyle w:val="BodyText"/>
        <w:spacing w:line="300" w:lineRule="auto" w:before="9"/>
        <w:ind w:right="190"/>
        <w:jc w:val="both"/>
      </w:pPr>
      <w:r>
        <w:rPr>
          <w:spacing w:val="-2"/>
        </w:rPr>
        <w:t>行、中行、交行、农行、邮政邮储及农信、商行、股份制银行等的批量采购合同，全年新增银行客户</w:t>
      </w:r>
      <w:r>
        <w:rPr>
          <w:spacing w:val="-37"/>
        </w:rPr>
        <w:t> </w:t>
      </w:r>
      <w:r>
        <w:rPr>
          <w:rFonts w:ascii="Times New Roman" w:hAnsi="Times New Roman" w:cs="Times New Roman" w:eastAsia="Times New Roman" w:hint="default"/>
          <w:spacing w:val="-1"/>
        </w:rPr>
        <w:t>129</w:t>
      </w:r>
      <w:r>
        <w:rPr>
          <w:rFonts w:ascii="Times New Roman" w:hAnsi="Times New Roman" w:cs="Times New Roman" w:eastAsia="Times New Roman" w:hint="default"/>
          <w:spacing w:val="9"/>
        </w:rPr>
        <w:t> </w:t>
      </w:r>
      <w:r>
        <w:rPr>
          <w:spacing w:val="-2"/>
        </w:rPr>
        <w:t>家，在保持销售增</w:t>
      </w:r>
      <w:r>
        <w:rPr>
          <w:spacing w:val="-88"/>
        </w:rPr>
        <w:t> </w:t>
      </w:r>
      <w:r>
        <w:rPr>
          <w:spacing w:val="-88"/>
        </w:rPr>
      </w:r>
      <w:r>
        <w:rPr/>
        <w:t>长的同时，积极寻求银行网点转型中的发展机会。</w:t>
      </w:r>
    </w:p>
    <w:p>
      <w:pPr>
        <w:pStyle w:val="BodyText"/>
        <w:spacing w:line="300" w:lineRule="auto" w:before="72"/>
        <w:ind w:right="192" w:firstLine="360"/>
        <w:jc w:val="both"/>
      </w:pPr>
      <w:r>
        <w:rPr/>
        <w:t>在</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海外市场上，公司围绕年初制定的“整合本地资源，优化业务部署”的工作思路，继续加大布局力度，全年实 现</w:t>
      </w:r>
      <w:r>
        <w:rPr>
          <w:spacing w:val="-59"/>
        </w:rPr>
        <w:t> </w:t>
      </w:r>
      <w:r>
        <w:rPr>
          <w:rFonts w:ascii="Times New Roman" w:hAnsi="Times New Roman" w:cs="Times New Roman" w:eastAsia="Times New Roman" w:hint="default"/>
        </w:rPr>
        <w:t>60</w:t>
      </w:r>
      <w:r>
        <w:rPr>
          <w:rFonts w:ascii="Times New Roman" w:hAnsi="Times New Roman" w:cs="Times New Roman" w:eastAsia="Times New Roman" w:hint="default"/>
          <w:spacing w:val="-13"/>
        </w:rPr>
        <w:t> </w:t>
      </w:r>
      <w:r>
        <w:rPr/>
        <w:t>多个国家销售；继续加强重点国家本地化布局，整体业务布局更加稳定合理。</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年海外业务继续保持稳定增长，其 </w:t>
      </w:r>
      <w:r>
        <w:rPr>
          <w:spacing w:val="-3"/>
        </w:rPr>
        <w:t>中：亚太区、中东区、非洲区市场同比增长显著。传统 </w:t>
      </w:r>
      <w:r>
        <w:rPr>
          <w:rFonts w:ascii="Times New Roman" w:hAnsi="Times New Roman" w:cs="Times New Roman" w:eastAsia="Times New Roman" w:hint="default"/>
          <w:spacing w:val="-8"/>
        </w:rPr>
        <w:t>ATM </w:t>
      </w:r>
      <w:r>
        <w:rPr/>
        <w:t>产品仍是海外市场的主要收入来源，新产品如多功能</w:t>
      </w:r>
      <w:r>
        <w:rPr>
          <w:spacing w:val="-73"/>
        </w:rPr>
        <w:t> </w:t>
      </w:r>
      <w:r>
        <w:rPr>
          <w:rFonts w:ascii="Times New Roman" w:hAnsi="Times New Roman" w:cs="Times New Roman" w:eastAsia="Times New Roman" w:hint="default"/>
          <w:spacing w:val="-10"/>
        </w:rPr>
        <w:t>ATM</w:t>
      </w:r>
      <w:r>
        <w:rPr>
          <w:spacing w:val="-10"/>
        </w:rPr>
        <w:t>、循</w:t>
      </w:r>
      <w:r>
        <w:rPr>
          <w:spacing w:val="-13"/>
        </w:rPr>
        <w:t> </w:t>
      </w:r>
      <w:r>
        <w:rPr/>
        <w:t>环机、</w:t>
      </w:r>
      <w:r>
        <w:rPr>
          <w:rFonts w:ascii="Times New Roman" w:hAnsi="Times New Roman" w:cs="Times New Roman" w:eastAsia="Times New Roman" w:hint="default"/>
        </w:rPr>
        <w:t>VTM</w:t>
      </w:r>
      <w:r>
        <w:rPr/>
        <w:t>、清分机和</w:t>
      </w:r>
      <w:r>
        <w:rPr>
          <w:spacing w:val="-51"/>
        </w:rPr>
        <w:t> </w:t>
      </w:r>
      <w:r>
        <w:rPr>
          <w:rFonts w:ascii="Times New Roman" w:hAnsi="Times New Roman" w:cs="Times New Roman" w:eastAsia="Times New Roman" w:hint="default"/>
        </w:rPr>
        <w:t>P</w:t>
      </w:r>
      <w:r>
        <w:rPr>
          <w:rFonts w:ascii="Times New Roman" w:hAnsi="Times New Roman" w:cs="Times New Roman" w:eastAsia="Times New Roman" w:hint="default"/>
          <w:spacing w:val="-1"/>
        </w:rPr>
        <w:t> </w:t>
      </w:r>
      <w:r>
        <w:rPr/>
        <w:t>系列取得较大增长，其中：</w:t>
      </w:r>
      <w:r>
        <w:rPr>
          <w:rFonts w:ascii="Times New Roman" w:hAnsi="Times New Roman" w:cs="Times New Roman" w:eastAsia="Times New Roman" w:hint="default"/>
        </w:rPr>
        <w:t>P</w:t>
      </w:r>
      <w:r>
        <w:rPr>
          <w:rFonts w:ascii="Times New Roman" w:hAnsi="Times New Roman" w:cs="Times New Roman" w:eastAsia="Times New Roman" w:hint="default"/>
          <w:spacing w:val="-1"/>
        </w:rPr>
        <w:t> </w:t>
      </w:r>
      <w:r>
        <w:rPr/>
        <w:t>系列、</w:t>
      </w:r>
      <w:r>
        <w:rPr>
          <w:rFonts w:ascii="Times New Roman" w:hAnsi="Times New Roman" w:cs="Times New Roman" w:eastAsia="Times New Roman" w:hint="default"/>
        </w:rPr>
        <w:t>VTM</w:t>
      </w:r>
      <w:r>
        <w:rPr>
          <w:rFonts w:ascii="Times New Roman" w:hAnsi="Times New Roman" w:cs="Times New Roman" w:eastAsia="Times New Roman" w:hint="default"/>
          <w:spacing w:val="-3"/>
        </w:rPr>
        <w:t> </w:t>
      </w:r>
      <w:r>
        <w:rPr/>
        <w:t>产品在中东市场取得重大突破；清分机在印度市场获得 批量订单，且在南非、尼日利亚、东非实现批量突破。</w:t>
      </w:r>
      <w:r>
        <w:rPr>
          <w:rFonts w:ascii="Times New Roman" w:hAnsi="Times New Roman" w:cs="Times New Roman" w:eastAsia="Times New Roman" w:hint="default"/>
        </w:rPr>
        <w:t>OEM</w:t>
      </w:r>
      <w:r>
        <w:rPr>
          <w:rFonts w:ascii="Times New Roman" w:hAnsi="Times New Roman" w:cs="Times New Roman" w:eastAsia="Times New Roman" w:hint="default"/>
          <w:spacing w:val="-3"/>
        </w:rPr>
        <w:t> </w:t>
      </w:r>
      <w:r>
        <w:rPr/>
        <w:t>业务、备品备件销售增长显著。</w:t>
      </w:r>
    </w:p>
    <w:p>
      <w:pPr>
        <w:pStyle w:val="Heading5"/>
        <w:spacing w:line="240" w:lineRule="auto" w:before="54"/>
        <w:ind w:left="513" w:right="94"/>
        <w:jc w:val="left"/>
        <w:rPr>
          <w:b w:val="0"/>
          <w:bCs w:val="0"/>
        </w:rPr>
      </w:pPr>
      <w:r>
        <w:rPr>
          <w:rFonts w:ascii="Times New Roman" w:hAnsi="Times New Roman" w:cs="Times New Roman" w:eastAsia="Times New Roman" w:hint="default"/>
        </w:rPr>
        <w:t>2</w:t>
      </w:r>
      <w:r>
        <w:rPr/>
        <w:t>、服务领域</w:t>
      </w:r>
      <w:r>
        <w:rPr>
          <w:b w:val="0"/>
          <w:bCs w:val="0"/>
        </w:rPr>
      </w:r>
    </w:p>
    <w:p>
      <w:pPr>
        <w:pStyle w:val="BodyText"/>
        <w:spacing w:line="300" w:lineRule="auto" w:before="101"/>
        <w:ind w:right="195"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年，公司调整并基本形成了以广州银通作为金融服务业主体、以深圳银通为传统维保业务平台、以广州安保投资 公司为金融外包业务主要平台的，且与发展战略吻合的服务业架构。</w:t>
      </w:r>
    </w:p>
    <w:p>
      <w:pPr>
        <w:pStyle w:val="BodyText"/>
        <w:spacing w:line="300" w:lineRule="auto" w:before="72"/>
        <w:ind w:right="190" w:firstLine="360"/>
        <w:jc w:val="both"/>
      </w:pPr>
      <w:r>
        <w:rPr/>
        <w:t>在金融维保服务市场上，</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年，公司维保业务在原有统筹、集约管理的基础上，推进服务精细化管理，建立分公司 系统稽查平台，全国设备责任到人、数据统计到人；将支持远程升级的在用设备比例提高到近</w:t>
      </w:r>
      <w:r>
        <w:rPr>
          <w:spacing w:val="-28"/>
        </w:rPr>
        <w:t> </w:t>
      </w:r>
      <w:r>
        <w:rPr>
          <w:rFonts w:ascii="Times New Roman" w:hAnsi="Times New Roman" w:cs="Times New Roman" w:eastAsia="Times New Roman" w:hint="default"/>
        </w:rPr>
        <w:t>70%</w:t>
      </w:r>
      <w:r>
        <w:rPr/>
        <w:t>，完成</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w:t>
      </w:r>
      <w:r>
        <w:rPr>
          <w:spacing w:val="-31"/>
        </w:rPr>
        <w:t> </w:t>
      </w:r>
      <w:r>
        <w:rPr>
          <w:rFonts w:ascii="Times New Roman" w:hAnsi="Times New Roman" w:cs="Times New Roman" w:eastAsia="Times New Roman" w:hint="default"/>
        </w:rPr>
        <w:t>P-AOC</w:t>
      </w:r>
      <w:r>
        <w:rPr>
          <w:rFonts w:ascii="Times New Roman" w:hAnsi="Times New Roman" w:cs="Times New Roman" w:eastAsia="Times New Roman" w:hint="default"/>
          <w:spacing w:val="16"/>
        </w:rPr>
        <w:t> </w:t>
      </w:r>
      <w:r>
        <w:rPr/>
        <w:t>项 目上线建设，为后续服务效能提升奠定基础；新建服务网点</w:t>
      </w:r>
      <w:r>
        <w:rPr>
          <w:spacing w:val="-47"/>
        </w:rPr>
        <w:t> </w:t>
      </w:r>
      <w:r>
        <w:rPr>
          <w:rFonts w:ascii="Times New Roman" w:hAnsi="Times New Roman" w:cs="Times New Roman" w:eastAsia="Times New Roman" w:hint="default"/>
        </w:rPr>
        <w:t>125</w:t>
      </w:r>
      <w:r>
        <w:rPr>
          <w:rFonts w:ascii="Times New Roman" w:hAnsi="Times New Roman" w:cs="Times New Roman" w:eastAsia="Times New Roman" w:hint="default"/>
          <w:spacing w:val="-1"/>
        </w:rPr>
        <w:t> </w:t>
      </w:r>
      <w:r>
        <w:rPr/>
        <w:t>个，服务网点总数达</w:t>
      </w:r>
      <w:r>
        <w:rPr>
          <w:spacing w:val="-49"/>
        </w:rPr>
        <w:t> </w:t>
      </w:r>
      <w:r>
        <w:rPr>
          <w:rFonts w:ascii="Times New Roman" w:hAnsi="Times New Roman" w:cs="Times New Roman" w:eastAsia="Times New Roman" w:hint="default"/>
        </w:rPr>
        <w:t>809</w:t>
      </w:r>
      <w:r>
        <w:rPr>
          <w:rFonts w:ascii="Times New Roman" w:hAnsi="Times New Roman" w:cs="Times New Roman" w:eastAsia="Times New Roman" w:hint="default"/>
          <w:spacing w:val="-3"/>
        </w:rPr>
        <w:t> </w:t>
      </w:r>
      <w:r>
        <w:rPr/>
        <w:t>个。随着公司</w:t>
      </w:r>
      <w:r>
        <w:rPr>
          <w:spacing w:val="-47"/>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t>业务范围的不 断扩展及原有业务的不断积累，公司维保业务收入实现快速增长。</w:t>
      </w:r>
    </w:p>
    <w:p>
      <w:pPr>
        <w:pStyle w:val="BodyText"/>
        <w:spacing w:line="316" w:lineRule="auto" w:before="72"/>
        <w:ind w:right="190" w:firstLine="360"/>
        <w:jc w:val="both"/>
      </w:pPr>
      <w:r>
        <w:rPr>
          <w:spacing w:val="-2"/>
        </w:rPr>
        <w:t>在金融外包服务市场上，随着互联网金融冲击及金融改革的不断深化，银行业面临网点转型与削减成本的压力，金融外</w:t>
      </w:r>
      <w:r>
        <w:rPr/>
        <w:t> 包服务发展迅速。目前，公司拥有开展金融外包服务的子公司 </w:t>
      </w:r>
      <w:r>
        <w:rPr>
          <w:rFonts w:ascii="Times New Roman" w:hAnsi="Times New Roman" w:cs="Times New Roman" w:eastAsia="Times New Roman" w:hint="default"/>
        </w:rPr>
        <w:t>12 </w:t>
      </w:r>
      <w:r>
        <w:rPr/>
        <w:t>家，金融外包业务共覆盖 </w:t>
      </w:r>
      <w:r>
        <w:rPr>
          <w:rFonts w:ascii="Times New Roman" w:hAnsi="Times New Roman" w:cs="Times New Roman" w:eastAsia="Times New Roman" w:hint="default"/>
        </w:rPr>
        <w:t>90</w:t>
      </w:r>
      <w:r>
        <w:rPr>
          <w:rFonts w:ascii="Times New Roman" w:hAnsi="Times New Roman" w:cs="Times New Roman" w:eastAsia="Times New Roman" w:hint="default"/>
          <w:spacing w:val="4"/>
        </w:rPr>
        <w:t> </w:t>
      </w:r>
      <w:r>
        <w:rPr/>
        <w:t>个城市，已开展外包项目达</w:t>
      </w:r>
    </w:p>
    <w:p>
      <w:pPr>
        <w:pStyle w:val="BodyText"/>
        <w:spacing w:line="300" w:lineRule="auto"/>
        <w:ind w:right="192" w:hanging="1"/>
        <w:jc w:val="both"/>
      </w:pPr>
      <w:r>
        <w:rPr>
          <w:rFonts w:ascii="Times New Roman" w:hAnsi="Times New Roman" w:cs="Times New Roman" w:eastAsia="Times New Roman" w:hint="default"/>
        </w:rPr>
        <w:t>193 </w:t>
      </w:r>
      <w:r>
        <w:rPr/>
        <w:t>个，累计承接外包服务设备 </w:t>
      </w:r>
      <w:r>
        <w:rPr>
          <w:rFonts w:ascii="Times New Roman" w:hAnsi="Times New Roman" w:cs="Times New Roman" w:eastAsia="Times New Roman" w:hint="default"/>
        </w:rPr>
        <w:t>7,300</w:t>
      </w:r>
      <w:r>
        <w:rPr>
          <w:rFonts w:ascii="Times New Roman" w:hAnsi="Times New Roman" w:cs="Times New Roman" w:eastAsia="Times New Roman" w:hint="default"/>
          <w:spacing w:val="-12"/>
        </w:rPr>
        <w:t> </w:t>
      </w:r>
      <w:r>
        <w:rPr/>
        <w:t>多台；公司金融外包服务标杆</w:t>
      </w:r>
      <w:r>
        <w:rPr>
          <w:rFonts w:ascii="Times New Roman" w:hAnsi="Times New Roman" w:cs="Times New Roman" w:eastAsia="Times New Roman" w:hint="default"/>
        </w:rPr>
        <w:t>—</w:t>
      </w:r>
      <w:r>
        <w:rPr/>
        <w:t>广州穗通，采用“技术</w:t>
      </w:r>
      <w:r>
        <w:rPr>
          <w:rFonts w:ascii="Times New Roman" w:hAnsi="Times New Roman" w:cs="Times New Roman" w:eastAsia="Times New Roman" w:hint="default"/>
        </w:rPr>
        <w:t>+</w:t>
      </w:r>
      <w:r>
        <w:rPr/>
        <w:t>安全”的模式，凭借其建立 的品牌知名度，将广州地区各家银行独立、分离且资源耗费的</w:t>
      </w:r>
      <w:r>
        <w:rPr>
          <w:spacing w:val="-51"/>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银行自助设备通过物联网等技术联结起来，提供从运维 管理至现金管理的金融外包服务，最终实现对</w:t>
      </w:r>
      <w:r>
        <w:rPr>
          <w:spacing w:val="-50"/>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5"/>
        </w:rPr>
        <w:t> </w:t>
      </w:r>
      <w:r>
        <w:rPr/>
        <w:t>等银行自助设备可视化和智能化的集中管控。报告期，广州穗通营业收 入持续增长，累计承接外包服务设备</w:t>
      </w:r>
      <w:r>
        <w:rPr>
          <w:spacing w:val="-3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2"/>
        </w:rPr>
        <w:t> </w:t>
      </w:r>
      <w:r>
        <w:rPr/>
        <w:t>多台，服务客户已增至</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家；公司广州金融外包服务总部基地建设进展顺利， 为全国范围内的市场布局提供坚实的基础。</w:t>
      </w:r>
    </w:p>
    <w:p>
      <w:pPr>
        <w:pStyle w:val="BodyText"/>
        <w:spacing w:line="309" w:lineRule="auto" w:before="70"/>
        <w:ind w:right="192" w:firstLine="360"/>
        <w:jc w:val="both"/>
      </w:pPr>
      <w:r>
        <w:rPr/>
        <w:t>在金融武装押运市场上，公司以中小项目为切入点，以点带面突破重点城市，</w:t>
      </w:r>
      <w:r>
        <w:rPr>
          <w:rFonts w:ascii="Times New Roman" w:hAnsi="Times New Roman" w:cs="Times New Roman" w:eastAsia="Times New Roman" w:hint="default"/>
        </w:rPr>
        <w:t>2015 </w:t>
      </w:r>
      <w:r>
        <w:rPr/>
        <w:t>年新投资武装押运公司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家，分别 </w:t>
      </w:r>
      <w:r>
        <w:rPr>
          <w:spacing w:val="-2"/>
        </w:rPr>
        <w:t>是：邵阳保安、武威神威、商洛金盾、海南警锐、西安金盾、平顶山鹰翔、兴安盟威信、巴彦淖尔天力，金融武装押运业务</w:t>
      </w:r>
      <w:r>
        <w:rPr>
          <w:spacing w:val="-68"/>
        </w:rPr>
        <w:t> </w:t>
      </w:r>
      <w:r>
        <w:rPr>
          <w:spacing w:val="-68"/>
        </w:rPr>
      </w:r>
      <w:r>
        <w:rPr/>
        <w:t>的全国布局实现快速增长。宜昌高端金融电子设备产业园与湖南邵阳金融外包服务基地也陆续启动建设。</w:t>
      </w:r>
    </w:p>
    <w:p>
      <w:pPr>
        <w:spacing w:after="0" w:line="309"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Heading5"/>
        <w:spacing w:line="240" w:lineRule="auto" w:before="44"/>
        <w:ind w:left="512" w:right="94"/>
        <w:jc w:val="left"/>
        <w:rPr>
          <w:b w:val="0"/>
          <w:bCs w:val="0"/>
        </w:rPr>
      </w:pPr>
      <w:bookmarkStart w:name="二、主营业务分析" w:id="26"/>
      <w:bookmarkEnd w:id="26"/>
      <w:r>
        <w:rPr>
          <w:b w:val="0"/>
          <w:bCs w:val="0"/>
        </w:rPr>
      </w:r>
      <w:bookmarkStart w:name="1、概述" w:id="27"/>
      <w:bookmarkEnd w:id="27"/>
      <w:r>
        <w:rPr>
          <w:b w:val="0"/>
          <w:bCs w:val="0"/>
        </w:rPr>
      </w:r>
      <w:bookmarkStart w:name="2、收入与成本" w:id="28"/>
      <w:bookmarkEnd w:id="28"/>
      <w:r>
        <w:rPr>
          <w:b w:val="0"/>
          <w:bCs w:val="0"/>
        </w:rPr>
      </w:r>
      <w:bookmarkStart w:name="（1）营业收入构成" w:id="29"/>
      <w:bookmarkEnd w:id="29"/>
      <w:r>
        <w:rPr>
          <w:b w:val="0"/>
          <w:bCs w:val="0"/>
        </w:rPr>
      </w:r>
      <w:r>
        <w:rPr>
          <w:rFonts w:ascii="Times New Roman" w:hAnsi="Times New Roman" w:cs="Times New Roman" w:eastAsia="Times New Roman" w:hint="default"/>
        </w:rPr>
        <w:t>3</w:t>
      </w:r>
      <w:r>
        <w:rPr/>
        <w:t>、拓展领域</w:t>
      </w:r>
      <w:r>
        <w:rPr>
          <w:b w:val="0"/>
          <w:bCs w:val="0"/>
        </w:rPr>
      </w:r>
    </w:p>
    <w:p>
      <w:pPr>
        <w:pStyle w:val="BodyText"/>
        <w:spacing w:line="307" w:lineRule="auto" w:before="103"/>
        <w:ind w:right="97" w:firstLine="359"/>
        <w:jc w:val="left"/>
      </w:pPr>
      <w:r>
        <w:rPr/>
        <w:t>在轨道交通市场上，公司继续秉承整机与核心模块并行销售的策略，同时不断拓展</w:t>
      </w:r>
      <w:r>
        <w:rPr>
          <w:spacing w:val="-36"/>
        </w:rPr>
        <w:t> </w:t>
      </w:r>
      <w:r>
        <w:rPr>
          <w:rFonts w:ascii="Times New Roman" w:hAnsi="Times New Roman" w:cs="Times New Roman" w:eastAsia="Times New Roman" w:hint="default"/>
        </w:rPr>
        <w:t>AFC</w:t>
      </w:r>
      <w:r>
        <w:rPr>
          <w:rFonts w:ascii="Times New Roman" w:hAnsi="Times New Roman" w:cs="Times New Roman" w:eastAsia="Times New Roman" w:hint="default"/>
          <w:spacing w:val="6"/>
        </w:rPr>
        <w:t> </w:t>
      </w:r>
      <w:r>
        <w:rPr/>
        <w:t>产品核心模块应用领域，挖掘 产业链价值，提高公司在轨道交通市场的竞争力，努力形成新的业务增长点。</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年，公司轨道交通事业部业绩良好。在 地铁市场上，</w:t>
      </w:r>
      <w:r>
        <w:rPr>
          <w:rFonts w:ascii="Times New Roman" w:hAnsi="Times New Roman" w:cs="Times New Roman" w:eastAsia="Times New Roman" w:hint="default"/>
        </w:rPr>
        <w:t>AFC </w:t>
      </w:r>
      <w:r>
        <w:rPr/>
        <w:t>纸币识别、纸币找零、票卡三大核心模块产品取得北京、合肥、石家庄、苏州、兰州、青岛、成都、长</w:t>
      </w:r>
      <w:r>
        <w:rPr>
          <w:spacing w:val="-77"/>
        </w:rPr>
        <w:t> </w:t>
      </w:r>
      <w:r>
        <w:rPr>
          <w:spacing w:val="-77"/>
        </w:rPr>
      </w:r>
      <w:r>
        <w:rPr>
          <w:spacing w:val="-6"/>
        </w:rPr>
        <w:t>沙、南宁等</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spacing w:val="-3"/>
        </w:rPr>
        <w:t>个城市地铁订单；循环模块产品获得广州、深圳、长沙地铁订单；整机项目获得深圳地铁三期</w:t>
      </w:r>
      <w:r>
        <w:rPr>
          <w:spacing w:val="-44"/>
        </w:rPr>
        <w:t> </w:t>
      </w:r>
      <w:r>
        <w:rPr>
          <w:rFonts w:ascii="Times New Roman" w:hAnsi="Times New Roman" w:cs="Times New Roman" w:eastAsia="Times New Roman" w:hint="default"/>
          <w:spacing w:val="-9"/>
        </w:rPr>
        <w:t>9</w:t>
      </w:r>
      <w:r>
        <w:rPr>
          <w:spacing w:val="-9"/>
        </w:rPr>
        <w:t>、</w:t>
      </w:r>
      <w:r>
        <w:rPr>
          <w:rFonts w:ascii="Times New Roman" w:hAnsi="Times New Roman" w:cs="Times New Roman" w:eastAsia="Times New Roman" w:hint="default"/>
          <w:spacing w:val="-9"/>
        </w:rPr>
        <w:t>11</w:t>
      </w:r>
      <w:r>
        <w:rPr>
          <w:rFonts w:ascii="Times New Roman" w:hAnsi="Times New Roman" w:cs="Times New Roman" w:eastAsia="Times New Roman" w:hint="default"/>
          <w:spacing w:val="2"/>
        </w:rPr>
        <w:t> </w:t>
      </w:r>
      <w:r>
        <w:rPr/>
        <w:t>号线订单。 </w:t>
      </w:r>
      <w:r>
        <w:rPr>
          <w:spacing w:val="-2"/>
        </w:rPr>
        <w:t>在高铁市场上，与铁道科学研究院、易程股份分别签订核心模块、整机批量订单；中标珠三角城际佛肇线核心模块项目和惠</w:t>
      </w:r>
      <w:r>
        <w:rPr>
          <w:spacing w:val="-64"/>
        </w:rPr>
        <w:t> </w:t>
      </w:r>
      <w:r>
        <w:rPr>
          <w:spacing w:val="-64"/>
        </w:rPr>
      </w:r>
      <w:r>
        <w:rPr/>
        <w:t>莞线</w:t>
      </w:r>
      <w:r>
        <w:rPr>
          <w:spacing w:val="-53"/>
        </w:rPr>
        <w:t> </w:t>
      </w:r>
      <w:r>
        <w:rPr>
          <w:rFonts w:ascii="Times New Roman" w:hAnsi="Times New Roman" w:cs="Times New Roman" w:eastAsia="Times New Roman" w:hint="default"/>
        </w:rPr>
        <w:t>TVM</w:t>
      </w:r>
      <w:r>
        <w:rPr>
          <w:rFonts w:ascii="Times New Roman" w:hAnsi="Times New Roman" w:cs="Times New Roman" w:eastAsia="Times New Roman" w:hint="default"/>
          <w:spacing w:val="-7"/>
        </w:rPr>
        <w:t> </w:t>
      </w:r>
      <w:r>
        <w:rPr/>
        <w:t>整机项目。在海外市场开拓上，成为国际领先交通运输设施集成商</w:t>
      </w:r>
      <w:r>
        <w:rPr>
          <w:rFonts w:ascii="Times New Roman" w:hAnsi="Times New Roman" w:cs="Times New Roman" w:eastAsia="Times New Roman" w:hint="default"/>
        </w:rPr>
        <w:t>—</w:t>
      </w:r>
      <w:r>
        <w:rPr/>
        <w:t>英德拉全球正式供应商之一。在新业务市场 </w:t>
      </w:r>
      <w:r>
        <w:rPr>
          <w:spacing w:val="-2"/>
        </w:rPr>
        <w:t>上，与金逸及光美院线签订自助售取票机合同，为广东省旅游刷卡无障碍示范工程提供多媒体自助售取票机及闸机，获得西</w:t>
      </w:r>
      <w:r>
        <w:rPr>
          <w:spacing w:val="-63"/>
        </w:rPr>
        <w:t> </w:t>
      </w:r>
      <w:r>
        <w:rPr>
          <w:spacing w:val="-63"/>
        </w:rPr>
      </w:r>
      <w:r>
        <w:rPr>
          <w:spacing w:val="-4"/>
        </w:rPr>
        <w:t>安、广州、深圳地铁维保项目订单，中标北京地铁标准化软件项目等，在终端模块业务领域获得突破，在金融、电信、交通、</w:t>
      </w:r>
      <w:r>
        <w:rPr>
          <w:spacing w:val="-41"/>
        </w:rPr>
        <w:t> </w:t>
      </w:r>
      <w:r>
        <w:rPr>
          <w:spacing w:val="-41"/>
        </w:rPr>
      </w:r>
      <w:r>
        <w:rPr/>
        <w:t>电力等行业，我司核心模块取得批量订单。</w:t>
      </w:r>
    </w:p>
    <w:p>
      <w:pPr>
        <w:pStyle w:val="BodyText"/>
        <w:spacing w:line="304" w:lineRule="auto" w:before="64"/>
        <w:ind w:right="98" w:firstLine="360"/>
        <w:jc w:val="left"/>
      </w:pPr>
      <w:r>
        <w:rPr/>
        <w:t>在清分机市场上，</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年，受新版人民币升级延迟采购、总行入围采购工作延迟、银行业利润收窄以及部分产品趋于 </w:t>
      </w:r>
      <w:r>
        <w:rPr>
          <w:spacing w:val="-2"/>
        </w:rPr>
        <w:t>饱和等因素的影响，清分机市场整体采购规模有所下降，且随着新竞争对手的不断涌入，行业竞争激烈，产品价格有较大降</w:t>
      </w:r>
      <w:r>
        <w:rPr>
          <w:spacing w:val="-65"/>
        </w:rPr>
        <w:t> </w:t>
      </w:r>
      <w:r>
        <w:rPr>
          <w:spacing w:val="-65"/>
        </w:rPr>
      </w:r>
      <w:r>
        <w:rPr>
          <w:spacing w:val="-2"/>
        </w:rPr>
        <w:t>幅。</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3"/>
        </w:rPr>
        <w:t> </w:t>
      </w:r>
      <w:r>
        <w:rPr>
          <w:spacing w:val="-1"/>
        </w:rPr>
        <w:t>年，公司清分机全系列产品入围邮政邮储，主流型号入围浦发、华夏、平安总行，冠字号系统先后中标华夏总行、</w:t>
      </w:r>
      <w:r>
        <w:rPr>
          <w:spacing w:val="-86"/>
        </w:rPr>
        <w:t> </w:t>
      </w:r>
      <w:r>
        <w:rPr>
          <w:spacing w:val="-86"/>
        </w:rPr>
      </w:r>
      <w:r>
        <w:rPr/>
        <w:t>贵州农信、湖南农信等；并推出</w:t>
      </w:r>
      <w:r>
        <w:rPr>
          <w:spacing w:val="-56"/>
        </w:rPr>
        <w:t> </w:t>
      </w:r>
      <w:r>
        <w:rPr>
          <w:rFonts w:ascii="Times New Roman" w:hAnsi="Times New Roman" w:cs="Times New Roman" w:eastAsia="Times New Roman" w:hint="default"/>
        </w:rPr>
        <w:t>CM3000</w:t>
      </w:r>
      <w:r>
        <w:rPr>
          <w:rFonts w:ascii="Times New Roman" w:hAnsi="Times New Roman" w:cs="Times New Roman" w:eastAsia="Times New Roman" w:hint="default"/>
          <w:spacing w:val="-10"/>
        </w:rPr>
        <w:t> </w:t>
      </w:r>
      <w:r>
        <w:rPr/>
        <w:t>清分扎把一体机、</w:t>
      </w:r>
      <w:r>
        <w:rPr>
          <w:rFonts w:ascii="Times New Roman" w:hAnsi="Times New Roman" w:cs="Times New Roman" w:eastAsia="Times New Roman" w:hint="default"/>
        </w:rPr>
        <w:t>CM200S</w:t>
      </w:r>
      <w:r>
        <w:rPr>
          <w:rFonts w:ascii="Times New Roman" w:hAnsi="Times New Roman" w:cs="Times New Roman" w:eastAsia="Times New Roman" w:hint="default"/>
          <w:spacing w:val="-10"/>
        </w:rPr>
        <w:t> </w:t>
      </w:r>
      <w:r>
        <w:rPr/>
        <w:t>外币清分机、</w:t>
      </w:r>
      <w:r>
        <w:rPr>
          <w:rFonts w:ascii="Times New Roman" w:hAnsi="Times New Roman" w:cs="Times New Roman" w:eastAsia="Times New Roman" w:hint="default"/>
        </w:rPr>
        <w:t>CML300</w:t>
      </w:r>
      <w:r>
        <w:rPr>
          <w:rFonts w:ascii="Times New Roman" w:hAnsi="Times New Roman" w:cs="Times New Roman" w:eastAsia="Times New Roman" w:hint="default"/>
          <w:spacing w:val="-10"/>
        </w:rPr>
        <w:t> </w:t>
      </w:r>
      <w:r>
        <w:rPr/>
        <w:t>塑封机等自主研发产品，以及基 于银行前后台现金管理的一系列整体解决方案，努力构建新的业务价值链和增长点。在</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年严峻的市场形势下，公司清</w:t>
      </w:r>
    </w:p>
    <w:p>
      <w:pPr>
        <w:pStyle w:val="BodyText"/>
        <w:spacing w:line="340" w:lineRule="auto" w:before="9"/>
        <w:ind w:left="512" w:right="176" w:hanging="361"/>
        <w:jc w:val="left"/>
      </w:pPr>
      <w:r>
        <w:rPr/>
        <w:t>分机全年发货</w:t>
      </w:r>
      <w:r>
        <w:rPr>
          <w:spacing w:val="-46"/>
        </w:rPr>
        <w:t> </w:t>
      </w:r>
      <w:r>
        <w:rPr>
          <w:rFonts w:ascii="Times New Roman" w:hAnsi="Times New Roman" w:cs="Times New Roman" w:eastAsia="Times New Roman" w:hint="default"/>
        </w:rPr>
        <w:t>7,400 </w:t>
      </w:r>
      <w:r>
        <w:rPr/>
        <w:t>多台，同比</w:t>
      </w:r>
      <w:r>
        <w:rPr>
          <w:spacing w:val="-46"/>
        </w:rPr>
        <w:t> </w:t>
      </w:r>
      <w:r>
        <w:rPr>
          <w:rFonts w:ascii="Times New Roman" w:hAnsi="Times New Roman" w:cs="Times New Roman" w:eastAsia="Times New Roman" w:hint="default"/>
        </w:rPr>
        <w:t>2014 </w:t>
      </w:r>
      <w:r>
        <w:rPr/>
        <w:t>年有所下滑。 在创新业务市场上，远程视频柜员机（</w:t>
      </w:r>
      <w:r>
        <w:rPr>
          <w:rFonts w:ascii="Times New Roman" w:hAnsi="Times New Roman" w:cs="Times New Roman" w:eastAsia="Times New Roman" w:hint="default"/>
        </w:rPr>
        <w:t>VTM</w:t>
      </w:r>
      <w:r>
        <w:rPr/>
        <w:t>）仍处于行业领先地位，</w:t>
      </w:r>
      <w:r>
        <w:rPr>
          <w:rFonts w:ascii="Times New Roman" w:hAnsi="Times New Roman" w:cs="Times New Roman" w:eastAsia="Times New Roman" w:hint="default"/>
        </w:rPr>
        <w:t>2015 </w:t>
      </w:r>
      <w:r>
        <w:rPr/>
        <w:t>年，公司获批主导起草 </w:t>
      </w:r>
      <w:r>
        <w:rPr>
          <w:rFonts w:ascii="Times New Roman" w:hAnsi="Times New Roman" w:cs="Times New Roman" w:eastAsia="Times New Roman" w:hint="default"/>
        </w:rPr>
        <w:t>VTM</w:t>
      </w:r>
      <w:r>
        <w:rPr>
          <w:rFonts w:ascii="Times New Roman" w:hAnsi="Times New Roman" w:cs="Times New Roman" w:eastAsia="Times New Roman" w:hint="default"/>
          <w:spacing w:val="18"/>
        </w:rPr>
        <w:t> </w:t>
      </w:r>
      <w:r>
        <w:rPr/>
        <w:t>国家标准，引</w:t>
      </w:r>
    </w:p>
    <w:p>
      <w:pPr>
        <w:pStyle w:val="BodyText"/>
        <w:spacing w:line="228" w:lineRule="exact"/>
        <w:ind w:left="153" w:right="94"/>
        <w:jc w:val="left"/>
      </w:pPr>
      <w:r>
        <w:rPr/>
        <w:t>领了行业的规范和产品形态</w:t>
      </w:r>
      <w:r>
        <w:rPr>
          <w:spacing w:val="-10"/>
        </w:rPr>
        <w:t>；</w:t>
      </w:r>
      <w:r>
        <w:rPr>
          <w:rFonts w:ascii="Times New Roman" w:hAnsi="Times New Roman" w:cs="Times New Roman" w:eastAsia="Times New Roman" w:hint="default"/>
          <w:spacing w:val="2"/>
          <w:w w:val="99"/>
        </w:rPr>
        <w:t>V</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rPr>
        <w:t> </w:t>
      </w:r>
      <w:r>
        <w:rPr/>
        <w:t>新入围浦发银行</w:t>
      </w:r>
      <w:r>
        <w:rPr>
          <w:spacing w:val="-10"/>
        </w:rPr>
        <w:t>、</w:t>
      </w:r>
      <w:r>
        <w:rPr/>
        <w:t>华夏</w:t>
      </w:r>
      <w:r>
        <w:rPr>
          <w:spacing w:val="-3"/>
        </w:rPr>
        <w:t>银</w:t>
      </w:r>
      <w:r>
        <w:rPr/>
        <w:t>行</w:t>
      </w:r>
      <w:r>
        <w:rPr>
          <w:spacing w:val="-10"/>
        </w:rPr>
        <w:t>、</w:t>
      </w:r>
      <w:r>
        <w:rPr/>
        <w:t>中国银</w:t>
      </w:r>
      <w:r>
        <w:rPr>
          <w:spacing w:val="-10"/>
        </w:rPr>
        <w:t>行</w:t>
      </w:r>
      <w:r>
        <w:rPr/>
        <w:t>（香港</w:t>
      </w:r>
      <w:r>
        <w:rPr>
          <w:spacing w:val="-92"/>
        </w:rPr>
        <w:t>）</w:t>
      </w:r>
      <w:r>
        <w:rPr>
          <w:spacing w:val="-10"/>
        </w:rPr>
        <w:t>、</w:t>
      </w:r>
      <w:r>
        <w:rPr/>
        <w:t>永隆</w:t>
      </w:r>
      <w:r>
        <w:rPr>
          <w:spacing w:val="2"/>
        </w:rPr>
        <w:t>银</w:t>
      </w:r>
      <w:r>
        <w:rPr/>
        <w:t>行</w:t>
      </w:r>
      <w:r>
        <w:rPr>
          <w:spacing w:val="-10"/>
        </w:rPr>
        <w:t>；</w:t>
      </w:r>
      <w:r>
        <w:rPr/>
        <w:t>在交通银行</w:t>
      </w:r>
      <w:r>
        <w:rPr>
          <w:spacing w:val="-10"/>
        </w:rPr>
        <w:t>、</w:t>
      </w:r>
      <w:r>
        <w:rPr/>
        <w:t>广发银行</w:t>
      </w:r>
      <w:r>
        <w:rPr>
          <w:spacing w:val="-10"/>
        </w:rPr>
        <w:t>、</w:t>
      </w:r>
      <w:r>
        <w:rPr/>
        <w:t>北</w:t>
      </w:r>
    </w:p>
    <w:p>
      <w:pPr>
        <w:pStyle w:val="BodyText"/>
        <w:spacing w:line="300" w:lineRule="auto" w:before="62"/>
        <w:ind w:left="153" w:right="91"/>
        <w:jc w:val="left"/>
      </w:pPr>
      <w:r>
        <w:rPr/>
        <w:t>银消费公司、土耳其科威特银行实现批量上线应用；同时，在保险领域实现突破，入围中国人寿、香港友邦保险。</w:t>
      </w:r>
      <w:r>
        <w:rPr>
          <w:rFonts w:ascii="Times New Roman" w:hAnsi="Times New Roman" w:cs="Times New Roman" w:eastAsia="Times New Roman" w:hint="default"/>
        </w:rPr>
        <w:t>i58</w:t>
      </w:r>
      <w:r>
        <w:rPr>
          <w:rFonts w:ascii="Times New Roman" w:hAnsi="Times New Roman" w:cs="Times New Roman" w:eastAsia="Times New Roman" w:hint="default"/>
          <w:spacing w:val="4"/>
        </w:rPr>
        <w:t> </w:t>
      </w:r>
      <w:r>
        <w:rPr>
          <w:spacing w:val="-3"/>
        </w:rPr>
        <w:t>应用 </w:t>
      </w:r>
      <w:r>
        <w:rPr>
          <w:spacing w:val="-2"/>
        </w:rPr>
        <w:t>模式获得银行及监管部门的肯定，产品进入模式复制、批量推广阶段，开拓了河北农信、交行、西安银行等近</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1"/>
        </w:rPr>
        <w:t>家新客户。</w:t>
      </w:r>
      <w:r>
        <w:rPr/>
        <w:t> </w:t>
      </w:r>
      <w:r>
        <w:rPr>
          <w:rFonts w:ascii="Times New Roman" w:hAnsi="Times New Roman" w:cs="Times New Roman" w:eastAsia="Times New Roman" w:hint="default"/>
        </w:rPr>
        <w:t>P</w:t>
      </w:r>
      <w:r>
        <w:rPr>
          <w:rFonts w:ascii="Times New Roman" w:hAnsi="Times New Roman" w:cs="Times New Roman" w:eastAsia="Times New Roman" w:hint="default"/>
          <w:spacing w:val="-16"/>
        </w:rPr>
        <w:t> </w:t>
      </w:r>
      <w:r>
        <w:rPr/>
        <w:t>系列产品推广有所突破，在建行实现批量销售，成功进入肯尼亚等市场。此外，公司初步搭建了银行网点转型整体解决方 案，并努力推进与银行网点的转型合作；全资子公司运通信息成功立足于金融</w:t>
      </w:r>
      <w:r>
        <w:rPr>
          <w:spacing w:val="-47"/>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外包市场，全年签订合同</w:t>
      </w:r>
      <w:r>
        <w:rPr>
          <w:spacing w:val="-4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多万元。</w:t>
      </w:r>
    </w:p>
    <w:p>
      <w:pPr>
        <w:pStyle w:val="BodyText"/>
        <w:spacing w:line="338" w:lineRule="auto" w:before="55"/>
        <w:ind w:left="512" w:right="177"/>
        <w:jc w:val="left"/>
      </w:pPr>
      <w:r>
        <w:rPr>
          <w:rFonts w:ascii="Times New Roman" w:hAnsi="Times New Roman" w:cs="Times New Roman" w:eastAsia="Times New Roman" w:hint="default"/>
          <w:b/>
          <w:bCs/>
        </w:rPr>
        <w:t>4</w:t>
      </w:r>
      <w:r>
        <w:rPr>
          <w:rFonts w:ascii="宋体" w:hAnsi="宋体" w:cs="宋体" w:eastAsia="宋体" w:hint="default"/>
          <w:b/>
          <w:bCs/>
        </w:rPr>
        <w:t>、资质荣誉</w:t>
      </w:r>
      <w:r>
        <w:rPr>
          <w:rFonts w:ascii="宋体" w:hAnsi="宋体" w:cs="宋体" w:eastAsia="宋体" w:hint="default"/>
          <w:b/>
          <w:bCs/>
          <w:w w:val="99"/>
        </w:rPr>
        <w:t> </w:t>
      </w:r>
      <w:r>
        <w:rPr>
          <w:spacing w:val="-11"/>
        </w:rPr>
        <w:t>报告期内，公司荣获“国家技术创新示范企业”、“国家知识产权优势企业”、“国家级工业设计中心”、“</w:t>
      </w:r>
      <w:r>
        <w:rPr>
          <w:rFonts w:ascii="Times New Roman" w:hAnsi="Times New Roman" w:cs="Times New Roman" w:eastAsia="Times New Roman" w:hint="default"/>
          <w:spacing w:val="-11"/>
        </w:rPr>
        <w:t>2015</w:t>
      </w:r>
      <w:r>
        <w:rPr>
          <w:rFonts w:ascii="Times New Roman" w:hAnsi="Times New Roman" w:cs="Times New Roman" w:eastAsia="Times New Roman" w:hint="default"/>
        </w:rPr>
        <w:t> </w:t>
      </w:r>
      <w:r>
        <w:rPr>
          <w:rFonts w:ascii="Times New Roman" w:hAnsi="Times New Roman" w:cs="Times New Roman" w:eastAsia="Times New Roman" w:hint="default"/>
          <w:spacing w:val="39"/>
        </w:rPr>
        <w:t> </w:t>
      </w:r>
      <w:r>
        <w:rPr/>
        <w:t>全国电子</w:t>
      </w:r>
    </w:p>
    <w:p>
      <w:pPr>
        <w:pStyle w:val="BodyText"/>
        <w:spacing w:line="230" w:lineRule="exact"/>
        <w:ind w:right="94" w:hanging="1"/>
        <w:jc w:val="left"/>
      </w:pPr>
      <w:r>
        <w:rPr/>
        <w:t>信息行业标杆企业</w:t>
      </w:r>
      <w:r>
        <w:rPr>
          <w:spacing w:val="-92"/>
        </w:rPr>
        <w:t>”</w:t>
      </w:r>
      <w:r>
        <w:rPr>
          <w:spacing w:val="-99"/>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年</w:t>
      </w:r>
      <w:r>
        <w:rPr/>
        <w:t>软件业务收入前百家企</w:t>
      </w:r>
      <w:r>
        <w:rPr>
          <w:spacing w:val="-8"/>
        </w:rPr>
        <w:t>业</w:t>
      </w:r>
      <w:r>
        <w:rPr/>
        <w:t>（第</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92"/>
        </w:rPr>
        <w:t>位</w:t>
      </w:r>
      <w:r>
        <w:rPr/>
        <w:t>）</w:t>
      </w:r>
      <w:r>
        <w:rPr>
          <w:spacing w:val="-92"/>
        </w:rPr>
        <w:t>”</w:t>
      </w:r>
      <w:r>
        <w:rPr/>
        <w:t>、</w:t>
      </w:r>
      <w:r>
        <w:rPr>
          <w:spacing w:val="-13"/>
        </w:rPr>
        <w:t> </w:t>
      </w:r>
      <w:r>
        <w:rPr/>
        <w:t>“中国服务外包成长型企业</w:t>
      </w:r>
      <w:r>
        <w:rPr>
          <w:spacing w:val="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0</w:t>
      </w:r>
      <w:r>
        <w:rPr>
          <w:rFonts w:ascii="Times New Roman" w:hAnsi="Times New Roman" w:cs="Times New Roman" w:eastAsia="Times New Roman" w:hint="default"/>
        </w:rPr>
        <w:t>0 </w:t>
      </w:r>
      <w:r>
        <w:rPr>
          <w:rFonts w:ascii="Times New Roman" w:hAnsi="Times New Roman" w:cs="Times New Roman" w:eastAsia="Times New Roman" w:hint="default"/>
          <w:spacing w:val="2"/>
        </w:rPr>
        <w:t> </w:t>
      </w:r>
      <w:r>
        <w:rPr>
          <w:spacing w:val="-92"/>
        </w:rPr>
        <w:t>强</w:t>
      </w:r>
      <w:r>
        <w:rPr/>
        <w:t>”、</w:t>
      </w:r>
      <w:r>
        <w:rPr>
          <w:spacing w:val="-14"/>
        </w:rPr>
        <w:t> </w:t>
      </w:r>
      <w:r>
        <w:rPr/>
        <w:t>“国有</w:t>
      </w:r>
      <w:r>
        <w:rPr>
          <w:spacing w:val="-3"/>
        </w:rPr>
        <w:t>控</w:t>
      </w:r>
      <w:r>
        <w:rPr/>
        <w:t>股</w:t>
      </w:r>
    </w:p>
    <w:p>
      <w:pPr>
        <w:pStyle w:val="BodyText"/>
        <w:spacing w:line="300" w:lineRule="auto" w:before="62"/>
        <w:ind w:right="192"/>
        <w:jc w:val="left"/>
      </w:pPr>
      <w:r>
        <w:rPr/>
        <w:t>上市公司市值管理</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92"/>
        </w:rPr>
        <w:t>强</w:t>
      </w:r>
      <w:r>
        <w:rPr/>
        <w:t>”、</w:t>
      </w:r>
      <w:r>
        <w:rPr>
          <w:spacing w:val="-42"/>
        </w:rPr>
        <w:t> </w:t>
      </w:r>
      <w:r>
        <w:rPr>
          <w:rFonts w:ascii="宋体" w:hAnsi="宋体" w:cs="宋体" w:eastAsia="宋体" w:hint="default"/>
          <w:spacing w:val="-3"/>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年广东省最佳信息系统</w:t>
      </w:r>
      <w:r>
        <w:rPr>
          <w:spacing w:val="-3"/>
        </w:rPr>
        <w:t>集</w:t>
      </w:r>
      <w:r>
        <w:rPr/>
        <w:t>成及服务奖</w:t>
      </w:r>
      <w:r>
        <w:rPr>
          <w:spacing w:val="-92"/>
        </w:rPr>
        <w:t>”</w:t>
      </w:r>
      <w:r>
        <w:rPr>
          <w:spacing w:val="-113"/>
        </w:rPr>
        <w:t>、</w:t>
      </w:r>
      <w:r>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年广州</w:t>
      </w:r>
      <w:r>
        <w:rPr>
          <w:spacing w:val="-3"/>
        </w:rPr>
        <w:t>开</w:t>
      </w:r>
      <w:r>
        <w:rPr/>
        <w:t>发区萝岗区区长质量奖</w:t>
      </w:r>
      <w:r>
        <w:rPr>
          <w:spacing w:val="-22"/>
        </w:rPr>
        <w:t>”</w:t>
      </w:r>
      <w:r>
        <w:rPr/>
        <w:t>等</w:t>
      </w:r>
      <w:r>
        <w:rPr>
          <w:spacing w:val="2"/>
        </w:rPr>
        <w:t>多</w:t>
      </w:r>
      <w:r>
        <w:rPr/>
        <w:t>项</w:t>
      </w:r>
      <w:r>
        <w:rPr/>
        <w:t> 荣誉和资质，外观设计专利《金融终端（</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009</w:t>
      </w:r>
      <w:r>
        <w:rPr>
          <w:spacing w:val="-92"/>
          <w:w w:val="99"/>
        </w:rPr>
        <w:t>）</w:t>
      </w:r>
      <w:r>
        <w:rPr>
          <w:w w:val="99"/>
        </w:rPr>
        <w:t>》荣获“第十七届中国外观设计金奖</w:t>
      </w:r>
      <w:r>
        <w:rPr>
          <w:spacing w:val="-92"/>
          <w:w w:val="99"/>
        </w:rPr>
        <w:t>”</w:t>
      </w:r>
      <w:r>
        <w:rPr>
          <w:w w:val="99"/>
        </w:rPr>
        <w:t>，</w:t>
      </w:r>
      <w:r>
        <w:rPr>
          <w:spacing w:val="2"/>
          <w:w w:val="99"/>
        </w:rPr>
        <w:t>公</w:t>
      </w:r>
      <w:r>
        <w:rPr>
          <w:w w:val="99"/>
        </w:rPr>
        <w:t>司实力得到进一步显现。</w:t>
      </w:r>
      <w:r>
        <w:rPr/>
      </w:r>
    </w:p>
    <w:p>
      <w:pPr>
        <w:spacing w:line="240" w:lineRule="auto" w:before="1"/>
        <w:rPr>
          <w:rFonts w:ascii="宋体" w:hAnsi="宋体" w:cs="宋体" w:eastAsia="宋体" w:hint="default"/>
          <w:sz w:val="13"/>
          <w:szCs w:val="13"/>
        </w:rPr>
      </w:pPr>
    </w:p>
    <w:p>
      <w:pPr>
        <w:pStyle w:val="BodyText"/>
        <w:spacing w:line="297" w:lineRule="auto"/>
        <w:ind w:right="94" w:firstLine="362"/>
        <w:jc w:val="left"/>
      </w:pPr>
      <w:r>
        <w:rPr>
          <w:spacing w:val="-1"/>
        </w:rPr>
        <w:t>报告期内，公司经营业绩稳步增长，实现营业总收入</w:t>
      </w:r>
      <w:r>
        <w:rPr>
          <w:rFonts w:ascii="Times New Roman" w:hAnsi="Times New Roman" w:cs="Times New Roman" w:eastAsia="Times New Roman" w:hint="default"/>
          <w:spacing w:val="-1"/>
        </w:rPr>
        <w:t>397,294.13</w:t>
      </w:r>
      <w:r>
        <w:rPr>
          <w:spacing w:val="-1"/>
        </w:rPr>
        <w:t>万元，同比增长</w:t>
      </w:r>
      <w:r>
        <w:rPr>
          <w:rFonts w:ascii="Times New Roman" w:hAnsi="Times New Roman" w:cs="Times New Roman" w:eastAsia="Times New Roman" w:hint="default"/>
          <w:spacing w:val="-1"/>
        </w:rPr>
        <w:t>26.05%</w:t>
      </w:r>
      <w:r>
        <w:rPr>
          <w:spacing w:val="-1"/>
        </w:rPr>
        <w:t>；实现利润总额</w:t>
      </w:r>
      <w:r>
        <w:rPr>
          <w:rFonts w:ascii="Times New Roman" w:hAnsi="Times New Roman" w:cs="Times New Roman" w:eastAsia="Times New Roman" w:hint="default"/>
          <w:spacing w:val="-1"/>
        </w:rPr>
        <w:t>105,349.96</w:t>
      </w:r>
      <w:r>
        <w:rPr>
          <w:spacing w:val="-1"/>
        </w:rPr>
        <w:t>万元，</w:t>
      </w:r>
      <w:r>
        <w:rPr/>
        <w:t> 同比增长</w:t>
      </w:r>
      <w:r>
        <w:rPr>
          <w:rFonts w:ascii="Times New Roman" w:hAnsi="Times New Roman" w:cs="Times New Roman" w:eastAsia="Times New Roman" w:hint="default"/>
        </w:rPr>
        <w:t>14.90%</w:t>
      </w:r>
      <w:r>
        <w:rPr/>
        <w:t>；实现归属于上市公司股东的净利润</w:t>
      </w:r>
      <w:r>
        <w:rPr>
          <w:rFonts w:ascii="Times New Roman" w:hAnsi="Times New Roman" w:cs="Times New Roman" w:eastAsia="Times New Roman" w:hint="default"/>
        </w:rPr>
        <w:t>89,846.51</w:t>
      </w:r>
      <w:r>
        <w:rPr/>
        <w:t>万元，同比增长</w:t>
      </w:r>
      <w:r>
        <w:rPr>
          <w:rFonts w:ascii="Times New Roman" w:hAnsi="Times New Roman" w:cs="Times New Roman" w:eastAsia="Times New Roman" w:hint="default"/>
        </w:rPr>
        <w:t>11.27%</w:t>
      </w:r>
      <w:r>
        <w:rPr/>
        <w:t>。</w:t>
      </w:r>
    </w:p>
    <w:p>
      <w:pPr>
        <w:spacing w:line="240" w:lineRule="auto" w:before="7"/>
        <w:rPr>
          <w:rFonts w:ascii="宋体" w:hAnsi="宋体" w:cs="宋体" w:eastAsia="宋体" w:hint="default"/>
          <w:sz w:val="20"/>
          <w:szCs w:val="20"/>
        </w:rPr>
      </w:pPr>
    </w:p>
    <w:p>
      <w:pPr>
        <w:pStyle w:val="Heading2"/>
        <w:spacing w:line="240" w:lineRule="auto"/>
        <w:ind w:right="94"/>
        <w:jc w:val="left"/>
        <w:rPr>
          <w:b w:val="0"/>
          <w:bCs w:val="0"/>
        </w:rPr>
      </w:pPr>
      <w:r>
        <w:rPr/>
        <w:t>二、主营业务分析</w:t>
      </w:r>
      <w:r>
        <w:rPr>
          <w:b w:val="0"/>
          <w:bCs w:val="0"/>
        </w:rPr>
      </w:r>
    </w:p>
    <w:p>
      <w:pPr>
        <w:spacing w:line="240" w:lineRule="auto" w:before="9"/>
        <w:rPr>
          <w:rFonts w:ascii="宋体" w:hAnsi="宋体" w:cs="宋体" w:eastAsia="宋体" w:hint="default"/>
          <w:b/>
          <w:bCs/>
          <w:sz w:val="26"/>
          <w:szCs w:val="26"/>
        </w:rPr>
      </w:pPr>
    </w:p>
    <w:p>
      <w:pPr>
        <w:pStyle w:val="BodyText"/>
        <w:spacing w:line="588" w:lineRule="auto"/>
        <w:ind w:left="335" w:right="5131" w:hanging="183"/>
        <w:jc w:val="left"/>
      </w:pP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w w:val="99"/>
        </w:rPr>
        <w:t> </w:t>
      </w:r>
      <w:r>
        <w:rPr/>
        <w:t>参见“管理层讨论与分析”中的“一、概述”相关内容。</w:t>
      </w:r>
    </w:p>
    <w:p>
      <w:pPr>
        <w:pStyle w:val="Heading5"/>
        <w:spacing w:line="240" w:lineRule="auto" w:before="118"/>
        <w:ind w:right="9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29"/>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4D4D4"/>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77" w:footer="982" w:top="1100" w:bottom="1180" w:left="980" w:right="94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3"/>
        <w:gridCol w:w="1599"/>
        <w:gridCol w:w="1588"/>
        <w:gridCol w:w="1602"/>
        <w:gridCol w:w="1588"/>
        <w:gridCol w:w="1597"/>
      </w:tblGrid>
      <w:tr>
        <w:trPr>
          <w:trHeight w:val="408" w:hRule="exact"/>
        </w:trPr>
        <w:tc>
          <w:tcPr>
            <w:tcW w:w="1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9"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3,972,941,256.17</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3,151,910,135.24</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26.05%</w:t>
            </w:r>
          </w:p>
        </w:tc>
      </w:tr>
      <w:tr>
        <w:trPr>
          <w:trHeight w:val="396"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2,988,522,745.61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75.22%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2,521,390,345.47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18.53%</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984,418,510.56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24.78%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630,519,789.77</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20.00%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56.13%</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）货币自动处理 设备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2,541,532,819.71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63.98%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2,230,080,326.89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2,289,828,396.38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57.64%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2,023,022,386.69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64.18%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5"/>
              <w:jc w:val="right"/>
              <w:rPr>
                <w:rFonts w:ascii="Times New Roman" w:hAnsi="Times New Roman" w:cs="Times New Roman" w:eastAsia="Times New Roman" w:hint="default"/>
                <w:sz w:val="20"/>
                <w:szCs w:val="20"/>
              </w:rPr>
            </w:pPr>
            <w:r>
              <w:rPr>
                <w:rFonts w:ascii="Times New Roman"/>
                <w:sz w:val="20"/>
              </w:rPr>
              <w:t>13.19%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center"/>
              <w:rPr>
                <w:rFonts w:ascii="Times New Roman" w:hAnsi="Times New Roman" w:cs="Times New Roman" w:eastAsia="Times New Roman" w:hint="default"/>
                <w:sz w:val="18"/>
                <w:szCs w:val="18"/>
              </w:rPr>
            </w:pPr>
            <w:r>
              <w:rPr>
                <w:rFonts w:ascii="Times New Roman"/>
                <w:sz w:val="18"/>
              </w:rPr>
              <w:t>AFC</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77,713,542.15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25,685,662.49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0"/>
                <w:szCs w:val="20"/>
              </w:rPr>
            </w:pPr>
            <w:r>
              <w:rPr>
                <w:rFonts w:ascii="Times New Roman"/>
                <w:sz w:val="20"/>
              </w:rPr>
              <w:t>202.56%</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173,990,881.18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181,372,277.71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8"/>
              <w:jc w:val="right"/>
              <w:rPr>
                <w:rFonts w:ascii="Times New Roman" w:hAnsi="Times New Roman" w:cs="Times New Roman" w:eastAsia="Times New Roman" w:hint="default"/>
                <w:sz w:val="20"/>
                <w:szCs w:val="20"/>
              </w:rPr>
            </w:pPr>
            <w:r>
              <w:rPr>
                <w:rFonts w:ascii="Times New Roman"/>
                <w:w w:val="95"/>
                <w:sz w:val="20"/>
              </w:rPr>
              <w:t>-4.07%</w:t>
            </w:r>
            <w:r>
              <w:rPr>
                <w:rFonts w:ascii="Times New Roman"/>
                <w:sz w:val="20"/>
              </w:rPr>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417,514,540.23</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10.51%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291,310,018.58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43.32%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营运</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42,597,335.67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35,937,591.67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18.53%</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）设备维护及服 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884,917,575.90</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22.27%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572,393,764.49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18.16%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54.60%</w:t>
            </w:r>
          </w:p>
        </w:tc>
      </w:tr>
      <w:tr>
        <w:trPr>
          <w:trHeight w:val="402"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86,378,984.66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22,188,433.61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289.30%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3,590,276,449.91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90.37%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2,934,524,009.67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22.35%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382,664,806.26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9.63%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217,386,125.57</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76.03%</w:t>
            </w:r>
          </w:p>
        </w:tc>
      </w:tr>
    </w:tbl>
    <w:p>
      <w:pPr>
        <w:spacing w:line="240" w:lineRule="auto" w:before="4"/>
        <w:rPr>
          <w:rFonts w:ascii="宋体" w:hAnsi="宋体" w:cs="宋体" w:eastAsia="宋体" w:hint="default"/>
          <w:sz w:val="20"/>
          <w:szCs w:val="20"/>
        </w:rPr>
      </w:pPr>
    </w:p>
    <w:p>
      <w:pPr>
        <w:pStyle w:val="BodyText"/>
        <w:spacing w:line="240" w:lineRule="auto" w:before="44"/>
        <w:ind w:right="94"/>
        <w:jc w:val="left"/>
      </w:pPr>
      <w:r>
        <w:rPr/>
        <w:t>营业收入情况的说明：</w:t>
      </w:r>
    </w:p>
    <w:p>
      <w:pPr>
        <w:spacing w:line="240" w:lineRule="auto" w:before="0"/>
        <w:rPr>
          <w:rFonts w:ascii="宋体" w:hAnsi="宋体" w:cs="宋体" w:eastAsia="宋体" w:hint="default"/>
          <w:sz w:val="18"/>
          <w:szCs w:val="18"/>
        </w:rPr>
      </w:pPr>
    </w:p>
    <w:p>
      <w:pPr>
        <w:pStyle w:val="BodyText"/>
        <w:spacing w:line="300" w:lineRule="auto" w:before="141"/>
        <w:ind w:right="99" w:firstLine="360"/>
        <w:jc w:val="both"/>
      </w:pPr>
      <w:r>
        <w:rPr>
          <w:spacing w:val="-3"/>
        </w:rPr>
        <w:t>报告期内，公司实现营业收入</w:t>
      </w:r>
      <w:r>
        <w:rPr>
          <w:spacing w:val="-45"/>
        </w:rPr>
        <w:t> </w:t>
      </w:r>
      <w:r>
        <w:rPr>
          <w:rFonts w:ascii="Times New Roman" w:hAnsi="Times New Roman" w:cs="Times New Roman" w:eastAsia="Times New Roman" w:hint="default"/>
        </w:rPr>
        <w:t>397,294.13</w:t>
      </w:r>
      <w:r>
        <w:rPr>
          <w:rFonts w:ascii="Times New Roman" w:hAnsi="Times New Roman" w:cs="Times New Roman" w:eastAsia="Times New Roman" w:hint="default"/>
          <w:spacing w:val="1"/>
        </w:rPr>
        <w:t> </w:t>
      </w:r>
      <w:r>
        <w:rPr>
          <w:spacing w:val="-4"/>
        </w:rPr>
        <w:t>万元，比上年同期的</w:t>
      </w:r>
      <w:r>
        <w:rPr>
          <w:spacing w:val="-47"/>
        </w:rPr>
        <w:t> </w:t>
      </w:r>
      <w:r>
        <w:rPr>
          <w:rFonts w:ascii="Times New Roman" w:hAnsi="Times New Roman" w:cs="Times New Roman" w:eastAsia="Times New Roman" w:hint="default"/>
        </w:rPr>
        <w:t>315,191.01</w:t>
      </w:r>
      <w:r>
        <w:rPr>
          <w:rFonts w:ascii="Times New Roman" w:hAnsi="Times New Roman" w:cs="Times New Roman" w:eastAsia="Times New Roman" w:hint="default"/>
          <w:spacing w:val="1"/>
        </w:rPr>
        <w:t> </w:t>
      </w:r>
      <w:r>
        <w:rPr/>
        <w:t>万元增加</w:t>
      </w:r>
      <w:r>
        <w:rPr>
          <w:spacing w:val="-45"/>
        </w:rPr>
        <w:t> </w:t>
      </w:r>
      <w:r>
        <w:rPr>
          <w:rFonts w:ascii="Times New Roman" w:hAnsi="Times New Roman" w:cs="Times New Roman" w:eastAsia="Times New Roman" w:hint="default"/>
        </w:rPr>
        <w:t>82,103.</w:t>
      </w:r>
      <w:bookmarkStart w:name="营业收入情况的说明：" w:id="30"/>
      <w:bookmarkEnd w:id="30"/>
      <w:r>
        <w:rPr>
          <w:rFonts w:ascii="Times New Roman" w:hAnsi="Times New Roman" w:cs="Times New Roman" w:eastAsia="Times New Roman" w:hint="default"/>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8"/>
        </w:rPr>
        <w:t>万元，增长</w:t>
      </w:r>
      <w:r>
        <w:rPr>
          <w:spacing w:val="-45"/>
        </w:rPr>
        <w:t> </w:t>
      </w:r>
      <w:r>
        <w:rPr>
          <w:rFonts w:ascii="Times New Roman" w:hAnsi="Times New Roman" w:cs="Times New Roman" w:eastAsia="Times New Roman" w:hint="default"/>
          <w:spacing w:val="-4"/>
        </w:rPr>
        <w:t>26.05%</w:t>
      </w:r>
      <w:r>
        <w:rPr>
          <w:spacing w:val="-4"/>
        </w:rPr>
        <w:t>，其中：</w:t>
      </w:r>
      <w:r>
        <w:rPr/>
        <w:t> 货币自动处理设备营业收入</w:t>
      </w:r>
      <w:r>
        <w:rPr>
          <w:spacing w:val="-48"/>
        </w:rPr>
        <w:t> </w:t>
      </w:r>
      <w:r>
        <w:rPr>
          <w:rFonts w:ascii="Times New Roman" w:hAnsi="Times New Roman" w:cs="Times New Roman" w:eastAsia="Times New Roman" w:hint="default"/>
        </w:rPr>
        <w:t>254,153.28</w:t>
      </w:r>
      <w:r>
        <w:rPr>
          <w:rFonts w:ascii="Times New Roman" w:hAnsi="Times New Roman" w:cs="Times New Roman" w:eastAsia="Times New Roman" w:hint="default"/>
          <w:spacing w:val="-2"/>
        </w:rPr>
        <w:t> </w:t>
      </w:r>
      <w:r>
        <w:rPr/>
        <w:t>万元，比上年同期增长</w:t>
      </w:r>
      <w:r>
        <w:rPr>
          <w:spacing w:val="-48"/>
        </w:rPr>
        <w:t> </w:t>
      </w:r>
      <w:r>
        <w:rPr>
          <w:rFonts w:ascii="Times New Roman" w:hAnsi="Times New Roman" w:cs="Times New Roman" w:eastAsia="Times New Roman" w:hint="default"/>
        </w:rPr>
        <w:t>13.97%</w:t>
      </w:r>
      <w:r>
        <w:rPr/>
        <w:t>。</w:t>
      </w:r>
    </w:p>
    <w:p>
      <w:pPr>
        <w:pStyle w:val="BodyText"/>
        <w:spacing w:line="300" w:lineRule="auto" w:before="51"/>
        <w:ind w:right="193" w:firstLine="360"/>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ATM </w:t>
      </w:r>
      <w:r>
        <w:rPr/>
        <w:t>设备营业收入 </w:t>
      </w:r>
      <w:r>
        <w:rPr>
          <w:rFonts w:ascii="Times New Roman" w:hAnsi="Times New Roman" w:cs="Times New Roman" w:eastAsia="Times New Roman" w:hint="default"/>
        </w:rPr>
        <w:t>228,982.84 </w:t>
      </w:r>
      <w:r>
        <w:rPr/>
        <w:t>万元，比上年同期增长</w:t>
      </w:r>
      <w:r>
        <w:rPr>
          <w:spacing w:val="-28"/>
        </w:rPr>
        <w:t> </w:t>
      </w:r>
      <w:r>
        <w:rPr>
          <w:rFonts w:ascii="Times New Roman" w:hAnsi="Times New Roman" w:cs="Times New Roman" w:eastAsia="Times New Roman" w:hint="default"/>
        </w:rPr>
        <w:t>13.19%</w:t>
      </w:r>
      <w:r>
        <w:rPr/>
        <w:t>，主要是金融设备国产化，公司在行业内的市场销 售稳步提升，在中行、邮政邮储、交行、建行、农行及农信、商行、股份制银行等获得批量采购合同，国内市场</w:t>
      </w:r>
      <w:r>
        <w:rPr>
          <w:spacing w:val="-52"/>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6"/>
        </w:rPr>
        <w:t> </w:t>
      </w:r>
      <w:r>
        <w:rPr/>
        <w:t>销售 再创新高；海外部分重点区域市场取得突破，海外业务销售大幅增长。</w:t>
      </w:r>
    </w:p>
    <w:p>
      <w:pPr>
        <w:pStyle w:val="BodyText"/>
        <w:spacing w:line="240" w:lineRule="auto" w:before="72"/>
        <w:ind w:left="512" w:right="91"/>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设备营业收入</w:t>
      </w:r>
      <w:r>
        <w:rPr>
          <w:spacing w:val="-47"/>
        </w:rPr>
        <w:t> </w:t>
      </w:r>
      <w:r>
        <w:rPr>
          <w:rFonts w:ascii="Times New Roman" w:hAnsi="Times New Roman" w:cs="Times New Roman" w:eastAsia="Times New Roman" w:hint="default"/>
        </w:rPr>
        <w:t>7,771.35</w:t>
      </w:r>
      <w:r>
        <w:rPr>
          <w:rFonts w:ascii="Times New Roman" w:hAnsi="Times New Roman" w:cs="Times New Roman" w:eastAsia="Times New Roman" w:hint="default"/>
          <w:spacing w:val="-1"/>
        </w:rPr>
        <w:t> </w:t>
      </w:r>
      <w:r>
        <w:rPr/>
        <w:t>万元，比上年同期增长</w:t>
      </w:r>
      <w:r>
        <w:rPr>
          <w:spacing w:val="-49"/>
        </w:rPr>
        <w:t> </w:t>
      </w:r>
      <w:r>
        <w:rPr>
          <w:rFonts w:ascii="Times New Roman" w:hAnsi="Times New Roman" w:cs="Times New Roman" w:eastAsia="Times New Roman" w:hint="default"/>
        </w:rPr>
        <w:t>202.56%</w:t>
      </w:r>
      <w:r>
        <w:rPr/>
        <w:t>，主要是公司</w:t>
      </w:r>
      <w:r>
        <w:rPr>
          <w:spacing w:val="-47"/>
        </w:rPr>
        <w:t> </w:t>
      </w:r>
      <w:r>
        <w:rPr>
          <w:rFonts w:ascii="Times New Roman" w:hAnsi="Times New Roman" w:cs="Times New Roman" w:eastAsia="Times New Roman" w:hint="default"/>
        </w:rPr>
        <w:t>AFC</w:t>
      </w:r>
      <w:r>
        <w:rPr>
          <w:rFonts w:ascii="Times New Roman" w:hAnsi="Times New Roman" w:cs="Times New Roman" w:eastAsia="Times New Roman" w:hint="default"/>
          <w:spacing w:val="-2"/>
        </w:rPr>
        <w:t> </w:t>
      </w:r>
      <w:r>
        <w:rPr/>
        <w:t>产品在地铁、高铁领域销售良好。</w:t>
      </w:r>
    </w:p>
    <w:p>
      <w:pPr>
        <w:pStyle w:val="BodyText"/>
        <w:spacing w:line="300" w:lineRule="auto" w:before="103"/>
        <w:ind w:right="193" w:firstLine="360"/>
        <w:jc w:val="both"/>
      </w:pPr>
      <w:r>
        <w:rPr/>
        <w:t>（</w:t>
      </w:r>
      <w:r>
        <w:rPr>
          <w:rFonts w:ascii="Times New Roman" w:hAnsi="Times New Roman" w:cs="Times New Roman" w:eastAsia="Times New Roman" w:hint="default"/>
        </w:rPr>
        <w:t>3</w:t>
      </w:r>
      <w:r>
        <w:rPr/>
        <w:t>）清分机营业收入</w:t>
      </w:r>
      <w:r>
        <w:rPr>
          <w:spacing w:val="-64"/>
        </w:rPr>
        <w:t> </w:t>
      </w:r>
      <w:r>
        <w:rPr>
          <w:rFonts w:ascii="Times New Roman" w:hAnsi="Times New Roman" w:cs="Times New Roman" w:eastAsia="Times New Roman" w:hint="default"/>
        </w:rPr>
        <w:t>17,399.09</w:t>
      </w:r>
      <w:r>
        <w:rPr>
          <w:rFonts w:ascii="Times New Roman" w:hAnsi="Times New Roman" w:cs="Times New Roman" w:eastAsia="Times New Roman" w:hint="default"/>
          <w:spacing w:val="-17"/>
        </w:rPr>
        <w:t> </w:t>
      </w:r>
      <w:r>
        <w:rPr/>
        <w:t>万元，比上年同期减少</w:t>
      </w:r>
      <w:r>
        <w:rPr>
          <w:spacing w:val="-64"/>
        </w:rPr>
        <w:t> </w:t>
      </w:r>
      <w:r>
        <w:rPr>
          <w:rFonts w:ascii="Times New Roman" w:hAnsi="Times New Roman" w:cs="Times New Roman" w:eastAsia="Times New Roman" w:hint="default"/>
        </w:rPr>
        <w:t>4.07%</w:t>
      </w:r>
      <w:r>
        <w:rPr/>
        <w:t>，主要是受新版人民币升级延迟采购、总行入围采购工作 延迟等因素的影响。</w:t>
      </w:r>
    </w:p>
    <w:p>
      <w:pPr>
        <w:pStyle w:val="BodyText"/>
        <w:spacing w:line="300" w:lineRule="auto" w:before="70"/>
        <w:ind w:right="193" w:firstLine="360"/>
        <w:jc w:val="both"/>
      </w:pPr>
      <w:r>
        <w:rPr/>
        <w:t>（</w:t>
      </w:r>
      <w:r>
        <w:rPr>
          <w:rFonts w:ascii="Times New Roman" w:hAnsi="Times New Roman" w:cs="Times New Roman" w:eastAsia="Times New Roman" w:hint="default"/>
        </w:rPr>
        <w:t>4</w:t>
      </w:r>
      <w:r>
        <w:rPr/>
        <w:t>）设备配件营业收入 </w:t>
      </w:r>
      <w:r>
        <w:rPr>
          <w:rFonts w:ascii="Times New Roman" w:hAnsi="Times New Roman" w:cs="Times New Roman" w:eastAsia="Times New Roman" w:hint="default"/>
        </w:rPr>
        <w:t>41,751.45 </w:t>
      </w:r>
      <w:r>
        <w:rPr/>
        <w:t>万元，比上年同期增长</w:t>
      </w:r>
      <w:r>
        <w:rPr>
          <w:spacing w:val="-60"/>
        </w:rPr>
        <w:t> </w:t>
      </w:r>
      <w:r>
        <w:rPr>
          <w:rFonts w:ascii="Times New Roman" w:hAnsi="Times New Roman" w:cs="Times New Roman" w:eastAsia="Times New Roman" w:hint="default"/>
        </w:rPr>
        <w:t>43.32%</w:t>
      </w:r>
      <w:r>
        <w:rPr/>
        <w:t>，主要是随着货币自动处理设备投放数量的持续增加 及设备维护的加强，设备配件销售增加所致。</w:t>
      </w:r>
    </w:p>
    <w:p>
      <w:pPr>
        <w:pStyle w:val="BodyText"/>
        <w:spacing w:line="240" w:lineRule="auto" w:before="72"/>
        <w:ind w:left="512" w:right="94"/>
        <w:jc w:val="left"/>
      </w:pPr>
      <w:r>
        <w:rPr>
          <w:spacing w:val="-4"/>
        </w:rPr>
        <w:t>（</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ATM</w:t>
      </w:r>
      <w:r>
        <w:rPr>
          <w:rFonts w:ascii="Times New Roman" w:hAnsi="Times New Roman" w:cs="Times New Roman" w:eastAsia="Times New Roman" w:hint="default"/>
        </w:rPr>
        <w:t> </w:t>
      </w:r>
      <w:r>
        <w:rPr/>
        <w:t>营运营业收入</w:t>
      </w:r>
      <w:r>
        <w:rPr>
          <w:spacing w:val="-46"/>
        </w:rPr>
        <w:t> </w:t>
      </w:r>
      <w:r>
        <w:rPr>
          <w:rFonts w:ascii="Times New Roman" w:hAnsi="Times New Roman" w:cs="Times New Roman" w:eastAsia="Times New Roman" w:hint="default"/>
        </w:rPr>
        <w:t>4,259.73 </w:t>
      </w:r>
      <w:r>
        <w:rPr/>
        <w:t>万元，比上年同期增长</w:t>
      </w:r>
      <w:r>
        <w:rPr>
          <w:spacing w:val="-48"/>
        </w:rPr>
        <w:t> </w:t>
      </w:r>
      <w:r>
        <w:rPr>
          <w:rFonts w:ascii="Times New Roman" w:hAnsi="Times New Roman" w:cs="Times New Roman" w:eastAsia="Times New Roman" w:hint="default"/>
        </w:rPr>
        <w:t>18.53%</w:t>
      </w:r>
      <w:r>
        <w:rPr/>
        <w:t>，主要是合作运营</w:t>
      </w:r>
      <w:r>
        <w:rPr>
          <w:spacing w:val="-46"/>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rPr>
        <w:t> </w:t>
      </w:r>
      <w:r>
        <w:rPr/>
        <w:t>机的数量增加。</w:t>
      </w:r>
    </w:p>
    <w:p>
      <w:pPr>
        <w:pStyle w:val="BodyText"/>
        <w:spacing w:line="300" w:lineRule="auto" w:before="103"/>
        <w:ind w:right="191" w:firstLine="360"/>
        <w:jc w:val="both"/>
      </w:pPr>
      <w:r>
        <w:rPr/>
        <w:t>（</w:t>
      </w:r>
      <w:r>
        <w:rPr>
          <w:rFonts w:ascii="Times New Roman" w:hAnsi="Times New Roman" w:cs="Times New Roman" w:eastAsia="Times New Roman" w:hint="default"/>
        </w:rPr>
        <w:t>6</w:t>
      </w:r>
      <w:r>
        <w:rPr/>
        <w:t>）设备维护及服务营业收入 </w:t>
      </w:r>
      <w:r>
        <w:rPr>
          <w:rFonts w:ascii="Times New Roman" w:hAnsi="Times New Roman" w:cs="Times New Roman" w:eastAsia="Times New Roman" w:hint="default"/>
        </w:rPr>
        <w:t>88,491.76 </w:t>
      </w:r>
      <w:r>
        <w:rPr/>
        <w:t>万元，比上年同期增长</w:t>
      </w:r>
      <w:r>
        <w:rPr>
          <w:spacing w:val="-60"/>
        </w:rPr>
        <w:t> </w:t>
      </w:r>
      <w:r>
        <w:rPr>
          <w:rFonts w:ascii="Times New Roman" w:hAnsi="Times New Roman" w:cs="Times New Roman" w:eastAsia="Times New Roman" w:hint="default"/>
        </w:rPr>
        <w:t>54.60%</w:t>
      </w:r>
      <w:r>
        <w:rPr/>
        <w:t>，主要是深圳银通设备维护规模再上台阶，设 </w:t>
      </w:r>
      <w:r>
        <w:rPr>
          <w:spacing w:val="-2"/>
        </w:rPr>
        <w:t>备维护网络不断扩大，至报告期末，设备维护网点已达</w:t>
      </w:r>
      <w:r>
        <w:rPr>
          <w:spacing w:val="-35"/>
        </w:rPr>
        <w:t> </w:t>
      </w:r>
      <w:r>
        <w:rPr>
          <w:rFonts w:ascii="Times New Roman" w:hAnsi="Times New Roman" w:cs="Times New Roman" w:eastAsia="Times New Roman" w:hint="default"/>
        </w:rPr>
        <w:t>809</w:t>
      </w:r>
      <w:r>
        <w:rPr>
          <w:rFonts w:ascii="Times New Roman" w:hAnsi="Times New Roman" w:cs="Times New Roman" w:eastAsia="Times New Roman" w:hint="default"/>
          <w:spacing w:val="8"/>
        </w:rPr>
        <w:t> </w:t>
      </w:r>
      <w:r>
        <w:rPr>
          <w:spacing w:val="-2"/>
        </w:rPr>
        <w:t>个，与此同时，深圳银通及其子公司开展的金融外包服务业务发</w:t>
      </w:r>
      <w:r>
        <w:rPr>
          <w:spacing w:val="-88"/>
        </w:rPr>
        <w:t> </w:t>
      </w:r>
      <w:r>
        <w:rPr>
          <w:spacing w:val="-88"/>
        </w:rPr>
      </w:r>
      <w:r>
        <w:rPr/>
        <w:t>展迅速，金融武装押运业务的全国布局实现快速增长。</w:t>
      </w:r>
    </w:p>
    <w:p>
      <w:pPr>
        <w:pStyle w:val="BodyText"/>
        <w:spacing w:line="300" w:lineRule="auto" w:before="70"/>
        <w:ind w:right="191" w:firstLine="360"/>
        <w:jc w:val="both"/>
      </w:pPr>
      <w:r>
        <w:rPr/>
        <w:t>（</w:t>
      </w:r>
      <w:r>
        <w:rPr>
          <w:rFonts w:ascii="Times New Roman" w:hAnsi="Times New Roman" w:cs="Times New Roman" w:eastAsia="Times New Roman" w:hint="default"/>
        </w:rPr>
        <w:t>7</w:t>
      </w:r>
      <w:r>
        <w:rPr/>
        <w:t>）其他营业收入</w:t>
      </w:r>
      <w:r>
        <w:rPr>
          <w:spacing w:val="-55"/>
        </w:rPr>
        <w:t> </w:t>
      </w:r>
      <w:r>
        <w:rPr>
          <w:rFonts w:ascii="Times New Roman" w:hAnsi="Times New Roman" w:cs="Times New Roman" w:eastAsia="Times New Roman" w:hint="default"/>
        </w:rPr>
        <w:t>8,637.90</w:t>
      </w:r>
      <w:r>
        <w:rPr>
          <w:rFonts w:ascii="Times New Roman" w:hAnsi="Times New Roman" w:cs="Times New Roman" w:eastAsia="Times New Roman" w:hint="default"/>
          <w:spacing w:val="-9"/>
        </w:rPr>
        <w:t> </w:t>
      </w:r>
      <w:r>
        <w:rPr/>
        <w:t>万元，比上年同期增长</w:t>
      </w:r>
      <w:r>
        <w:rPr>
          <w:spacing w:val="-55"/>
        </w:rPr>
        <w:t> </w:t>
      </w:r>
      <w:r>
        <w:rPr>
          <w:rFonts w:ascii="Times New Roman" w:hAnsi="Times New Roman" w:cs="Times New Roman" w:eastAsia="Times New Roman" w:hint="default"/>
        </w:rPr>
        <w:t>289.30%</w:t>
      </w:r>
      <w:r>
        <w:rPr/>
        <w:t>，主要是金融</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外包服务业务及通过并购切入读卡器领域 带来的收入增长。</w:t>
      </w:r>
    </w:p>
    <w:p>
      <w:pPr>
        <w:pStyle w:val="BodyText"/>
        <w:spacing w:line="240" w:lineRule="auto" w:before="113"/>
        <w:ind w:right="94"/>
        <w:jc w:val="left"/>
      </w:pPr>
      <w:r>
        <w:rPr/>
        <w:t>主营业务收入地区分类情况的说明：</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44" w:firstLine="360"/>
        <w:jc w:val="left"/>
      </w:pPr>
      <w:bookmarkStart w:name="（3）公司实物销售收入是否大于劳务收入" w:id="31"/>
      <w:bookmarkEnd w:id="31"/>
      <w:r>
        <w:rPr/>
      </w:r>
      <w:r>
        <w:rPr>
          <w:spacing w:val="-1"/>
        </w:rPr>
        <w:t>（</w:t>
      </w:r>
      <w:r>
        <w:rPr>
          <w:rFonts w:ascii="Times New Roman" w:hAnsi="Times New Roman" w:cs="Times New Roman" w:eastAsia="Times New Roman" w:hint="default"/>
          <w:spacing w:val="-1"/>
        </w:rPr>
        <w:t>1</w:t>
      </w:r>
      <w:r>
        <w:rPr>
          <w:spacing w:val="-1"/>
        </w:rPr>
        <w:t>）国内市场发展势头良好，主营业务收入保持稳定增长，比上年同期增长</w:t>
      </w:r>
      <w:r>
        <w:rPr>
          <w:spacing w:val="-29"/>
        </w:rPr>
        <w:t> </w:t>
      </w:r>
      <w:r>
        <w:rPr>
          <w:rFonts w:ascii="Times New Roman" w:hAnsi="Times New Roman" w:cs="Times New Roman" w:eastAsia="Times New Roman" w:hint="default"/>
          <w:spacing w:val="-2"/>
        </w:rPr>
        <w:t>22.35%</w:t>
      </w:r>
      <w:r>
        <w:rPr>
          <w:spacing w:val="-2"/>
        </w:rPr>
        <w:t>，主要是货币自动处理设备、服务</w:t>
      </w:r>
      <w:r>
        <w:rPr/>
        <w:t> 收入及设备配件带来的增长。</w:t>
      </w:r>
    </w:p>
    <w:p>
      <w:pPr>
        <w:pStyle w:val="BodyText"/>
        <w:spacing w:line="300" w:lineRule="auto" w:before="72"/>
        <w:ind w:right="144" w:firstLine="362"/>
        <w:jc w:val="left"/>
      </w:pPr>
      <w:r>
        <w:rPr>
          <w:spacing w:val="-2"/>
        </w:rPr>
        <w:t>（</w:t>
      </w:r>
      <w:r>
        <w:rPr>
          <w:rFonts w:ascii="Times New Roman" w:hAnsi="Times New Roman" w:cs="Times New Roman" w:eastAsia="Times New Roman" w:hint="default"/>
          <w:spacing w:val="-2"/>
        </w:rPr>
        <w:t>2</w:t>
      </w:r>
      <w:r>
        <w:rPr>
          <w:spacing w:val="-2"/>
        </w:rPr>
        <w:t>）国外市场营业收入比上年同期增长</w:t>
      </w:r>
      <w:r>
        <w:rPr>
          <w:spacing w:val="-34"/>
        </w:rPr>
        <w:t> </w:t>
      </w:r>
      <w:r>
        <w:rPr>
          <w:rFonts w:ascii="Times New Roman" w:hAnsi="Times New Roman" w:cs="Times New Roman" w:eastAsia="Times New Roman" w:hint="default"/>
          <w:spacing w:val="-1"/>
        </w:rPr>
        <w:t>76.03%</w:t>
      </w:r>
      <w:r>
        <w:rPr>
          <w:spacing w:val="-1"/>
        </w:rPr>
        <w:t>，主要是实现亚太区、中东区等部分重点区域市场突破和设备配件销售</w:t>
      </w:r>
      <w:r>
        <w:rPr/>
        <w:t> 收入的增加。</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）占公司营</w:t>
      </w:r>
      <w:bookmarkStart w:name="（2）占公司营业收入或营业利润10%以上的行业、产品或地区情况" w:id="32"/>
      <w:bookmarkEnd w:id="32"/>
      <w:r>
        <w:rPr/>
        <w:t>业收入</w:t>
      </w:r>
      <w:r>
        <w:rPr/>
        <w:t>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8"/>
        <w:gridCol w:w="1560"/>
        <w:gridCol w:w="931"/>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2,988,522,745.61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1,417,186,921.48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984,418,510.56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482,175,206.06</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3,972,941,256.17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1,899,362,127.54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69" w:firstLine="9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 处理设备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2,541,532,819.71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1,215,216,310.24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ATM</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2,289,828,396.38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1,040,016,408.31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AFC</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77,713,542.15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46,150,337.95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202.56%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158.21%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173,990,881.18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129,049,563.98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25.83%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26.54%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-17.94%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417,514,540.23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188,896,495.11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5"/>
                <w:sz w:val="18"/>
                <w:szCs w:val="18"/>
              </w:rPr>
              <w:t>）</w:t>
            </w:r>
            <w:r>
              <w:rPr>
                <w:rFonts w:ascii="Times New Roman" w:hAnsi="Times New Roman" w:cs="Times New Roman" w:eastAsia="Times New Roman" w:hint="default"/>
                <w:spacing w:val="-22"/>
                <w:w w:val="99"/>
                <w:sz w:val="18"/>
                <w:szCs w:val="18"/>
              </w:rPr>
              <w:t>A</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42,597,335.67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27,683,900.29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35.01%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18.53%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10.48%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）设备维护</w:t>
            </w:r>
            <w:r>
              <w:rPr>
                <w:rFonts w:ascii="宋体" w:hAnsi="宋体" w:cs="宋体" w:eastAsia="宋体" w:hint="default"/>
                <w:sz w:val="18"/>
                <w:szCs w:val="18"/>
              </w:rPr>
              <w:t> 及服务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884,917,575.90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3" w:right="0"/>
              <w:jc w:val="left"/>
              <w:rPr>
                <w:rFonts w:ascii="Times New Roman" w:hAnsi="Times New Roman" w:cs="Times New Roman" w:eastAsia="Times New Roman" w:hint="default"/>
                <w:sz w:val="18"/>
                <w:szCs w:val="18"/>
              </w:rPr>
            </w:pPr>
            <w:r>
              <w:rPr>
                <w:rFonts w:ascii="Times New Roman"/>
                <w:sz w:val="18"/>
              </w:rPr>
              <w:t>422,300,240.47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52.28%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72.38%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86,378,984.66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45,265,181.43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47.60%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289.30%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234.35%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3,972,941,256.17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1,899,362,127.54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33.36%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3,590,276,449.91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1,689,569,571.73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382,664,806.26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209,792,555.81</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3,972,941,256.17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1,899,362,127.54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-2.62%</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7"/>
        <w:gridCol w:w="1592"/>
        <w:gridCol w:w="1594"/>
        <w:gridCol w:w="1596"/>
        <w:gridCol w:w="1594"/>
        <w:gridCol w:w="1594"/>
      </w:tblGrid>
      <w:tr>
        <w:trPr>
          <w:trHeight w:val="401" w:hRule="exact"/>
        </w:trPr>
        <w:tc>
          <w:tcPr>
            <w:tcW w:w="15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货币自动处理设备</w:t>
            </w: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25.13%</w:t>
            </w:r>
          </w:p>
        </w:tc>
      </w:tr>
      <w:tr>
        <w:trPr>
          <w:trHeight w:val="403" w:hRule="exact"/>
        </w:trPr>
        <w:tc>
          <w:tcPr>
            <w:tcW w:w="1597" w:type="dxa"/>
            <w:vMerge/>
            <w:tcBorders>
              <w:left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3"/>
                <w:w w:val="95"/>
                <w:sz w:val="18"/>
              </w:rPr>
              <w:t>43,111</w:t>
            </w:r>
            <w:r>
              <w:rPr>
                <w:rFonts w:ascii="Times New Roman"/>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8.88%</w:t>
            </w:r>
          </w:p>
        </w:tc>
      </w:tr>
      <w:tr>
        <w:trPr>
          <w:trHeight w:val="403" w:hRule="exact"/>
        </w:trPr>
        <w:tc>
          <w:tcPr>
            <w:tcW w:w="1597"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30.70%</w:t>
            </w:r>
          </w:p>
        </w:tc>
      </w:tr>
    </w:tbl>
    <w:p>
      <w:pPr>
        <w:pStyle w:val="BodyText"/>
        <w:spacing w:line="240" w:lineRule="auto" w:before="49"/>
        <w:ind w:right="222"/>
        <w:jc w:val="left"/>
      </w:pPr>
      <w:bookmarkStart w:name="（5）营业成本构成" w:id="33"/>
      <w:bookmarkEnd w:id="33"/>
      <w:r>
        <w:rPr/>
      </w: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40" w:lineRule="auto" w:before="101"/>
        <w:ind w:left="512" w:right="2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报告期末公司货币自动处理设备期末库存数量为</w:t>
      </w:r>
      <w:r>
        <w:rPr>
          <w:rFonts w:ascii="Times New Roman" w:hAnsi="Times New Roman" w:cs="Times New Roman" w:eastAsia="Times New Roman" w:hint="default"/>
          <w:spacing w:val="-1"/>
        </w:rPr>
        <w:t>40,510</w:t>
      </w:r>
      <w:r>
        <w:rPr>
          <w:spacing w:val="-1"/>
        </w:rPr>
        <w:t>台，同比上年增长</w:t>
      </w:r>
      <w:r>
        <w:rPr>
          <w:rFonts w:ascii="Times New Roman" w:hAnsi="Times New Roman" w:cs="Times New Roman" w:eastAsia="Times New Roman" w:hint="default"/>
          <w:spacing w:val="-1"/>
        </w:rPr>
        <w:t>30.70%</w:t>
      </w:r>
      <w:r>
        <w:rPr>
          <w:spacing w:val="-1"/>
        </w:rPr>
        <w:t>，主要是根据市场订单和行业特点所做</w:t>
      </w:r>
    </w:p>
    <w:p>
      <w:pPr>
        <w:pStyle w:val="BodyText"/>
        <w:spacing w:line="228" w:lineRule="exact"/>
        <w:ind w:right="222"/>
        <w:jc w:val="left"/>
      </w:pPr>
      <w:r>
        <w:rPr/>
        <w:t>的正常储备及发出商品增加所致。公司</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年最近三年的存货期末余额分别为</w:t>
      </w:r>
      <w:r>
        <w:rPr>
          <w:rFonts w:ascii="Times New Roman" w:hAnsi="Times New Roman" w:cs="Times New Roman" w:eastAsia="Times New Roman" w:hint="default"/>
        </w:rPr>
        <w:t>117,084.25</w:t>
      </w:r>
      <w:r>
        <w:rPr/>
        <w:t>万元、</w:t>
      </w:r>
      <w:r>
        <w:rPr>
          <w:rFonts w:ascii="Times New Roman" w:hAnsi="Times New Roman" w:cs="Times New Roman" w:eastAsia="Times New Roman" w:hint="default"/>
        </w:rPr>
        <w:t>178,553.80</w:t>
      </w:r>
      <w:r>
        <w:rPr/>
        <w:t>万元和</w:t>
      </w:r>
    </w:p>
    <w:p>
      <w:pPr>
        <w:pStyle w:val="BodyText"/>
        <w:spacing w:line="300" w:lineRule="auto" w:before="62"/>
        <w:ind w:right="222"/>
        <w:jc w:val="left"/>
      </w:pPr>
      <w:r>
        <w:rPr>
          <w:rFonts w:ascii="Times New Roman" w:hAnsi="Times New Roman" w:cs="Times New Roman" w:eastAsia="Times New Roman" w:hint="default"/>
          <w:spacing w:val="-1"/>
        </w:rPr>
        <w:t>214,349.80</w:t>
      </w:r>
      <w:r>
        <w:rPr>
          <w:spacing w:val="-1"/>
        </w:rPr>
        <w:t>万元，占资产总额的比重分别为</w:t>
      </w:r>
      <w:r>
        <w:rPr>
          <w:rFonts w:ascii="Times New Roman" w:hAnsi="Times New Roman" w:cs="Times New Roman" w:eastAsia="Times New Roman" w:hint="default"/>
          <w:spacing w:val="-1"/>
        </w:rPr>
        <w:t>23.14%</w:t>
      </w:r>
      <w:r>
        <w:rPr>
          <w:spacing w:val="-1"/>
        </w:rPr>
        <w:t>、</w:t>
      </w:r>
      <w:r>
        <w:rPr>
          <w:rFonts w:ascii="Times New Roman" w:hAnsi="Times New Roman" w:cs="Times New Roman" w:eastAsia="Times New Roman" w:hint="default"/>
          <w:spacing w:val="-1"/>
        </w:rPr>
        <w:t>26.87%</w:t>
      </w:r>
      <w:r>
        <w:rPr>
          <w:spacing w:val="-1"/>
        </w:rPr>
        <w:t>和</w:t>
      </w:r>
      <w:r>
        <w:rPr>
          <w:rFonts w:ascii="Times New Roman" w:hAnsi="Times New Roman" w:cs="Times New Roman" w:eastAsia="Times New Roman" w:hint="default"/>
          <w:spacing w:val="-1"/>
        </w:rPr>
        <w:t>27.84%</w:t>
      </w:r>
      <w:r>
        <w:rPr>
          <w:spacing w:val="-1"/>
        </w:rPr>
        <w:t>，随着公司业务规模的不断扩大，存货余额也呈逐年上</w:t>
      </w:r>
      <w:r>
        <w:rPr>
          <w:spacing w:val="-73"/>
        </w:rPr>
        <w:t> </w:t>
      </w:r>
      <w:r>
        <w:rPr>
          <w:spacing w:val="-73"/>
        </w:rPr>
      </w:r>
      <w:r>
        <w:rPr/>
        <w:t>升的趋势。其中库存商品是公司存货的主要构成部分，主要包括</w:t>
      </w:r>
      <w:r>
        <w:rPr>
          <w:rFonts w:ascii="Times New Roman" w:hAnsi="Times New Roman" w:cs="Times New Roman" w:eastAsia="Times New Roman" w:hint="default"/>
        </w:rPr>
        <w:t>ATM</w:t>
      </w:r>
      <w:r>
        <w:rPr/>
        <w:t>、</w:t>
      </w:r>
      <w:r>
        <w:rPr>
          <w:rFonts w:ascii="Times New Roman" w:hAnsi="Times New Roman" w:cs="Times New Roman" w:eastAsia="Times New Roman" w:hint="default"/>
        </w:rPr>
        <w:t>AFC</w:t>
      </w:r>
      <w:r>
        <w:rPr/>
        <w:t>以及清分机等产成品，最近三年期末库存商品 占存货账面余额的比重分别为</w:t>
      </w:r>
      <w:r>
        <w:rPr>
          <w:rFonts w:ascii="Times New Roman" w:hAnsi="Times New Roman" w:cs="Times New Roman" w:eastAsia="Times New Roman" w:hint="default"/>
        </w:rPr>
        <w:t>70.61%</w:t>
      </w:r>
      <w:r>
        <w:rPr/>
        <w:t>、</w:t>
      </w:r>
      <w:r>
        <w:rPr>
          <w:rFonts w:ascii="Times New Roman" w:hAnsi="Times New Roman" w:cs="Times New Roman" w:eastAsia="Times New Roman" w:hint="default"/>
        </w:rPr>
        <w:t>73.04%</w:t>
      </w:r>
      <w:r>
        <w:rPr/>
        <w:t>和</w:t>
      </w:r>
      <w:r>
        <w:rPr>
          <w:rFonts w:ascii="Times New Roman" w:hAnsi="Times New Roman" w:cs="Times New Roman" w:eastAsia="Times New Roman" w:hint="default"/>
        </w:rPr>
        <w:t>79.69%</w:t>
      </w:r>
      <w:r>
        <w:rPr/>
        <w:t>，占比较高。公司在本报告期末对存货进行减值测试，发现库存商 品中清分机的个别产品成本大于产品的销售价格存在减值迹象，已按单个存货项目计提存货减值准备</w:t>
      </w:r>
      <w:r>
        <w:rPr>
          <w:rFonts w:ascii="Times New Roman" w:hAnsi="Times New Roman" w:cs="Times New Roman" w:eastAsia="Times New Roman" w:hint="default"/>
        </w:rPr>
        <w:t>987.96</w:t>
      </w:r>
      <w:r>
        <w:rPr/>
        <w:t>万元。</w:t>
      </w:r>
    </w:p>
    <w:p>
      <w:pPr>
        <w:spacing w:line="240" w:lineRule="auto" w:before="12"/>
        <w:rPr>
          <w:rFonts w:ascii="宋体" w:hAnsi="宋体" w:cs="宋体" w:eastAsia="宋体" w:hint="default"/>
          <w:sz w:val="23"/>
          <w:szCs w:val="23"/>
        </w:rPr>
      </w:pPr>
    </w:p>
    <w:p>
      <w:pPr>
        <w:pStyle w:val="Heading5"/>
        <w:spacing w:line="240" w:lineRule="auto"/>
        <w:ind w:right="222"/>
        <w:jc w:val="left"/>
        <w:rPr>
          <w:b w:val="0"/>
          <w:bCs w:val="0"/>
        </w:rPr>
      </w:pPr>
      <w:r>
        <w:rPr/>
        <w:t>（</w:t>
      </w:r>
      <w:r>
        <w:rPr>
          <w:rFonts w:ascii="Times New Roman" w:hAnsi="Times New Roman" w:cs="Times New Roman" w:eastAsia="Times New Roman" w:hint="default"/>
        </w:rPr>
        <w:t>4</w:t>
      </w:r>
      <w:r>
        <w:rPr/>
        <w:t>）公司已签订的重大销售合同截至本报告期的</w:t>
      </w:r>
      <w:bookmarkStart w:name="（4）公司已签订的重大销售合同截至本报告期的履行情况" w:id="34"/>
      <w:bookmarkEnd w:id="34"/>
      <w:r>
        <w:rPr/>
        <w:t>履行</w:t>
      </w:r>
      <w:r>
        <w:rPr/>
        <w:t>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77" w:footer="982" w:top="1100" w:bottom="1180" w:left="980" w:right="90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公司全年订单的签署和执行情况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单位：亿元</w:t>
      </w:r>
    </w:p>
    <w:p>
      <w:pPr>
        <w:spacing w:after="0" w:line="240" w:lineRule="auto"/>
        <w:jc w:val="left"/>
        <w:sectPr>
          <w:type w:val="continuous"/>
          <w:pgSz w:w="11910" w:h="16840"/>
          <w:pgMar w:top="1060" w:bottom="280" w:left="980" w:right="900"/>
          <w:cols w:num="2" w:equalWidth="0">
            <w:col w:w="2673" w:space="6065"/>
            <w:col w:w="1292"/>
          </w:cols>
        </w:sectPr>
      </w:pPr>
    </w:p>
    <w:p>
      <w:pPr>
        <w:spacing w:line="240" w:lineRule="auto" w:before="8"/>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2354"/>
        <w:gridCol w:w="2453"/>
        <w:gridCol w:w="2470"/>
        <w:gridCol w:w="2467"/>
      </w:tblGrid>
      <w:tr>
        <w:trPr>
          <w:trHeight w:val="408" w:hRule="exact"/>
        </w:trPr>
        <w:tc>
          <w:tcPr>
            <w:tcW w:w="235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453"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p>
        </w:tc>
        <w:tc>
          <w:tcPr>
            <w:tcW w:w="2470"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467"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ATM</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39.00</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38.77</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0.59%</w:t>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AFC</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2.19</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1.90</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15.26%</w:t>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清分机</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1.96</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2.19</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-10.50%</w:t>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技术服务合同</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9.48</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6.25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51.68%</w:t>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0.52</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sz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2354" w:type="dxa"/>
            <w:tcBorders>
              <w:top w:val="single" w:sz="6" w:space="0" w:color="000000"/>
              <w:left w:val="single" w:sz="6" w:space="0" w:color="000000"/>
              <w:bottom w:val="single" w:sz="6" w:space="0" w:color="000000"/>
              <w:right w:val="single" w:sz="6" w:space="0" w:color="000000"/>
            </w:tcBorders>
            <w:shd w:val="clear" w:color="auto" w:fill="DADADA"/>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53.15</w:t>
            </w:r>
          </w:p>
        </w:tc>
        <w:tc>
          <w:tcPr>
            <w:tcW w:w="2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49.11</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8.23%</w:t>
            </w:r>
          </w:p>
        </w:tc>
      </w:tr>
    </w:tbl>
    <w:p>
      <w:pPr>
        <w:pStyle w:val="BodyText"/>
        <w:spacing w:line="300" w:lineRule="auto" w:before="49"/>
        <w:ind w:right="224" w:firstLine="360"/>
        <w:jc w:val="left"/>
      </w:pPr>
      <w:r>
        <w:rPr/>
        <w:t>报告期内，公司新增分行级客户</w:t>
      </w:r>
      <w:r>
        <w:rPr>
          <w:rFonts w:ascii="Times New Roman" w:hAnsi="Times New Roman" w:cs="Times New Roman" w:eastAsia="Times New Roman" w:hint="default"/>
        </w:rPr>
        <w:t>129</w:t>
      </w:r>
      <w:r>
        <w:rPr/>
        <w:t>家，在确保总行级客户市场占有率大幅提升的同时，扩大了在农村信用社及商业银 行的市场份额，</w:t>
      </w:r>
      <w:r>
        <w:rPr>
          <w:rFonts w:ascii="Times New Roman" w:hAnsi="Times New Roman" w:cs="Times New Roman" w:eastAsia="Times New Roman" w:hint="default"/>
        </w:rPr>
        <w:t>ATM</w:t>
      </w:r>
      <w:r>
        <w:rPr/>
        <w:t>国内市场销量再创新高。</w:t>
      </w:r>
    </w:p>
    <w:p>
      <w:pPr>
        <w:pStyle w:val="BodyText"/>
        <w:spacing w:line="316" w:lineRule="auto" w:before="51"/>
        <w:ind w:right="222" w:firstLine="362"/>
        <w:jc w:val="left"/>
      </w:pPr>
      <w:r>
        <w:rPr>
          <w:spacing w:val="-2"/>
        </w:rPr>
        <w:t>随着公司投入市场的设备数量增加和时间推移，服务的设备总量也随之增多，同时，公司金融外包服务在全国的布局速</w:t>
      </w:r>
      <w:r>
        <w:rPr/>
        <w:t> 度加快，金融武装押运业务也已展开，因此技术服务合同金额同比有较大幅度的增长。</w:t>
      </w:r>
    </w:p>
    <w:p>
      <w:pPr>
        <w:pStyle w:val="BodyText"/>
        <w:spacing w:line="316" w:lineRule="auto" w:before="59"/>
        <w:ind w:right="222" w:firstLine="362"/>
        <w:jc w:val="left"/>
      </w:pPr>
      <w:r>
        <w:rPr>
          <w:spacing w:val="-2"/>
        </w:rPr>
        <w:t>由于公司获取订单的时间主要集中在每年的第四季度，而会计确认销售收入的原则是以公司收到银行的签收单为准，因</w:t>
      </w:r>
      <w:r>
        <w:rPr/>
        <w:t> 此公司订单存在跨期确认收入的情况。截止</w:t>
      </w:r>
      <w:r>
        <w:rPr>
          <w:spacing w:val="-46"/>
        </w:rPr>
        <w:t> </w:t>
      </w:r>
      <w:r>
        <w:rPr>
          <w:rFonts w:ascii="Times New Roman" w:hAnsi="Times New Roman" w:cs="Times New Roman" w:eastAsia="Times New Roman" w:hint="default"/>
        </w:rPr>
        <w:t>2015 </w:t>
      </w:r>
      <w:r>
        <w:rPr/>
        <w:t>年底，结转到以后年度执行的合同金额约</w:t>
      </w:r>
      <w:r>
        <w:rPr>
          <w:spacing w:val="-46"/>
        </w:rPr>
        <w:t> </w:t>
      </w:r>
      <w:r>
        <w:rPr>
          <w:rFonts w:ascii="Times New Roman" w:hAnsi="Times New Roman" w:cs="Times New Roman" w:eastAsia="Times New Roman" w:hint="default"/>
        </w:rPr>
        <w:t>32 </w:t>
      </w:r>
      <w:r>
        <w:rPr/>
        <w:t>亿元。</w:t>
      </w:r>
    </w:p>
    <w:p>
      <w:pPr>
        <w:spacing w:line="240" w:lineRule="auto" w:before="1"/>
        <w:rPr>
          <w:rFonts w:ascii="宋体" w:hAnsi="宋体" w:cs="宋体" w:eastAsia="宋体" w:hint="default"/>
          <w:sz w:val="23"/>
          <w:szCs w:val="23"/>
        </w:rPr>
      </w:pPr>
    </w:p>
    <w:p>
      <w:pPr>
        <w:pStyle w:val="Heading5"/>
        <w:spacing w:line="240" w:lineRule="auto"/>
        <w:ind w:right="22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060" w:bottom="280" w:left="980" w:right="900"/>
        </w:sectPr>
      </w:pPr>
    </w:p>
    <w:p>
      <w:pPr>
        <w:pStyle w:val="BodyText"/>
        <w:spacing w:line="360" w:lineRule="auto" w:before="44"/>
        <w:ind w:right="-20"/>
        <w:jc w:val="left"/>
      </w:pPr>
      <w:r>
        <w:rPr/>
        <w:t>行业和产品分类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280" w:left="980" w:right="900"/>
          <w:cols w:num="2" w:equalWidth="0">
            <w:col w:w="1413" w:space="7505"/>
            <w:col w:w="1112"/>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900"/>
        <w:gridCol w:w="1560"/>
        <w:gridCol w:w="1416"/>
        <w:gridCol w:w="1594"/>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900"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bl>
    <w:p>
      <w:pPr>
        <w:spacing w:after="0"/>
        <w:sectPr>
          <w:type w:val="continuous"/>
          <w:pgSz w:w="11910" w:h="16840"/>
          <w:pgMar w:top="1060" w:bottom="280" w:left="980" w:right="90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900"/>
        <w:gridCol w:w="1560"/>
        <w:gridCol w:w="1416"/>
        <w:gridCol w:w="1594"/>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1,417,186,921.48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1,138,611,327.40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服务业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482,175,206.06</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285,648,971.64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68.80%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1,899,362,127.54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1,424,260,299.04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33.36%</w:t>
            </w:r>
          </w:p>
        </w:tc>
      </w:tr>
    </w:tbl>
    <w:p>
      <w:pPr>
        <w:pStyle w:val="BodyText"/>
        <w:spacing w:line="240" w:lineRule="auto" w:before="49"/>
        <w:ind w:right="0"/>
        <w:jc w:val="left"/>
      </w:pPr>
      <w:r>
        <w:rPr/>
        <w:t>产品分类</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8"/>
        <w:gridCol w:w="991"/>
        <w:gridCol w:w="1586"/>
        <w:gridCol w:w="1534"/>
        <w:gridCol w:w="1558"/>
        <w:gridCol w:w="1560"/>
        <w:gridCol w:w="991"/>
      </w:tblGrid>
      <w:tr>
        <w:trPr>
          <w:trHeight w:val="401" w:hRule="exact"/>
        </w:trPr>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3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4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91"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）货币自动 处理设备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1,215,216,310.24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63.98%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996,232,150.29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69.95%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21.98%</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ATM</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1,040,016,408.31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54.76%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876,378,680.38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61.53%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18.67%</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AFC</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46,150,337.95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17,872,857.22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158.21%</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清分机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129,049,563.98</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101,980,612.69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26.54%</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188,896,495.11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142,379,177.11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32.67%</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27,683,900.29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27,122,955.08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2.07%</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）设备维护 及服务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422,300,240.47</w:t>
            </w:r>
            <w:r>
              <w:rPr>
                <w:rFonts w:ascii="Times New Roman"/>
                <w:sz w:val="18"/>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22.23%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244,987,763.09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17.20%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72.38%</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45,265,181.43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13,538,253.47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0.95%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234.35%</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tabs>
                <w:tab w:pos="556" w:val="left" w:leader="none"/>
              </w:tabs>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1,899,362,127.54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1,424,260,299.04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33.36%</w:t>
            </w:r>
          </w:p>
        </w:tc>
      </w:tr>
    </w:tbl>
    <w:p>
      <w:pPr>
        <w:pStyle w:val="BodyText"/>
        <w:spacing w:line="360" w:lineRule="auto" w:before="49"/>
        <w:ind w:left="244" w:right="6622"/>
        <w:jc w:val="left"/>
      </w:pPr>
      <w:r>
        <w:rPr/>
        <w:t>说明 货币自动处理设备相关成本构成说明：</w:t>
      </w:r>
    </w:p>
    <w:p>
      <w:pPr>
        <w:spacing w:line="240" w:lineRule="auto" w:before="10"/>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4133"/>
        <w:gridCol w:w="2582"/>
        <w:gridCol w:w="2813"/>
      </w:tblGrid>
      <w:tr>
        <w:trPr>
          <w:trHeight w:val="391" w:hRule="exact"/>
        </w:trPr>
        <w:tc>
          <w:tcPr>
            <w:tcW w:w="4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成本要素</w:t>
            </w:r>
          </w:p>
        </w:tc>
        <w:tc>
          <w:tcPr>
            <w:tcW w:w="2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63" w:hRule="exact"/>
        </w:trPr>
        <w:tc>
          <w:tcPr>
            <w:tcW w:w="413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2582"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91.09%</w:t>
            </w:r>
          </w:p>
        </w:tc>
        <w:tc>
          <w:tcPr>
            <w:tcW w:w="281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93.31%</w:t>
            </w:r>
          </w:p>
        </w:tc>
      </w:tr>
      <w:tr>
        <w:trPr>
          <w:trHeight w:val="430"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3.97%</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2.55%</w:t>
            </w:r>
          </w:p>
        </w:tc>
      </w:tr>
      <w:tr>
        <w:trPr>
          <w:trHeight w:val="430"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4.14%</w:t>
            </w:r>
          </w:p>
        </w:tc>
      </w:tr>
      <w:tr>
        <w:trPr>
          <w:trHeight w:val="446" w:hRule="exact"/>
        </w:trPr>
        <w:tc>
          <w:tcPr>
            <w:tcW w:w="4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57" w:lineRule="auto" w:before="49"/>
        <w:ind w:left="512" w:right="219"/>
        <w:jc w:val="left"/>
      </w:pPr>
      <w:r>
        <w:rPr/>
        <w:t>报告期内，公司主营业务市场、主营业务成本构成未发生显著变化。 报告期内，公司营业成本为</w:t>
      </w:r>
      <w:r>
        <w:rPr>
          <w:rFonts w:ascii="Times New Roman" w:hAnsi="Times New Roman" w:cs="Times New Roman" w:eastAsia="Times New Roman" w:hint="default"/>
        </w:rPr>
        <w:t>189,936.21</w:t>
      </w:r>
      <w:r>
        <w:rPr/>
        <w:t>万元，比上年同期</w:t>
      </w:r>
      <w:r>
        <w:rPr>
          <w:rFonts w:ascii="Times New Roman" w:hAnsi="Times New Roman" w:cs="Times New Roman" w:eastAsia="Times New Roman" w:hint="default"/>
        </w:rPr>
        <w:t>142,426.03</w:t>
      </w:r>
      <w:r>
        <w:rPr/>
        <w:t>万元增长</w:t>
      </w:r>
      <w:r>
        <w:rPr>
          <w:rFonts w:ascii="Times New Roman" w:hAnsi="Times New Roman" w:cs="Times New Roman" w:eastAsia="Times New Roman" w:hint="default"/>
        </w:rPr>
        <w:t>33.36%</w:t>
      </w:r>
      <w:r>
        <w:rPr/>
        <w:t>，其中：货币自动处理设备营业成</w:t>
      </w:r>
    </w:p>
    <w:p>
      <w:pPr>
        <w:pStyle w:val="BodyText"/>
        <w:spacing w:line="214" w:lineRule="exact"/>
        <w:ind w:right="0"/>
        <w:jc w:val="left"/>
      </w:pPr>
      <w:r>
        <w:rPr/>
        <w:t>本</w:t>
      </w:r>
      <w:r>
        <w:rPr>
          <w:rFonts w:ascii="Times New Roman" w:hAnsi="Times New Roman" w:cs="Times New Roman" w:eastAsia="Times New Roman" w:hint="default"/>
        </w:rPr>
        <w:t>121,521.63</w:t>
      </w:r>
      <w:r>
        <w:rPr/>
        <w:t>万元，比上年同期增长</w:t>
      </w:r>
      <w:r>
        <w:rPr>
          <w:rFonts w:ascii="Times New Roman" w:hAnsi="Times New Roman" w:cs="Times New Roman" w:eastAsia="Times New Roman" w:hint="default"/>
        </w:rPr>
        <w:t>21.98%</w:t>
      </w:r>
      <w:r>
        <w:rPr/>
        <w:t>。</w:t>
      </w:r>
    </w:p>
    <w:p>
      <w:pPr>
        <w:pStyle w:val="BodyText"/>
        <w:spacing w:line="300" w:lineRule="auto" w:before="103"/>
        <w:ind w:right="224" w:firstLine="36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ATM</w:t>
      </w:r>
      <w:r>
        <w:rPr/>
        <w:t>设备营业成本</w:t>
      </w:r>
      <w:r>
        <w:rPr>
          <w:rFonts w:ascii="Times New Roman" w:hAnsi="Times New Roman" w:cs="Times New Roman" w:eastAsia="Times New Roman" w:hint="default"/>
        </w:rPr>
        <w:t>104,001.64</w:t>
      </w:r>
      <w:r>
        <w:rPr/>
        <w:t>万元，比上年同期增长</w:t>
      </w:r>
      <w:r>
        <w:rPr>
          <w:rFonts w:ascii="Times New Roman" w:hAnsi="Times New Roman" w:cs="Times New Roman" w:eastAsia="Times New Roman" w:hint="default"/>
        </w:rPr>
        <w:t>18.67%</w:t>
      </w:r>
      <w:r>
        <w:rPr/>
        <w:t>，销售毛利率同比下降</w:t>
      </w:r>
      <w:r>
        <w:rPr>
          <w:rFonts w:ascii="Times New Roman" w:hAnsi="Times New Roman" w:cs="Times New Roman" w:eastAsia="Times New Roman" w:hint="default"/>
        </w:rPr>
        <w:t>2.10</w:t>
      </w:r>
      <w:r>
        <w:rPr/>
        <w:t>个百分点，主要是产品价 格不断下滑所致。</w:t>
      </w:r>
    </w:p>
    <w:p>
      <w:pPr>
        <w:pStyle w:val="BodyText"/>
        <w:spacing w:line="300" w:lineRule="auto" w:before="70"/>
        <w:ind w:right="0" w:firstLine="36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AFC</w:t>
      </w:r>
      <w:r>
        <w:rPr>
          <w:spacing w:val="-1"/>
        </w:rPr>
        <w:t>设备营业成本</w:t>
      </w:r>
      <w:r>
        <w:rPr>
          <w:rFonts w:ascii="Times New Roman" w:hAnsi="Times New Roman" w:cs="Times New Roman" w:eastAsia="Times New Roman" w:hint="default"/>
          <w:spacing w:val="-1"/>
        </w:rPr>
        <w:t>4,615.03</w:t>
      </w:r>
      <w:r>
        <w:rPr>
          <w:spacing w:val="-1"/>
        </w:rPr>
        <w:t>万元，比上年同期增长</w:t>
      </w:r>
      <w:r>
        <w:rPr>
          <w:rFonts w:ascii="Times New Roman" w:hAnsi="Times New Roman" w:cs="Times New Roman" w:eastAsia="Times New Roman" w:hint="default"/>
          <w:spacing w:val="-1"/>
        </w:rPr>
        <w:t>158.21%</w:t>
      </w:r>
      <w:r>
        <w:rPr>
          <w:spacing w:val="-1"/>
        </w:rPr>
        <w:t>，销售毛利率同比上升</w:t>
      </w:r>
      <w:r>
        <w:rPr>
          <w:rFonts w:ascii="Times New Roman" w:hAnsi="Times New Roman" w:cs="Times New Roman" w:eastAsia="Times New Roman" w:hint="default"/>
          <w:spacing w:val="-1"/>
        </w:rPr>
        <w:t>10.19</w:t>
      </w:r>
      <w:r>
        <w:rPr>
          <w:spacing w:val="-1"/>
        </w:rPr>
        <w:t>个百分点，主要是</w:t>
      </w:r>
      <w:r>
        <w:rPr>
          <w:rFonts w:ascii="Times New Roman" w:hAnsi="Times New Roman" w:cs="Times New Roman" w:eastAsia="Times New Roman" w:hint="default"/>
          <w:spacing w:val="-1"/>
        </w:rPr>
        <w:t>AFC</w:t>
      </w:r>
      <w:r>
        <w:rPr>
          <w:spacing w:val="-1"/>
        </w:rPr>
        <w:t>产品</w:t>
      </w:r>
      <w:r>
        <w:rPr/>
        <w:t> 销售收入增加，同时研发、优化</w:t>
      </w:r>
      <w:r>
        <w:rPr>
          <w:rFonts w:ascii="Times New Roman" w:hAnsi="Times New Roman" w:cs="Times New Roman" w:eastAsia="Times New Roman" w:hint="default"/>
        </w:rPr>
        <w:t>AFC</w:t>
      </w:r>
      <w:r>
        <w:rPr/>
        <w:t>设备核心模块，成本进一步降低。</w:t>
      </w:r>
    </w:p>
    <w:p>
      <w:pPr>
        <w:pStyle w:val="BodyText"/>
        <w:spacing w:line="300" w:lineRule="auto" w:before="53"/>
        <w:ind w:right="0" w:firstLine="360"/>
        <w:jc w:val="left"/>
      </w:pPr>
      <w:r>
        <w:rPr>
          <w:spacing w:val="-2"/>
        </w:rPr>
        <w:t>（</w:t>
      </w:r>
      <w:r>
        <w:rPr>
          <w:rFonts w:ascii="Times New Roman" w:hAnsi="Times New Roman" w:cs="Times New Roman" w:eastAsia="Times New Roman" w:hint="default"/>
          <w:spacing w:val="-2"/>
        </w:rPr>
        <w:t>3</w:t>
      </w:r>
      <w:r>
        <w:rPr>
          <w:spacing w:val="-2"/>
        </w:rPr>
        <w:t>）清分机营业成本</w:t>
      </w:r>
      <w:r>
        <w:rPr>
          <w:rFonts w:ascii="Times New Roman" w:hAnsi="Times New Roman" w:cs="Times New Roman" w:eastAsia="Times New Roman" w:hint="default"/>
          <w:spacing w:val="-2"/>
        </w:rPr>
        <w:t>12,904.96</w:t>
      </w:r>
      <w:r>
        <w:rPr>
          <w:spacing w:val="-2"/>
        </w:rPr>
        <w:t>万元，比上年同期增长</w:t>
      </w:r>
      <w:r>
        <w:rPr>
          <w:rFonts w:ascii="Times New Roman" w:hAnsi="Times New Roman" w:cs="Times New Roman" w:eastAsia="Times New Roman" w:hint="default"/>
          <w:spacing w:val="-2"/>
        </w:rPr>
        <w:t>26.54%</w:t>
      </w:r>
      <w:r>
        <w:rPr>
          <w:spacing w:val="-2"/>
        </w:rPr>
        <w:t>，销售毛利率同比下降</w:t>
      </w:r>
      <w:r>
        <w:rPr>
          <w:rFonts w:ascii="Times New Roman" w:hAnsi="Times New Roman" w:cs="Times New Roman" w:eastAsia="Times New Roman" w:hint="default"/>
          <w:spacing w:val="-2"/>
        </w:rPr>
        <w:t>17.94</w:t>
      </w:r>
      <w:r>
        <w:rPr>
          <w:spacing w:val="-2"/>
        </w:rPr>
        <w:t>个百分点，主要是产品销售结</w:t>
      </w:r>
      <w:r>
        <w:rPr/>
        <w:t> 构变化及产品价格不断下滑所致。</w:t>
      </w:r>
    </w:p>
    <w:p>
      <w:pPr>
        <w:pStyle w:val="BodyText"/>
        <w:spacing w:line="300" w:lineRule="auto" w:before="72"/>
        <w:ind w:right="174" w:firstLine="360"/>
        <w:jc w:val="left"/>
      </w:pPr>
      <w:r>
        <w:rPr/>
        <w:t>（</w:t>
      </w:r>
      <w:r>
        <w:rPr>
          <w:rFonts w:ascii="Times New Roman" w:hAnsi="Times New Roman" w:cs="Times New Roman" w:eastAsia="Times New Roman" w:hint="default"/>
        </w:rPr>
        <w:t>4</w:t>
      </w:r>
      <w:r>
        <w:rPr/>
        <w:t>）设备配件营业成本</w:t>
      </w:r>
      <w:r>
        <w:rPr>
          <w:rFonts w:ascii="Times New Roman" w:hAnsi="Times New Roman" w:cs="Times New Roman" w:eastAsia="Times New Roman" w:hint="default"/>
        </w:rPr>
        <w:t>18,889.65</w:t>
      </w:r>
      <w:r>
        <w:rPr/>
        <w:t>万元，比上年同期增长</w:t>
      </w:r>
      <w:r>
        <w:rPr>
          <w:rFonts w:ascii="Times New Roman" w:hAnsi="Times New Roman" w:cs="Times New Roman" w:eastAsia="Times New Roman" w:hint="default"/>
        </w:rPr>
        <w:t>32.67%</w:t>
      </w:r>
      <w:r>
        <w:rPr/>
        <w:t>，销售毛利率同比上升</w:t>
      </w:r>
      <w:r>
        <w:rPr>
          <w:rFonts w:ascii="Times New Roman" w:hAnsi="Times New Roman" w:cs="Times New Roman" w:eastAsia="Times New Roman" w:hint="default"/>
        </w:rPr>
        <w:t>3.64</w:t>
      </w:r>
      <w:r>
        <w:rPr/>
        <w:t>个百分点，主要是自制备件 成本降低的影响。</w:t>
      </w:r>
    </w:p>
    <w:p>
      <w:pPr>
        <w:pStyle w:val="BodyText"/>
        <w:spacing w:line="240" w:lineRule="auto" w:before="70"/>
        <w:ind w:left="512"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ATM</w:t>
      </w:r>
      <w:r>
        <w:rPr/>
        <w:t>营运营业成本</w:t>
      </w:r>
      <w:r>
        <w:rPr>
          <w:rFonts w:ascii="Times New Roman" w:hAnsi="Times New Roman" w:cs="Times New Roman" w:eastAsia="Times New Roman" w:hint="default"/>
        </w:rPr>
        <w:t>2,768.39</w:t>
      </w:r>
      <w:r>
        <w:rPr/>
        <w:t>万元，比上年同期增长</w:t>
      </w:r>
      <w:r>
        <w:rPr>
          <w:rFonts w:ascii="Times New Roman" w:hAnsi="Times New Roman" w:cs="Times New Roman" w:eastAsia="Times New Roman" w:hint="default"/>
        </w:rPr>
        <w:t>2.07%</w:t>
      </w:r>
      <w:r>
        <w:rPr/>
        <w:t>，销售毛利率同比上升</w:t>
      </w:r>
      <w:r>
        <w:rPr>
          <w:rFonts w:ascii="Times New Roman" w:hAnsi="Times New Roman" w:cs="Times New Roman" w:eastAsia="Times New Roman" w:hint="default"/>
        </w:rPr>
        <w:t>10.48</w:t>
      </w:r>
      <w:r>
        <w:rPr/>
        <w:t>个百分点，主要是营运收入</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的增长有效摊薄固定成本所致。</w:t>
      </w:r>
    </w:p>
    <w:p>
      <w:pPr>
        <w:pStyle w:val="BodyText"/>
        <w:spacing w:line="300" w:lineRule="auto" w:before="117"/>
        <w:ind w:right="174" w:firstLine="360"/>
        <w:jc w:val="left"/>
      </w:pPr>
      <w:r>
        <w:rPr/>
        <w:t>（</w:t>
      </w:r>
      <w:r>
        <w:rPr>
          <w:rFonts w:ascii="Times New Roman" w:hAnsi="Times New Roman" w:cs="Times New Roman" w:eastAsia="Times New Roman" w:hint="default"/>
        </w:rPr>
        <w:t>6</w:t>
      </w:r>
      <w:r>
        <w:rPr/>
        <w:t>）设备维护及服务营业成本</w:t>
      </w:r>
      <w:r>
        <w:rPr>
          <w:rFonts w:ascii="Times New Roman" w:hAnsi="Times New Roman" w:cs="Times New Roman" w:eastAsia="Times New Roman" w:hint="default"/>
        </w:rPr>
        <w:t>42,230.02</w:t>
      </w:r>
      <w:r>
        <w:rPr/>
        <w:t>万元，比上年同期增长</w:t>
      </w:r>
      <w:r>
        <w:rPr>
          <w:rFonts w:ascii="Times New Roman" w:hAnsi="Times New Roman" w:cs="Times New Roman" w:eastAsia="Times New Roman" w:hint="default"/>
        </w:rPr>
        <w:t>72.38%</w:t>
      </w:r>
      <w:r>
        <w:rPr/>
        <w:t>，销售毛利率同比下降</w:t>
      </w:r>
      <w:r>
        <w:rPr>
          <w:rFonts w:ascii="Times New Roman" w:hAnsi="Times New Roman" w:cs="Times New Roman" w:eastAsia="Times New Roman" w:hint="default"/>
        </w:rPr>
        <w:t>4.92</w:t>
      </w:r>
      <w:r>
        <w:rPr/>
        <w:t>个百分点，主要是人 工成本上升及服务设备营运成本增加所致。</w:t>
      </w:r>
    </w:p>
    <w:p>
      <w:pPr>
        <w:pStyle w:val="BodyText"/>
        <w:spacing w:line="300" w:lineRule="auto" w:before="70"/>
        <w:ind w:right="155" w:firstLine="362"/>
        <w:jc w:val="left"/>
      </w:pPr>
      <w:r>
        <w:rPr/>
        <w:t>（</w:t>
      </w:r>
      <w:r>
        <w:rPr>
          <w:rFonts w:ascii="Times New Roman" w:hAnsi="Times New Roman" w:cs="Times New Roman" w:eastAsia="Times New Roman" w:hint="default"/>
        </w:rPr>
        <w:t>7</w:t>
      </w:r>
      <w:r>
        <w:rPr/>
        <w:t>）其他营业成本</w:t>
      </w:r>
      <w:r>
        <w:rPr>
          <w:spacing w:val="-47"/>
        </w:rPr>
        <w:t> </w:t>
      </w:r>
      <w:r>
        <w:rPr>
          <w:rFonts w:ascii="Times New Roman" w:hAnsi="Times New Roman" w:cs="Times New Roman" w:eastAsia="Times New Roman" w:hint="default"/>
        </w:rPr>
        <w:t>4,526.52</w:t>
      </w:r>
      <w:r>
        <w:rPr>
          <w:rFonts w:ascii="Times New Roman" w:hAnsi="Times New Roman" w:cs="Times New Roman" w:eastAsia="Times New Roman" w:hint="default"/>
          <w:spacing w:val="-10"/>
        </w:rPr>
        <w:t> </w:t>
      </w:r>
      <w:r>
        <w:rPr/>
        <w:t>万元，比上年同期增长</w:t>
      </w:r>
      <w:r>
        <w:rPr>
          <w:spacing w:val="-49"/>
        </w:rPr>
        <w:t> </w:t>
      </w:r>
      <w:r>
        <w:rPr>
          <w:rFonts w:ascii="Times New Roman" w:hAnsi="Times New Roman" w:cs="Times New Roman" w:eastAsia="Times New Roman" w:hint="default"/>
        </w:rPr>
        <w:t>234.35%</w:t>
      </w:r>
      <w:r>
        <w:rPr/>
        <w:t>，销售毛利率同比上升</w:t>
      </w:r>
      <w:r>
        <w:rPr>
          <w:spacing w:val="-47"/>
        </w:rPr>
        <w:t> </w:t>
      </w:r>
      <w:r>
        <w:rPr>
          <w:rFonts w:ascii="Times New Roman" w:hAnsi="Times New Roman" w:cs="Times New Roman" w:eastAsia="Times New Roman" w:hint="default"/>
        </w:rPr>
        <w:t>8.61</w:t>
      </w:r>
      <w:r>
        <w:rPr>
          <w:rFonts w:ascii="Times New Roman" w:hAnsi="Times New Roman" w:cs="Times New Roman" w:eastAsia="Times New Roman" w:hint="default"/>
          <w:spacing w:val="-10"/>
        </w:rPr>
        <w:t> </w:t>
      </w:r>
      <w:r>
        <w:rPr/>
        <w:t>个百分点，主要是通过并购切 入读卡器领域带来的利润增长。</w:t>
      </w:r>
    </w:p>
    <w:p>
      <w:pPr>
        <w:spacing w:line="240" w:lineRule="auto" w:before="7"/>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）报告期内合并范围</w:t>
      </w:r>
      <w:bookmarkStart w:name="（6）报告期内合并范围是否发生变动" w:id="35"/>
      <w:bookmarkEnd w:id="35"/>
      <w:r>
        <w:rPr/>
        <w:t>是否发</w:t>
      </w:r>
      <w:r>
        <w:rPr/>
        <w:t>生变动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2" w:right="0"/>
        <w:jc w:val="left"/>
      </w:pPr>
      <w:r>
        <w:rPr/>
        <w:t>与上年度相比本年度新增合并单位</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家，原因为：本期并购</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家子公司</w:t>
      </w:r>
      <w:r>
        <w:rPr>
          <w:rFonts w:ascii="Times New Roman" w:hAnsi="Times New Roman" w:cs="Times New Roman" w:eastAsia="Times New Roman" w:hint="default"/>
        </w:rPr>
        <w:t>-</w:t>
      </w:r>
      <w:r>
        <w:rPr/>
        <w:t>创自技术，新设立</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家孙公司广东榕通，并购</w:t>
      </w:r>
    </w:p>
    <w:p>
      <w:pPr>
        <w:pStyle w:val="BodyText"/>
        <w:spacing w:line="300" w:lineRule="auto" w:before="62"/>
        <w:ind w:right="22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家子公司的子、孙公司</w:t>
      </w:r>
      <w:r>
        <w:rPr>
          <w:rFonts w:ascii="Times New Roman" w:hAnsi="Times New Roman" w:cs="Times New Roman" w:eastAsia="Times New Roman" w:hint="default"/>
        </w:rPr>
        <w:t>-</w:t>
      </w:r>
      <w:r>
        <w:rPr/>
        <w:t>深圳市创自软件有限公司、商洛金盾、邵阳保安、武威神威、兴安盟威信、巴彦淖尔天力。详细 </w:t>
      </w:r>
      <w:r>
        <w:rPr>
          <w:spacing w:val="-3"/>
        </w:rPr>
        <w:t>情况见第十节财务报告附注“八、合并范围的变更”和“九、在其他主体中的权益”。</w:t>
      </w:r>
    </w:p>
    <w:p>
      <w:pPr>
        <w:spacing w:line="240" w:lineRule="auto" w:before="4"/>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w:t>
      </w:r>
      <w:bookmarkStart w:name="（7）公司报告期内业务、产品或服务发生重大变化或调整有关情况" w:id="36"/>
      <w:bookmarkEnd w:id="36"/>
      <w:r>
        <w:rPr/>
        <w:t>化或</w:t>
      </w:r>
      <w:r>
        <w:rPr/>
        <w:t>调整有关情况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p>
    <w:p>
      <w:pPr>
        <w:spacing w:line="590" w:lineRule="auto" w:before="129"/>
        <w:ind w:left="152" w:right="6793" w:firstLine="0"/>
        <w:jc w:val="left"/>
        <w:rPr>
          <w:rFonts w:ascii="宋体" w:hAnsi="宋体" w:cs="宋体" w:eastAsia="宋体" w:hint="default"/>
          <w:sz w:val="18"/>
          <w:szCs w:val="18"/>
        </w:rPr>
      </w:pPr>
      <w:r>
        <w:rPr/>
        <w:pict>
          <v:shape style="position:absolute;margin-left:56.459999pt;margin-top:54.161716pt;width:479.1pt;height:40.7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1,616,686,001.42</w:t>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40.69%</w:t>
                        </w:r>
                      </w:p>
                    </w:tc>
                  </w:tr>
                </w:tbl>
                <w:p>
                  <w:pPr/>
                </w:p>
              </w:txbxContent>
            </v:textbox>
            <w10:wrap type="none"/>
          </v:shape>
        </w:pic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）主要销售客户和主要供应商情况</w:t>
      </w:r>
      <w:r>
        <w:rPr>
          <w:rFonts w:ascii="宋体" w:hAnsi="宋体" w:cs="宋体" w:eastAsia="宋体" w:hint="default"/>
          <w:b/>
          <w:bCs/>
          <w:w w:val="99"/>
          <w:sz w:val="18"/>
          <w:szCs w:val="18"/>
        </w:rPr>
        <w:t> </w:t>
      </w: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2562"/>
        <w:gridCol w:w="2693"/>
        <w:gridCol w:w="2623"/>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01" w:right="0"/>
              <w:jc w:val="left"/>
              <w:rPr>
                <w:rFonts w:ascii="宋体" w:hAnsi="宋体" w:cs="宋体" w:eastAsia="宋体" w:hint="default"/>
                <w:sz w:val="18"/>
                <w:szCs w:val="18"/>
              </w:rPr>
            </w:pPr>
            <w:bookmarkStart w:name="（8）主要销售客户和主要供应商情况" w:id="37"/>
            <w:bookmarkEnd w:id="37"/>
            <w:r>
              <w:rPr/>
            </w:r>
            <w:r>
              <w:rPr>
                <w:rFonts w:ascii="宋体" w:hAnsi="宋体" w:cs="宋体" w:eastAsia="宋体" w:hint="default"/>
                <w:sz w:val="18"/>
                <w:szCs w:val="18"/>
              </w:rPr>
              <w:t>销售额（元）</w:t>
            </w:r>
          </w:p>
        </w:tc>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494,791,819.01</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365,380,896.21</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303,053,772.43</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4</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253,856,990.33</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199,602,523.44</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1,616,686,001.42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40.69%</w:t>
            </w:r>
          </w:p>
        </w:tc>
      </w:tr>
    </w:tbl>
    <w:p>
      <w:pPr>
        <w:pStyle w:val="BodyText"/>
        <w:spacing w:line="240" w:lineRule="auto" w:before="49"/>
        <w:ind w:right="0"/>
        <w:jc w:val="left"/>
      </w:pPr>
      <w:r>
        <w:rPr/>
        <w:t>主要客户其他情况说明</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365,802,955.17</w:t>
            </w:r>
            <w:r>
              <w:rPr>
                <w:rFonts w:ascii="Times New Roman"/>
                <w:sz w:val="18"/>
              </w:rPr>
            </w:r>
          </w:p>
        </w:tc>
      </w:tr>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20.88%</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9"/>
        <w:gridCol w:w="2562"/>
        <w:gridCol w:w="2693"/>
        <w:gridCol w:w="2623"/>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31" w:right="0"/>
              <w:jc w:val="left"/>
              <w:rPr>
                <w:rFonts w:ascii="宋体" w:hAnsi="宋体" w:cs="宋体" w:eastAsia="宋体" w:hint="default"/>
                <w:sz w:val="18"/>
                <w:szCs w:val="18"/>
              </w:rPr>
            </w:pPr>
            <w:r>
              <w:rPr>
                <w:rFonts w:ascii="宋体" w:hAnsi="宋体" w:cs="宋体" w:eastAsia="宋体" w:hint="default"/>
                <w:sz w:val="18"/>
                <w:szCs w:val="18"/>
              </w:rPr>
              <w:t>供应商名称</w:t>
            </w:r>
          </w:p>
        </w:tc>
        <w:tc>
          <w:tcPr>
            <w:tcW w:w="26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102,047,646.95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2</w:t>
            </w:r>
          </w:p>
        </w:tc>
        <w:tc>
          <w:tcPr>
            <w:tcW w:w="256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72,336,160.82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0"/>
        <w:gridCol w:w="2551"/>
        <w:gridCol w:w="2693"/>
        <w:gridCol w:w="2623"/>
      </w:tblGrid>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65,199,337.05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4</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65,056,096.83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3.71%</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61,163,713.52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365,802,955.17</w:t>
            </w:r>
            <w:r>
              <w:rPr>
                <w:rFonts w:ascii="Times New Roman"/>
                <w:sz w:val="18"/>
              </w:rPr>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20.88%</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3"/>
        <w:jc w:val="right"/>
      </w:pPr>
      <w:bookmarkStart w:name="3、费用" w:id="38"/>
      <w:bookmarkEnd w:id="38"/>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288"/>
        <w:gridCol w:w="1274"/>
        <w:gridCol w:w="994"/>
        <w:gridCol w:w="4606"/>
      </w:tblGrid>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6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8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711,353,003.03</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580,042,757.13</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22.64%</w:t>
            </w:r>
          </w:p>
        </w:tc>
        <w:tc>
          <w:tcPr>
            <w:tcW w:w="460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主要是公司加大营销力度及销售额增加引起的与之相关的 工资、服务费、运输费、差旅费等销售费用随之增加</w:t>
            </w:r>
          </w:p>
        </w:tc>
      </w:tr>
      <w:tr>
        <w:trPr>
          <w:trHeight w:val="394"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8" w:type="dxa"/>
            <w:vMerge/>
            <w:tcBorders>
              <w:left w:val="single" w:sz="9" w:space="0" w:color="D4D4D4"/>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606"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8" w:type="dxa"/>
            <w:vMerge/>
            <w:tcBorders>
              <w:left w:val="single" w:sz="9" w:space="0" w:color="D4D4D4"/>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606"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525,948,853.50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451,308,497.69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16.54%</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主要是公司规模扩大、人员扩张及核心技术研发投入加大</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-14,775,559.96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-5,189,843.69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-184.70%</w:t>
            </w:r>
            <w:r>
              <w:rPr>
                <w:rFonts w:ascii="Times New Roman"/>
                <w:sz w:val="18"/>
              </w:rPr>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主要是存款利息收入增加及人民币贬值汇兑收益增加所致</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54,704,814.58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47,696,687.98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14.69%</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主要是营业收入增长，应缴纳的流转税增加所致</w:t>
            </w:r>
          </w:p>
        </w:tc>
      </w:tr>
      <w:tr>
        <w:trPr>
          <w:trHeight w:val="473"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88"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135,921,000.14</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99,450,163.34</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36.67%</w:t>
            </w:r>
          </w:p>
        </w:tc>
        <w:tc>
          <w:tcPr>
            <w:tcW w:w="4606"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主要是利润总额增加及</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年度国家布局内重点软件企业 </w:t>
            </w:r>
            <w:r>
              <w:rPr>
                <w:rFonts w:ascii="宋体" w:hAnsi="宋体" w:cs="宋体" w:eastAsia="宋体" w:hint="default"/>
                <w:spacing w:val="-5"/>
                <w:sz w:val="18"/>
                <w:szCs w:val="18"/>
              </w:rPr>
              <w:t>认定工作尚未开始，母公司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年度企业所得税按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 算，而公司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年度被认定为国家布局内重点软件企业，</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年度母公司所得税按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征收</w:t>
            </w:r>
          </w:p>
        </w:tc>
      </w:tr>
      <w:tr>
        <w:trPr>
          <w:trHeight w:val="394"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288" w:type="dxa"/>
            <w:vMerge/>
            <w:tcBorders>
              <w:left w:val="single" w:sz="9" w:space="0" w:color="D4D4D4"/>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606" w:type="dxa"/>
            <w:vMerge/>
            <w:tcBorders>
              <w:left w:val="single" w:sz="4" w:space="0" w:color="000000"/>
              <w:right w:val="single" w:sz="4" w:space="0" w:color="000000"/>
            </w:tcBorders>
          </w:tcPr>
          <w:p>
            <w:pPr/>
          </w:p>
        </w:tc>
      </w:tr>
      <w:tr>
        <w:trPr>
          <w:trHeight w:val="473"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8" w:type="dxa"/>
            <w:vMerge/>
            <w:tcBorders>
              <w:left w:val="single" w:sz="9" w:space="0" w:color="D4D4D4"/>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606"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Heading5"/>
        <w:spacing w:line="240" w:lineRule="auto" w:before="44"/>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5"/>
        <w:ind w:left="515" w:right="0"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一直以来，公司高度重视技术研发，把研发放在战略高度，坚持研发高投入，以市场</w:t>
      </w:r>
      <w:bookmarkStart w:name="4、研发投入" w:id="39"/>
      <w:bookmarkEnd w:id="39"/>
      <w:r>
        <w:rPr>
          <w:spacing w:val="-2"/>
        </w:rPr>
        <w:t>为导向</w:t>
      </w:r>
      <w:r>
        <w:rPr>
          <w:spacing w:val="-2"/>
        </w:rPr>
        <w:t>，不断开发新产品，完善核</w:t>
      </w:r>
    </w:p>
    <w:p>
      <w:pPr>
        <w:pStyle w:val="BodyText"/>
        <w:spacing w:line="360" w:lineRule="auto"/>
        <w:ind w:right="5634"/>
        <w:jc w:val="left"/>
      </w:pPr>
      <w:r>
        <w:rPr/>
        <w:t>心技术，升级产品结构，全面提升公司综合竞争力。 公司研发投入情况</w:t>
      </w:r>
    </w:p>
    <w:tbl>
      <w:tblPr>
        <w:tblW w:w="0" w:type="auto"/>
        <w:jc w:val="left"/>
        <w:tblInd w:w="160" w:type="dxa"/>
        <w:tblLayout w:type="fixed"/>
        <w:tblCellMar>
          <w:top w:w="0" w:type="dxa"/>
          <w:left w:w="0" w:type="dxa"/>
          <w:bottom w:w="0" w:type="dxa"/>
          <w:right w:w="0" w:type="dxa"/>
        </w:tblCellMar>
        <w:tblLook w:val="01E0"/>
      </w:tblPr>
      <w:tblGrid>
        <w:gridCol w:w="3521"/>
        <w:gridCol w:w="2422"/>
        <w:gridCol w:w="2126"/>
        <w:gridCol w:w="1488"/>
      </w:tblGrid>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11.17%</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-2.56%</w:t>
            </w:r>
          </w:p>
        </w:tc>
      </w:tr>
      <w:tr>
        <w:trPr>
          <w:trHeight w:val="401"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333,271,209.50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237,153,012.24</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40.53%</w:t>
            </w:r>
          </w:p>
        </w:tc>
      </w:tr>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4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Heading5"/>
        <w:spacing w:line="240" w:lineRule="auto" w:before="44"/>
        <w:ind w:right="94"/>
        <w:jc w:val="left"/>
        <w:rPr>
          <w:b w:val="0"/>
          <w:bCs w:val="0"/>
        </w:rPr>
      </w:pPr>
      <w:bookmarkStart w:name="三、非主营业务分析"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3"/>
        <w:jc w:val="right"/>
      </w:pPr>
      <w:bookmarkStart w:name="5、现金流" w:id="41"/>
      <w:bookmarkEnd w:id="41"/>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3"/>
        <w:gridCol w:w="2279"/>
        <w:gridCol w:w="2268"/>
        <w:gridCol w:w="2057"/>
      </w:tblGrid>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5,371,157,909.60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4,631,055,338.73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15.98%</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4,513,583,091.67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3,522,416,209.76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28.14%</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857,574,817.93</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1,108,639,128.97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-22.65%</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4,920,374,412.53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6,378,287,154.73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-22.86%</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5,239,620,641.52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6,515,407,847.51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-19.58%</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-319,246,228.99</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-137,120,692.78</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-132.82%</w:t>
            </w:r>
            <w:r>
              <w:rPr>
                <w:rFonts w:ascii="Times New Roman"/>
                <w:sz w:val="18"/>
              </w:rPr>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1,470,000.00</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27,460,000.00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-94.65%</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540,573,475.19</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149,937,461.20</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260.53%</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-539,103,475.19</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-122,477,461.20</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-340.17%</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-988,979.63</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846,819,221.58</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-100.12%</w:t>
            </w:r>
            <w:r>
              <w:rPr>
                <w:rFonts w:ascii="Times New Roman"/>
                <w:sz w:val="18"/>
              </w:rPr>
            </w: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426" w:right="94"/>
        <w:jc w:val="left"/>
      </w:pPr>
      <w:r>
        <w:rPr/>
        <w:t>（</w:t>
      </w:r>
      <w:r>
        <w:rPr>
          <w:rFonts w:ascii="宋体" w:hAnsi="宋体" w:cs="宋体" w:eastAsia="宋体" w:hint="default"/>
        </w:rPr>
        <w:t>1</w:t>
      </w:r>
      <w:r>
        <w:rPr/>
        <w:t>）经营活动现金流量</w:t>
      </w:r>
    </w:p>
    <w:p>
      <w:pPr>
        <w:pStyle w:val="BodyText"/>
        <w:spacing w:line="316" w:lineRule="auto" w:before="117"/>
        <w:ind w:right="190" w:firstLine="362"/>
        <w:jc w:val="both"/>
      </w:pPr>
      <w:r>
        <w:rPr>
          <w:rFonts w:ascii="宋体" w:hAnsi="宋体" w:cs="宋体" w:eastAsia="宋体" w:hint="default"/>
          <w:spacing w:val="-2"/>
        </w:rPr>
        <w:t>2015</w:t>
      </w:r>
      <w:r>
        <w:rPr>
          <w:spacing w:val="-2"/>
        </w:rPr>
        <w:t>年，公司经营活动产生的现金流入</w:t>
      </w:r>
      <w:r>
        <w:rPr>
          <w:rFonts w:ascii="宋体" w:hAnsi="宋体" w:cs="宋体" w:eastAsia="宋体" w:hint="default"/>
          <w:spacing w:val="-2"/>
        </w:rPr>
        <w:t>537,115.79</w:t>
      </w:r>
      <w:r>
        <w:rPr>
          <w:spacing w:val="-2"/>
        </w:rPr>
        <w:t>万元，比上年同期</w:t>
      </w:r>
      <w:r>
        <w:rPr>
          <w:rFonts w:ascii="宋体" w:hAnsi="宋体" w:cs="宋体" w:eastAsia="宋体" w:hint="default"/>
          <w:spacing w:val="-2"/>
        </w:rPr>
        <w:t>463,105.53</w:t>
      </w:r>
      <w:r>
        <w:rPr>
          <w:spacing w:val="-2"/>
        </w:rPr>
        <w:t>万元增长</w:t>
      </w:r>
      <w:r>
        <w:rPr>
          <w:rFonts w:ascii="宋体" w:hAnsi="宋体" w:cs="宋体" w:eastAsia="宋体" w:hint="default"/>
          <w:spacing w:val="-2"/>
        </w:rPr>
        <w:t>15.98%</w:t>
      </w:r>
      <w:r>
        <w:rPr>
          <w:spacing w:val="-2"/>
        </w:rPr>
        <w:t>，其中销售产品、提供</w:t>
      </w:r>
      <w:r>
        <w:rPr/>
        <w:t> </w:t>
      </w:r>
      <w:r>
        <w:rPr>
          <w:spacing w:val="-2"/>
        </w:rPr>
        <w:t>劳务收到的现金</w:t>
      </w:r>
      <w:r>
        <w:rPr>
          <w:rFonts w:ascii="宋体" w:hAnsi="宋体" w:cs="宋体" w:eastAsia="宋体" w:hint="default"/>
          <w:spacing w:val="-2"/>
        </w:rPr>
        <w:t>480,994.55</w:t>
      </w:r>
      <w:r>
        <w:rPr>
          <w:spacing w:val="-2"/>
        </w:rPr>
        <w:t>万元，比上年同期</w:t>
      </w:r>
      <w:r>
        <w:rPr>
          <w:rFonts w:ascii="宋体" w:hAnsi="宋体" w:cs="宋体" w:eastAsia="宋体" w:hint="default"/>
          <w:spacing w:val="-2"/>
        </w:rPr>
        <w:t>437,617.16</w:t>
      </w:r>
      <w:r>
        <w:rPr>
          <w:spacing w:val="-2"/>
        </w:rPr>
        <w:t>万元增加</w:t>
      </w:r>
      <w:r>
        <w:rPr>
          <w:rFonts w:ascii="宋体" w:hAnsi="宋体" w:cs="宋体" w:eastAsia="宋体" w:hint="default"/>
          <w:spacing w:val="-2"/>
        </w:rPr>
        <w:t>43,377.39</w:t>
      </w:r>
      <w:r>
        <w:rPr>
          <w:spacing w:val="-2"/>
        </w:rPr>
        <w:t>万元，同比增长幅度为</w:t>
      </w:r>
      <w:r>
        <w:rPr>
          <w:rFonts w:ascii="宋体" w:hAnsi="宋体" w:cs="宋体" w:eastAsia="宋体" w:hint="default"/>
          <w:spacing w:val="-2"/>
        </w:rPr>
        <w:t>9.91%</w:t>
      </w:r>
      <w:r>
        <w:rPr>
          <w:spacing w:val="-2"/>
        </w:rPr>
        <w:t>，主要是因为销售</w:t>
      </w:r>
      <w:r>
        <w:rPr>
          <w:spacing w:val="-49"/>
        </w:rPr>
        <w:t> </w:t>
      </w:r>
      <w:r>
        <w:rPr>
          <w:spacing w:val="-49"/>
        </w:rPr>
      </w:r>
      <w:r>
        <w:rPr/>
        <w:t>收入增加，货款及时回笼。</w:t>
      </w:r>
    </w:p>
    <w:p>
      <w:pPr>
        <w:pStyle w:val="BodyText"/>
        <w:spacing w:line="316" w:lineRule="auto" w:before="57"/>
        <w:ind w:right="94" w:firstLine="362"/>
        <w:jc w:val="left"/>
      </w:pPr>
      <w:r>
        <w:rPr>
          <w:spacing w:val="-2"/>
        </w:rPr>
        <w:t>经营活动产生的现金流出</w:t>
      </w:r>
      <w:r>
        <w:rPr>
          <w:rFonts w:ascii="宋体" w:hAnsi="宋体" w:cs="宋体" w:eastAsia="宋体" w:hint="default"/>
          <w:spacing w:val="-2"/>
        </w:rPr>
        <w:t>451,358.31</w:t>
      </w:r>
      <w:r>
        <w:rPr>
          <w:spacing w:val="-2"/>
        </w:rPr>
        <w:t>万元，比上年同期</w:t>
      </w:r>
      <w:r>
        <w:rPr>
          <w:rFonts w:ascii="宋体" w:hAnsi="宋体" w:cs="宋体" w:eastAsia="宋体" w:hint="default"/>
          <w:spacing w:val="-2"/>
        </w:rPr>
        <w:t>352,241.62</w:t>
      </w:r>
      <w:r>
        <w:rPr>
          <w:spacing w:val="-2"/>
        </w:rPr>
        <w:t>万元增长</w:t>
      </w:r>
      <w:r>
        <w:rPr>
          <w:rFonts w:ascii="宋体" w:hAnsi="宋体" w:cs="宋体" w:eastAsia="宋体" w:hint="default"/>
          <w:spacing w:val="-2"/>
        </w:rPr>
        <w:t>28.14%</w:t>
      </w:r>
      <w:r>
        <w:rPr>
          <w:spacing w:val="-2"/>
        </w:rPr>
        <w:t>，主要是支付其他与经营活动有关的</w:t>
      </w:r>
      <w:r>
        <w:rPr/>
        <w:t> 现金及支付给职工以及为职工支付的现金增加。</w:t>
      </w:r>
    </w:p>
    <w:p>
      <w:pPr>
        <w:pStyle w:val="BodyText"/>
        <w:spacing w:line="240" w:lineRule="auto" w:before="59"/>
        <w:ind w:left="515" w:right="0"/>
        <w:jc w:val="left"/>
      </w:pPr>
      <w:r>
        <w:rPr/>
        <w:t>经营活动产生的现金流</w:t>
      </w:r>
      <w:r>
        <w:rPr>
          <w:spacing w:val="-3"/>
        </w:rPr>
        <w:t>量</w:t>
      </w:r>
      <w:r>
        <w:rPr/>
        <w:t>净额</w:t>
      </w:r>
      <w:r>
        <w:rPr>
          <w:rFonts w:ascii="宋体" w:hAnsi="宋体" w:cs="宋体" w:eastAsia="宋体" w:hint="default"/>
          <w:spacing w:val="1"/>
        </w:rPr>
        <w:t>85</w:t>
      </w:r>
      <w:r>
        <w:rPr>
          <w:rFonts w:ascii="宋体" w:hAnsi="宋体" w:cs="宋体" w:eastAsia="宋体" w:hint="default"/>
          <w:spacing w:val="-2"/>
        </w:rPr>
        <w:t>,</w:t>
      </w:r>
      <w:r>
        <w:rPr>
          <w:rFonts w:ascii="宋体" w:hAnsi="宋体" w:cs="宋体" w:eastAsia="宋体" w:hint="default"/>
          <w:spacing w:val="1"/>
        </w:rPr>
        <w:t>7</w:t>
      </w:r>
      <w:r>
        <w:rPr>
          <w:rFonts w:ascii="宋体" w:hAnsi="宋体" w:cs="宋体" w:eastAsia="宋体" w:hint="default"/>
          <w:spacing w:val="-2"/>
        </w:rPr>
        <w:t>5</w:t>
      </w:r>
      <w:r>
        <w:rPr>
          <w:rFonts w:ascii="宋体" w:hAnsi="宋体" w:cs="宋体" w:eastAsia="宋体" w:hint="default"/>
          <w:spacing w:val="1"/>
        </w:rPr>
        <w:t>7</w:t>
      </w:r>
      <w:r>
        <w:rPr>
          <w:rFonts w:ascii="宋体" w:hAnsi="宋体" w:cs="宋体" w:eastAsia="宋体" w:hint="default"/>
          <w:spacing w:val="-2"/>
        </w:rPr>
        <w:t>.</w:t>
      </w:r>
      <w:r>
        <w:rPr>
          <w:rFonts w:ascii="宋体" w:hAnsi="宋体" w:cs="宋体" w:eastAsia="宋体" w:hint="default"/>
          <w:spacing w:val="1"/>
        </w:rPr>
        <w:t>48</w:t>
      </w:r>
      <w:r>
        <w:rPr/>
        <w:t>万元</w:t>
      </w:r>
      <w:r>
        <w:rPr>
          <w:spacing w:val="-87"/>
        </w:rPr>
        <w:t>，</w:t>
      </w:r>
      <w:r>
        <w:rPr/>
        <w:t>比上年</w:t>
      </w:r>
      <w:r>
        <w:rPr>
          <w:spacing w:val="-3"/>
        </w:rPr>
        <w:t>同</w:t>
      </w:r>
      <w:r>
        <w:rPr/>
        <w:t>期</w:t>
      </w:r>
      <w:r>
        <w:rPr>
          <w:rFonts w:ascii="宋体" w:hAnsi="宋体" w:cs="宋体" w:eastAsia="宋体" w:hint="default"/>
          <w:spacing w:val="1"/>
        </w:rPr>
        <w:t>11</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8</w:t>
      </w:r>
      <w:r>
        <w:rPr>
          <w:rFonts w:ascii="宋体" w:hAnsi="宋体" w:cs="宋体" w:eastAsia="宋体" w:hint="default"/>
          <w:spacing w:val="1"/>
        </w:rPr>
        <w:t>6</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9</w:t>
      </w:r>
      <w:r>
        <w:rPr>
          <w:rFonts w:ascii="宋体" w:hAnsi="宋体" w:cs="宋体" w:eastAsia="宋体" w:hint="default"/>
          <w:spacing w:val="1"/>
        </w:rPr>
        <w:t>1</w:t>
      </w:r>
      <w:r>
        <w:rPr/>
        <w:t>万元减少</w:t>
      </w:r>
      <w:r>
        <w:rPr>
          <w:rFonts w:ascii="宋体" w:hAnsi="宋体" w:cs="宋体" w:eastAsia="宋体" w:hint="default"/>
          <w:spacing w:val="-2"/>
        </w:rPr>
        <w:t>2</w:t>
      </w:r>
      <w:r>
        <w:rPr>
          <w:rFonts w:ascii="宋体" w:hAnsi="宋体" w:cs="宋体" w:eastAsia="宋体" w:hint="default"/>
          <w:spacing w:val="1"/>
        </w:rPr>
        <w:t>5</w:t>
      </w:r>
      <w:r>
        <w:rPr>
          <w:rFonts w:ascii="宋体" w:hAnsi="宋体" w:cs="宋体" w:eastAsia="宋体" w:hint="default"/>
          <w:spacing w:val="-2"/>
        </w:rPr>
        <w:t>,</w:t>
      </w:r>
      <w:r>
        <w:rPr>
          <w:rFonts w:ascii="宋体" w:hAnsi="宋体" w:cs="宋体" w:eastAsia="宋体" w:hint="default"/>
          <w:spacing w:val="1"/>
        </w:rPr>
        <w:t>1</w:t>
      </w:r>
      <w:r>
        <w:rPr>
          <w:rFonts w:ascii="宋体" w:hAnsi="宋体" w:cs="宋体" w:eastAsia="宋体" w:hint="default"/>
          <w:spacing w:val="-2"/>
        </w:rPr>
        <w:t>0</w:t>
      </w:r>
      <w:r>
        <w:rPr>
          <w:rFonts w:ascii="宋体" w:hAnsi="宋体" w:cs="宋体" w:eastAsia="宋体" w:hint="default"/>
          <w:spacing w:val="1"/>
        </w:rPr>
        <w:t>6</w:t>
      </w:r>
      <w:r>
        <w:rPr>
          <w:rFonts w:ascii="宋体" w:hAnsi="宋体" w:cs="宋体" w:eastAsia="宋体" w:hint="default"/>
          <w:spacing w:val="-2"/>
        </w:rPr>
        <w:t>.</w:t>
      </w:r>
      <w:r>
        <w:rPr>
          <w:rFonts w:ascii="宋体" w:hAnsi="宋体" w:cs="宋体" w:eastAsia="宋体" w:hint="default"/>
          <w:spacing w:val="1"/>
        </w:rPr>
        <w:t>4</w:t>
      </w:r>
      <w:r>
        <w:rPr>
          <w:rFonts w:ascii="宋体" w:hAnsi="宋体" w:cs="宋体" w:eastAsia="宋体" w:hint="default"/>
        </w:rPr>
        <w:t>3</w:t>
      </w:r>
      <w:r>
        <w:rPr/>
        <w:t>万元</w:t>
      </w:r>
      <w:r>
        <w:rPr>
          <w:spacing w:val="-87"/>
        </w:rPr>
        <w:t>，</w:t>
      </w:r>
      <w:r>
        <w:rPr/>
        <w:t>同比减少幅度为</w:t>
      </w:r>
      <w:r>
        <w:rPr>
          <w:rFonts w:ascii="宋体" w:hAnsi="宋体" w:cs="宋体" w:eastAsia="宋体" w:hint="default"/>
          <w:spacing w:val="-2"/>
        </w:rPr>
        <w:t>2</w:t>
      </w:r>
      <w:r>
        <w:rPr>
          <w:rFonts w:ascii="宋体" w:hAnsi="宋体" w:cs="宋体" w:eastAsia="宋体" w:hint="default"/>
          <w:spacing w:val="1"/>
        </w:rPr>
        <w:t>2</w:t>
      </w:r>
      <w:r>
        <w:rPr>
          <w:rFonts w:ascii="宋体" w:hAnsi="宋体" w:cs="宋体" w:eastAsia="宋体" w:hint="default"/>
          <w:spacing w:val="-2"/>
        </w:rPr>
        <w:t>.</w:t>
      </w:r>
      <w:r>
        <w:rPr>
          <w:rFonts w:ascii="宋体" w:hAnsi="宋体" w:cs="宋体" w:eastAsia="宋体" w:hint="default"/>
          <w:spacing w:val="1"/>
        </w:rPr>
        <w:t>6</w:t>
      </w:r>
      <w:r>
        <w:rPr>
          <w:rFonts w:ascii="宋体" w:hAnsi="宋体" w:cs="宋体" w:eastAsia="宋体" w:hint="default"/>
          <w:spacing w:val="-2"/>
        </w:rPr>
        <w:t>5%</w:t>
      </w:r>
      <w:r>
        <w:rPr/>
        <w:t>。</w:t>
      </w:r>
    </w:p>
    <w:p>
      <w:pPr>
        <w:pStyle w:val="BodyText"/>
        <w:spacing w:line="240" w:lineRule="auto" w:before="117"/>
        <w:ind w:left="426" w:right="94"/>
        <w:jc w:val="left"/>
      </w:pPr>
      <w:r>
        <w:rPr/>
        <w:t>（</w:t>
      </w:r>
      <w:r>
        <w:rPr>
          <w:rFonts w:ascii="宋体" w:hAnsi="宋体" w:cs="宋体" w:eastAsia="宋体" w:hint="default"/>
        </w:rPr>
        <w:t>2</w:t>
      </w:r>
      <w:r>
        <w:rPr/>
        <w:t>）投资活动现金流量</w:t>
      </w:r>
    </w:p>
    <w:p>
      <w:pPr>
        <w:pStyle w:val="BodyText"/>
        <w:spacing w:line="316" w:lineRule="auto" w:before="115"/>
        <w:ind w:right="182" w:firstLine="362"/>
        <w:jc w:val="left"/>
      </w:pPr>
      <w:r>
        <w:rPr>
          <w:rFonts w:ascii="宋体" w:hAnsi="宋体" w:cs="宋体" w:eastAsia="宋体" w:hint="default"/>
        </w:rPr>
        <w:t>2015</w:t>
      </w:r>
      <w:r>
        <w:rPr/>
        <w:t>年，公司投资活动产生的现金净流量</w:t>
      </w:r>
      <w:r>
        <w:rPr>
          <w:rFonts w:ascii="宋体" w:hAnsi="宋体" w:cs="宋体" w:eastAsia="宋体" w:hint="default"/>
        </w:rPr>
        <w:t>-31,924.62</w:t>
      </w:r>
      <w:r>
        <w:rPr/>
        <w:t>万元，比上年同期减少</w:t>
      </w:r>
      <w:r>
        <w:rPr>
          <w:rFonts w:ascii="宋体" w:hAnsi="宋体" w:cs="宋体" w:eastAsia="宋体" w:hint="default"/>
        </w:rPr>
        <w:t>132.82%</w:t>
      </w:r>
      <w:r>
        <w:rPr/>
        <w:t>，主要是取得子公司及其他营业单 位支付的现金净额增加所致。</w:t>
      </w:r>
    </w:p>
    <w:p>
      <w:pPr>
        <w:pStyle w:val="BodyText"/>
        <w:spacing w:line="240" w:lineRule="auto" w:before="59"/>
        <w:ind w:left="426" w:right="94"/>
        <w:jc w:val="left"/>
      </w:pPr>
      <w:r>
        <w:rPr/>
        <w:t>（</w:t>
      </w:r>
      <w:r>
        <w:rPr>
          <w:rFonts w:ascii="宋体" w:hAnsi="宋体" w:cs="宋体" w:eastAsia="宋体" w:hint="default"/>
        </w:rPr>
        <w:t>3</w:t>
      </w:r>
      <w:r>
        <w:rPr/>
        <w:t>）筹资活动现金流量</w:t>
      </w:r>
    </w:p>
    <w:p>
      <w:pPr>
        <w:pStyle w:val="BodyText"/>
        <w:spacing w:line="316" w:lineRule="auto" w:before="117"/>
        <w:ind w:left="153" w:right="181" w:firstLine="362"/>
        <w:jc w:val="left"/>
      </w:pPr>
      <w:r>
        <w:rPr>
          <w:rFonts w:ascii="宋体" w:hAnsi="宋体" w:cs="宋体" w:eastAsia="宋体" w:hint="default"/>
        </w:rPr>
        <w:t>2015</w:t>
      </w:r>
      <w:r>
        <w:rPr/>
        <w:t>年，公司筹资活动产生的现金净流量</w:t>
      </w:r>
      <w:r>
        <w:rPr>
          <w:rFonts w:ascii="宋体" w:hAnsi="宋体" w:cs="宋体" w:eastAsia="宋体" w:hint="default"/>
        </w:rPr>
        <w:t>-53,910.35</w:t>
      </w:r>
      <w:r>
        <w:rPr/>
        <w:t>万元，比上年同期减少</w:t>
      </w:r>
      <w:r>
        <w:rPr>
          <w:rFonts w:ascii="宋体" w:hAnsi="宋体" w:cs="宋体" w:eastAsia="宋体" w:hint="default"/>
        </w:rPr>
        <w:t>340.17%</w:t>
      </w:r>
      <w:r>
        <w:rPr/>
        <w:t>，主要是分配股利、利润或偿付利 息支付的现金同比增加所致。</w:t>
      </w:r>
    </w:p>
    <w:p>
      <w:pPr>
        <w:pStyle w:val="BodyText"/>
        <w:spacing w:line="316" w:lineRule="auto" w:before="57"/>
        <w:ind w:left="153" w:right="243" w:firstLine="362"/>
        <w:jc w:val="left"/>
      </w:pPr>
      <w:r>
        <w:rPr>
          <w:rFonts w:ascii="宋体" w:hAnsi="宋体" w:cs="宋体" w:eastAsia="宋体" w:hint="default"/>
        </w:rPr>
        <w:t>2015</w:t>
      </w:r>
      <w:r>
        <w:rPr>
          <w:rFonts w:ascii="宋体" w:hAnsi="宋体" w:cs="宋体" w:eastAsia="宋体" w:hint="default"/>
          <w:spacing w:val="-48"/>
        </w:rPr>
        <w:t> </w:t>
      </w:r>
      <w:r>
        <w:rPr/>
        <w:t>年，现金及现金等价物净增加额</w:t>
      </w:r>
      <w:r>
        <w:rPr>
          <w:rFonts w:ascii="宋体" w:hAnsi="宋体" w:cs="宋体" w:eastAsia="宋体" w:hint="default"/>
        </w:rPr>
        <w:t>-98.90</w:t>
      </w:r>
      <w:r>
        <w:rPr>
          <w:rFonts w:ascii="宋体" w:hAnsi="宋体" w:cs="宋体" w:eastAsia="宋体" w:hint="default"/>
          <w:spacing w:val="-48"/>
        </w:rPr>
        <w:t> </w:t>
      </w:r>
      <w:r>
        <w:rPr/>
        <w:t>万元，与上年同期</w:t>
      </w:r>
      <w:r>
        <w:rPr>
          <w:spacing w:val="-49"/>
        </w:rPr>
        <w:t> </w:t>
      </w:r>
      <w:r>
        <w:rPr>
          <w:rFonts w:ascii="宋体" w:hAnsi="宋体" w:cs="宋体" w:eastAsia="宋体" w:hint="default"/>
        </w:rPr>
        <w:t>84,681.92</w:t>
      </w:r>
      <w:r>
        <w:rPr>
          <w:rFonts w:ascii="宋体" w:hAnsi="宋体" w:cs="宋体" w:eastAsia="宋体" w:hint="default"/>
          <w:spacing w:val="-48"/>
        </w:rPr>
        <w:t> </w:t>
      </w:r>
      <w:r>
        <w:rPr/>
        <w:t>万元相比减少</w:t>
      </w:r>
      <w:r>
        <w:rPr>
          <w:spacing w:val="-49"/>
        </w:rPr>
        <w:t> </w:t>
      </w:r>
      <w:r>
        <w:rPr>
          <w:rFonts w:ascii="宋体" w:hAnsi="宋体" w:cs="宋体" w:eastAsia="宋体" w:hint="default"/>
        </w:rPr>
        <w:t>100.12%</w:t>
      </w:r>
      <w:r>
        <w:rPr/>
        <w:t>，主要是分配股利、 利润或偿付利息支付的现金增加。</w:t>
      </w:r>
    </w:p>
    <w:p>
      <w:pPr>
        <w:pStyle w:val="BodyText"/>
        <w:spacing w:line="240" w:lineRule="auto" w:before="59"/>
        <w:ind w:left="153" w:right="94"/>
        <w:jc w:val="left"/>
      </w:pPr>
      <w:r>
        <w:rPr/>
        <w:t>报告期内公司经营活动产生的现金净流量与本年度净利润存在重大差异的原因说明</w:t>
      </w:r>
    </w:p>
    <w:p>
      <w:pPr>
        <w:pStyle w:val="BodyText"/>
        <w:spacing w:line="240" w:lineRule="auto" w:before="117"/>
        <w:ind w:left="153"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3"/>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310"/>
        <w:gridCol w:w="1560"/>
        <w:gridCol w:w="3403"/>
        <w:gridCol w:w="1771"/>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4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11"/>
        <w:gridCol w:w="1322"/>
        <w:gridCol w:w="1560"/>
        <w:gridCol w:w="3403"/>
        <w:gridCol w:w="1771"/>
      </w:tblGrid>
      <w:tr>
        <w:trPr>
          <w:trHeight w:val="401" w:hRule="exact"/>
        </w:trPr>
        <w:tc>
          <w:tcPr>
            <w:tcW w:w="15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48,392,274.55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4.59%</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主要是委托理财的投资收益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20,534,712.34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主要是存货和可供出售金融资产计提减值</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230,832,792.94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21.91%</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主要是政府补助及其他</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1,538,780.87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0.15%</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主要是非流动资产处置损失及其他</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w:t>
      </w:r>
      <w:bookmarkStart w:name="四、资产及负债状况分析" w:id="42"/>
      <w:bookmarkEnd w:id="42"/>
      <w:r>
        <w:rPr/>
        <w:t>债</w:t>
      </w:r>
      <w:r>
        <w:rPr/>
        <w:t>状况分析</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、资产构成、负债构成重大变动</w:t>
      </w:r>
      <w:bookmarkStart w:name="1、资产构成、负债构成重大变动情况" w:id="43"/>
      <w:bookmarkEnd w:id="43"/>
      <w:r>
        <w:rPr/>
        <w:t>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93" w:type="dxa"/>
        <w:tblLayout w:type="fixed"/>
        <w:tblCellMar>
          <w:top w:w="0" w:type="dxa"/>
          <w:left w:w="0" w:type="dxa"/>
          <w:bottom w:w="0" w:type="dxa"/>
          <w:right w:w="0" w:type="dxa"/>
        </w:tblCellMar>
        <w:tblLook w:val="01E0"/>
      </w:tblPr>
      <w:tblGrid>
        <w:gridCol w:w="1396"/>
        <w:gridCol w:w="1427"/>
        <w:gridCol w:w="852"/>
        <w:gridCol w:w="1416"/>
        <w:gridCol w:w="852"/>
        <w:gridCol w:w="850"/>
        <w:gridCol w:w="2765"/>
      </w:tblGrid>
      <w:tr>
        <w:trPr>
          <w:trHeight w:val="385"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227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4D4D4"/>
          </w:tcPr>
          <w:p>
            <w:pPr/>
          </w:p>
        </w:tc>
        <w:tc>
          <w:tcPr>
            <w:tcW w:w="276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9" w:hRule="exact"/>
        </w:trPr>
        <w:tc>
          <w:tcPr>
            <w:tcW w:w="1396" w:type="dxa"/>
            <w:vMerge w:val="restart"/>
            <w:tcBorders>
              <w:top w:val="nil" w:sz="6" w:space="0" w:color="auto"/>
              <w:left w:val="single" w:sz="4" w:space="0" w:color="000000"/>
              <w:right w:val="single" w:sz="4" w:space="0" w:color="000000"/>
            </w:tcBorders>
            <w:shd w:val="clear" w:color="auto" w:fill="D4D4D4"/>
          </w:tcPr>
          <w:p>
            <w:pPr/>
          </w:p>
        </w:tc>
        <w:tc>
          <w:tcPr>
            <w:tcW w:w="1427"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6" w:type="dxa"/>
            <w:tcBorders>
              <w:top w:val="single" w:sz="4" w:space="0" w:color="000000"/>
              <w:left w:val="single" w:sz="4" w:space="0" w:color="000000"/>
              <w:bottom w:val="nil" w:sz="6" w:space="0" w:color="auto"/>
              <w:right w:val="single" w:sz="4" w:space="0" w:color="000000"/>
            </w:tcBorders>
            <w:shd w:val="clear" w:color="auto" w:fill="D4D4D4"/>
          </w:tcPr>
          <w:p>
            <w:pP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242"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5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6"/>
              <w:ind w:left="83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96" w:type="dxa"/>
            <w:vMerge/>
            <w:tcBorders>
              <w:left w:val="single" w:sz="4" w:space="0" w:color="000000"/>
              <w:bottom w:val="nil" w:sz="6" w:space="0" w:color="auto"/>
              <w:right w:val="single" w:sz="4" w:space="0" w:color="000000"/>
            </w:tcBorders>
            <w:shd w:val="clear" w:color="auto" w:fill="D4D4D4"/>
          </w:tcPr>
          <w:p>
            <w:pPr/>
          </w:p>
        </w:tc>
        <w:tc>
          <w:tcPr>
            <w:tcW w:w="14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4D4D4"/>
          </w:tcPr>
          <w:p>
            <w:pPr/>
          </w:p>
        </w:tc>
        <w:tc>
          <w:tcPr>
            <w:tcW w:w="14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4D4D4"/>
          </w:tcPr>
          <w:p>
            <w:pPr/>
          </w:p>
        </w:tc>
        <w:tc>
          <w:tcPr>
            <w:tcW w:w="850" w:type="dxa"/>
            <w:vMerge/>
            <w:tcBorders>
              <w:left w:val="single" w:sz="4" w:space="0" w:color="000000"/>
              <w:bottom w:val="nil" w:sz="6" w:space="0" w:color="auto"/>
              <w:right w:val="single" w:sz="4" w:space="0" w:color="000000"/>
            </w:tcBorders>
            <w:shd w:val="clear" w:color="auto" w:fill="D4D4D4"/>
          </w:tcPr>
          <w:p>
            <w:pPr/>
          </w:p>
        </w:tc>
        <w:tc>
          <w:tcPr>
            <w:tcW w:w="2765"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96" w:type="dxa"/>
            <w:vMerge w:val="restart"/>
            <w:tcBorders>
              <w:top w:val="nil" w:sz="6" w:space="0" w:color="auto"/>
              <w:left w:val="single" w:sz="4" w:space="0" w:color="000000"/>
              <w:right w:val="single" w:sz="4" w:space="0" w:color="000000"/>
            </w:tcBorders>
            <w:shd w:val="clear" w:color="auto" w:fill="D4D4D4"/>
          </w:tcPr>
          <w:p>
            <w:pPr/>
          </w:p>
        </w:tc>
        <w:tc>
          <w:tcPr>
            <w:tcW w:w="1427" w:type="dxa"/>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1416" w:type="dxa"/>
            <w:vMerge/>
            <w:tcBorders>
              <w:left w:val="single" w:sz="4" w:space="0" w:color="000000"/>
              <w:bottom w:val="nil" w:sz="6" w:space="0" w:color="auto"/>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850" w:type="dxa"/>
            <w:vMerge w:val="restart"/>
            <w:tcBorders>
              <w:top w:val="nil" w:sz="6" w:space="0" w:color="auto"/>
              <w:left w:val="single" w:sz="4" w:space="0" w:color="000000"/>
              <w:right w:val="single" w:sz="4" w:space="0" w:color="000000"/>
            </w:tcBorders>
            <w:shd w:val="clear" w:color="auto" w:fill="D4D4D4"/>
          </w:tcPr>
          <w:p>
            <w:pPr/>
          </w:p>
        </w:tc>
        <w:tc>
          <w:tcPr>
            <w:tcW w:w="2765"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96" w:type="dxa"/>
            <w:vMerge/>
            <w:tcBorders>
              <w:left w:val="single" w:sz="4" w:space="0" w:color="000000"/>
              <w:bottom w:val="single" w:sz="4" w:space="0" w:color="000000"/>
              <w:right w:val="single" w:sz="4" w:space="0" w:color="000000"/>
            </w:tcBorders>
            <w:shd w:val="clear" w:color="auto" w:fill="D4D4D4"/>
          </w:tcPr>
          <w:p>
            <w:pPr/>
          </w:p>
        </w:tc>
        <w:tc>
          <w:tcPr>
            <w:tcW w:w="1427" w:type="dxa"/>
            <w:tcBorders>
              <w:top w:val="nil" w:sz="6" w:space="0" w:color="auto"/>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1416" w:type="dxa"/>
            <w:tcBorders>
              <w:top w:val="nil" w:sz="6" w:space="0" w:color="auto"/>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276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2,494,674,751.38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2,491,794,633.92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w:t>
            </w: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793,698,335.44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601,068,367.86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主要是销售收入持续增长所致</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2,143,497,996.10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27.84%</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1,785,537,995.21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26.87%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0.97%</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主要是根据市场订单和行业特点所 做的正常储备及发出商品增加所致</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3"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36,305,524.94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0.47%</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33,797,654.09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0.51%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-0.04%</w:t>
            </w:r>
          </w:p>
        </w:tc>
        <w:tc>
          <w:tcPr>
            <w:tcW w:w="276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主要是控股子公司龙源环保作为存 货的厂房转为出租所致</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65,939,015.88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65,872,732.92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主要是参股公司盈利所致</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578,063,013.02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543,707,699.06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主要是企业合并增加所致</w:t>
            </w: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60,281,481.44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0.78%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9" w:right="0"/>
              <w:jc w:val="left"/>
              <w:rPr>
                <w:rFonts w:ascii="Times New Roman" w:hAnsi="Times New Roman" w:cs="Times New Roman" w:eastAsia="Times New Roman" w:hint="default"/>
                <w:sz w:val="18"/>
                <w:szCs w:val="18"/>
              </w:rPr>
            </w:pPr>
            <w:r>
              <w:rPr>
                <w:rFonts w:ascii="Times New Roman"/>
                <w:sz w:val="18"/>
              </w:rPr>
              <w:t>3,594,075.52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0.73%</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主要是广州金融外包服务总部平台 建设的投入。</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3"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5,000,000.00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0.06%</w:t>
            </w: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0.06%</w:t>
            </w:r>
          </w:p>
        </w:tc>
        <w:tc>
          <w:tcPr>
            <w:tcW w:w="276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主要是并购的公司因经营周转需要 借款</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1"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8,063,693.00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0.10%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23,115,446.00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0.35%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-0.25%</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主要是收到的银行承兑票据及时背 书转让所致</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25,266,364.91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32,003,340.39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主要是预付货款减少所致</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233,421,040.38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1,015,874.91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主要是溢价收购所致</w:t>
            </w:r>
          </w:p>
        </w:tc>
      </w:tr>
      <w:tr>
        <w:trPr>
          <w:trHeight w:val="163"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134,434,867.00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1.75%</w:t>
            </w: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1.75%</w:t>
            </w:r>
          </w:p>
        </w:tc>
        <w:tc>
          <w:tcPr>
            <w:tcW w:w="276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主要是预付股权转让款及金融外包 服务平台办公场地款</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6,048,973.23</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3,266,410.15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主要是办公场地装修费增加所致</w:t>
            </w:r>
          </w:p>
        </w:tc>
      </w:tr>
      <w:tr>
        <w:trPr>
          <w:trHeight w:val="163"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9"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84,349,277.01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1.10%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52,436,469.63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0.79%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0.31%</w:t>
            </w:r>
          </w:p>
        </w:tc>
        <w:tc>
          <w:tcPr>
            <w:tcW w:w="276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主要是预提费用及短期薪酬增加引 起的可抵扣暂时性差异增加</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27" w:type="dxa"/>
            <w:vMerge/>
            <w:tcBorders>
              <w:left w:val="single" w:sz="9"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9"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71,392,263.55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109,886,419.35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主要是期末开具承兑汇票减少</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2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1,545,670,543.50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1,142,042,092.79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主要是合同预收款增加</w:t>
            </w:r>
          </w:p>
        </w:tc>
      </w:tr>
      <w:tr>
        <w:trPr>
          <w:trHeight w:val="142" w:hRule="exact"/>
        </w:trPr>
        <w:tc>
          <w:tcPr>
            <w:tcW w:w="13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427" w:type="dxa"/>
            <w:vMerge w:val="restart"/>
            <w:tcBorders>
              <w:top w:val="single" w:sz="4" w:space="0" w:color="000000"/>
              <w:left w:val="single" w:sz="12" w:space="0" w:color="D4D4D4"/>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369,338,020.74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4.80%</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269,237,905.62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4.05%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0.75%</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主要是公司规模扩大，员工人数同 比增加及按销售收入预提的绩效奖</w:t>
            </w:r>
          </w:p>
        </w:tc>
      </w:tr>
      <w:tr>
        <w:trPr>
          <w:trHeight w:val="391" w:hRule="exact"/>
        </w:trPr>
        <w:tc>
          <w:tcPr>
            <w:tcW w:w="13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27" w:type="dxa"/>
            <w:vMerge/>
            <w:tcBorders>
              <w:left w:val="single" w:sz="12" w:space="0" w:color="D4D4D4"/>
              <w:right w:val="single" w:sz="4" w:space="0" w:color="000000"/>
            </w:tcBorders>
          </w:tcPr>
          <w:p>
            <w:pPr/>
          </w:p>
        </w:tc>
        <w:tc>
          <w:tcPr>
            <w:tcW w:w="85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42" w:hRule="exact"/>
        </w:trPr>
        <w:tc>
          <w:tcPr>
            <w:tcW w:w="13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27" w:type="dxa"/>
            <w:vMerge/>
            <w:tcBorders>
              <w:left w:val="single" w:sz="12" w:space="0" w:color="D4D4D4"/>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1417"/>
        <w:gridCol w:w="1416"/>
        <w:gridCol w:w="852"/>
        <w:gridCol w:w="1416"/>
        <w:gridCol w:w="852"/>
        <w:gridCol w:w="850"/>
        <w:gridCol w:w="2765"/>
      </w:tblGrid>
      <w:tr>
        <w:trPr>
          <w:trHeight w:val="362"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金增加所致</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177,082,837.50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122,623,189.05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主要是应付技术服务费增加</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67,678,967.03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37,846,148.32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主要是政府补助增加所致</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4,009,461.72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主要是非同一控制企业合并资产评 估增值所致</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1,435,611.87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-844,445.51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主要是外币财务报表折算差额增加 所致</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253,256,792.24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179,749,674.03</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主要是控股式并购公司增加所致</w:t>
            </w:r>
          </w:p>
        </w:tc>
      </w:tr>
    </w:tbl>
    <w:p>
      <w:pPr>
        <w:spacing w:line="240" w:lineRule="auto" w:before="4"/>
        <w:rPr>
          <w:rFonts w:ascii="宋体" w:hAnsi="宋体" w:cs="宋体" w:eastAsia="宋体" w:hint="default"/>
          <w:sz w:val="20"/>
          <w:szCs w:val="20"/>
        </w:rPr>
      </w:pPr>
    </w:p>
    <w:p>
      <w:pPr>
        <w:pStyle w:val="Heading5"/>
        <w:spacing w:line="240" w:lineRule="auto" w:before="44"/>
        <w:ind w:right="0"/>
        <w:jc w:val="left"/>
        <w:rPr>
          <w:b w:val="0"/>
          <w:bCs w:val="0"/>
        </w:rPr>
      </w:pPr>
      <w:bookmarkStart w:name="五、投资状况分析" w:id="44"/>
      <w:bookmarkEnd w:id="44"/>
      <w:r>
        <w:rPr>
          <w:b w:val="0"/>
          <w:bCs w:val="0"/>
        </w:rPr>
      </w:r>
      <w:bookmarkStart w:name="1、总体情况" w:id="45"/>
      <w:bookmarkEnd w:id="45"/>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bookmarkStart w:name="2、以公允价值计量的资产和负债" w:id="46"/>
      <w:bookmarkEnd w:id="46"/>
      <w:r>
        <w:rPr/>
      </w: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4"/>
        <w:gridCol w:w="1152"/>
        <w:gridCol w:w="1127"/>
        <w:gridCol w:w="1418"/>
        <w:gridCol w:w="1133"/>
        <w:gridCol w:w="852"/>
        <w:gridCol w:w="692"/>
        <w:gridCol w:w="1081"/>
      </w:tblGrid>
      <w:tr>
        <w:trPr>
          <w:trHeight w:val="163" w:hRule="exact"/>
        </w:trPr>
        <w:tc>
          <w:tcPr>
            <w:tcW w:w="2104" w:type="dxa"/>
            <w:tcBorders>
              <w:top w:val="single" w:sz="4" w:space="0" w:color="000000"/>
              <w:left w:val="single" w:sz="4" w:space="0" w:color="000000"/>
              <w:bottom w:val="nil" w:sz="6" w:space="0" w:color="auto"/>
              <w:right w:val="single" w:sz="4" w:space="0" w:color="000000"/>
            </w:tcBorders>
            <w:shd w:val="clear" w:color="auto" w:fill="D4D4D4"/>
          </w:tcPr>
          <w:p>
            <w:pPr/>
          </w:p>
        </w:tc>
        <w:tc>
          <w:tcPr>
            <w:tcW w:w="1152"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7"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106"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162" w:right="72"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81" w:right="110"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85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239" w:right="62"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69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73" w:right="68"/>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08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21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27" w:type="dxa"/>
            <w:vMerge/>
            <w:tcBorders>
              <w:left w:val="single" w:sz="4" w:space="0" w:color="000000"/>
              <w:right w:val="single" w:sz="4" w:space="0" w:color="000000"/>
            </w:tcBorders>
            <w:shd w:val="clear" w:color="auto" w:fill="D4D4D4"/>
          </w:tcPr>
          <w:p>
            <w:pPr/>
          </w:p>
        </w:tc>
        <w:tc>
          <w:tcPr>
            <w:tcW w:w="1418" w:type="dxa"/>
            <w:vMerge/>
            <w:tcBorders>
              <w:left w:val="single" w:sz="4" w:space="0" w:color="000000"/>
              <w:right w:val="single" w:sz="4" w:space="0" w:color="000000"/>
            </w:tcBorders>
            <w:shd w:val="clear" w:color="auto" w:fill="D4D4D4"/>
          </w:tcPr>
          <w:p>
            <w:pPr/>
          </w:p>
        </w:tc>
        <w:tc>
          <w:tcPr>
            <w:tcW w:w="1133" w:type="dxa"/>
            <w:vMerge/>
            <w:tcBorders>
              <w:left w:val="single" w:sz="4" w:space="0" w:color="000000"/>
              <w:right w:val="single" w:sz="4" w:space="0" w:color="000000"/>
            </w:tcBorders>
            <w:shd w:val="clear" w:color="auto" w:fill="D4D4D4"/>
          </w:tcPr>
          <w:p>
            <w:pPr/>
          </w:p>
        </w:tc>
        <w:tc>
          <w:tcPr>
            <w:tcW w:w="852" w:type="dxa"/>
            <w:vMerge/>
            <w:tcBorders>
              <w:left w:val="single" w:sz="4" w:space="0" w:color="000000"/>
              <w:right w:val="single" w:sz="4" w:space="0" w:color="000000"/>
            </w:tcBorders>
            <w:shd w:val="clear" w:color="auto" w:fill="D4D4D4"/>
          </w:tcPr>
          <w:p>
            <w:pPr/>
          </w:p>
        </w:tc>
        <w:tc>
          <w:tcPr>
            <w:tcW w:w="692" w:type="dxa"/>
            <w:vMerge/>
            <w:tcBorders>
              <w:left w:val="single" w:sz="4" w:space="0" w:color="000000"/>
              <w:right w:val="single" w:sz="4" w:space="0" w:color="000000"/>
            </w:tcBorders>
            <w:shd w:val="clear" w:color="auto" w:fill="D4D4D4"/>
          </w:tcPr>
          <w:p>
            <w:pPr/>
          </w:p>
        </w:tc>
        <w:tc>
          <w:tcPr>
            <w:tcW w:w="108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2104" w:type="dxa"/>
            <w:tcBorders>
              <w:top w:val="nil" w:sz="6" w:space="0" w:color="auto"/>
              <w:left w:val="single" w:sz="4" w:space="0" w:color="000000"/>
              <w:bottom w:val="single" w:sz="4" w:space="0" w:color="000000"/>
              <w:right w:val="single" w:sz="4" w:space="0" w:color="000000"/>
            </w:tcBorders>
            <w:shd w:val="clear" w:color="auto" w:fill="D4D4D4"/>
          </w:tcPr>
          <w:p>
            <w:pPr/>
          </w:p>
        </w:tc>
        <w:tc>
          <w:tcPr>
            <w:tcW w:w="1152"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7"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852" w:type="dxa"/>
            <w:vMerge/>
            <w:tcBorders>
              <w:left w:val="single" w:sz="4" w:space="0" w:color="000000"/>
              <w:bottom w:val="single" w:sz="4" w:space="0" w:color="000000"/>
              <w:right w:val="single" w:sz="4" w:space="0" w:color="000000"/>
            </w:tcBorders>
            <w:shd w:val="clear" w:color="auto" w:fill="D4D4D4"/>
          </w:tcPr>
          <w:p>
            <w:pPr/>
          </w:p>
        </w:tc>
        <w:tc>
          <w:tcPr>
            <w:tcW w:w="692" w:type="dxa"/>
            <w:vMerge/>
            <w:tcBorders>
              <w:left w:val="single" w:sz="4" w:space="0" w:color="000000"/>
              <w:bottom w:val="single" w:sz="4" w:space="0" w:color="000000"/>
              <w:right w:val="single" w:sz="4" w:space="0" w:color="000000"/>
            </w:tcBorders>
            <w:shd w:val="clear" w:color="auto" w:fill="D4D4D4"/>
          </w:tcPr>
          <w:p>
            <w:pPr/>
          </w:p>
        </w:tc>
        <w:tc>
          <w:tcPr>
            <w:tcW w:w="108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6"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456" w:type="dxa"/>
            <w:gridSpan w:val="7"/>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027"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动计入当期损益的金融资 产（不含衍生金融资产）</w:t>
            </w:r>
          </w:p>
        </w:tc>
        <w:tc>
          <w:tcPr>
            <w:tcW w:w="1152" w:type="dxa"/>
            <w:tcBorders>
              <w:top w:val="single" w:sz="4" w:space="0" w:color="000000"/>
              <w:left w:val="single" w:sz="10" w:space="0" w:color="D4D4D4"/>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52" w:type="dxa"/>
            <w:tcBorders>
              <w:top w:val="single" w:sz="4" w:space="0" w:color="000000"/>
              <w:left w:val="single" w:sz="10" w:space="0" w:color="D4D4D4"/>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5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355,323.65</w:t>
            </w: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5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355,323.65</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52" w:type="dxa"/>
            <w:tcBorders>
              <w:top w:val="single" w:sz="4" w:space="0" w:color="000000"/>
              <w:left w:val="single" w:sz="10" w:space="0" w:color="D4D4D4"/>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52" w:type="dxa"/>
            <w:tcBorders>
              <w:top w:val="single" w:sz="4" w:space="0" w:color="000000"/>
              <w:left w:val="single" w:sz="10" w:space="0" w:color="D4D4D4"/>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2" w:type="dxa"/>
            <w:tcBorders>
              <w:top w:val="single" w:sz="4" w:space="0" w:color="000000"/>
              <w:left w:val="single" w:sz="10" w:space="0" w:color="D4D4D4"/>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355,323.65</w:t>
            </w:r>
          </w:p>
        </w:tc>
      </w:tr>
      <w:tr>
        <w:trPr>
          <w:trHeight w:val="403" w:hRule="exact"/>
        </w:trPr>
        <w:tc>
          <w:tcPr>
            <w:tcW w:w="21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报告期内公司主要资产计量属性是否发生重大变化</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3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442,551,400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7" w:right="0"/>
              <w:jc w:val="left"/>
              <w:rPr>
                <w:rFonts w:ascii="Times New Roman" w:hAnsi="Times New Roman" w:cs="Times New Roman" w:eastAsia="Times New Roman" w:hint="default"/>
                <w:sz w:val="18"/>
                <w:szCs w:val="18"/>
              </w:rPr>
            </w:pPr>
            <w:r>
              <w:rPr>
                <w:rFonts w:ascii="Times New Roman"/>
                <w:sz w:val="18"/>
              </w:rPr>
              <w:t>532.22%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r>
        <w:rPr/>
        <w:pict>
          <v:shape style="position:absolute;margin-left:87.239998pt;margin-top:396.959991pt;width:79pt;height:31.2pt;mso-position-horizontal-relative:page;mso-position-vertical-relative:page;z-index:-11236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巡逻、守护、</w:t>
                  </w:r>
                </w:p>
              </w:txbxContent>
            </v:textbox>
            <w10:wrap type="none"/>
          </v:shape>
        </w:pict>
      </w:r>
    </w:p>
    <w:p>
      <w:pPr>
        <w:pStyle w:val="Heading5"/>
        <w:spacing w:line="240" w:lineRule="auto" w:before="44"/>
        <w:ind w:left="19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192" w:right="0"/>
        <w:jc w:val="left"/>
      </w:pPr>
      <w:r>
        <w:rPr>
          <w:rFonts w:ascii="Times New Roman" w:hAnsi="Times New Roman" w:cs="Times New Roman" w:eastAsia="Times New Roman" w:hint="default"/>
        </w:rPr>
        <w:t>√  </w:t>
      </w:r>
      <w:r>
        <w:rPr/>
        <w:t>适用 </w:t>
      </w:r>
      <w:bookmarkStart w:name="2、报告期内获取的重大的股权投资情况" w:id="47"/>
      <w:bookmarkEnd w:id="47"/>
      <w:r>
        <w:rPr/>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233"/>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15"/>
        <w:jc w:val="right"/>
      </w:pPr>
      <w:r>
        <w:rPr/>
        <w:pict>
          <v:shape style="position:absolute;margin-left:52.799999pt;margin-top:-114.488251pt;width:489.75pt;height:620.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5"/>
                    <w:gridCol w:w="1046"/>
                    <w:gridCol w:w="566"/>
                    <w:gridCol w:w="566"/>
                    <w:gridCol w:w="427"/>
                    <w:gridCol w:w="533"/>
                    <w:gridCol w:w="742"/>
                    <w:gridCol w:w="492"/>
                    <w:gridCol w:w="619"/>
                    <w:gridCol w:w="590"/>
                    <w:gridCol w:w="497"/>
                    <w:gridCol w:w="708"/>
                    <w:gridCol w:w="569"/>
                    <w:gridCol w:w="708"/>
                    <w:gridCol w:w="1061"/>
                  </w:tblGrid>
                  <w:tr>
                    <w:trPr>
                      <w:trHeight w:val="2273" w:hRule="exact"/>
                    </w:trPr>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338" w:right="33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28" w:right="2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81" w:right="79"/>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62" w:right="59"/>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124" w:right="122"/>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4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4" w:right="6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9" w:right="77"/>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57" w:lineRule="auto"/>
                          <w:ind w:left="98" w:right="9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45" w:right="19" w:hanging="322"/>
                          <w:jc w:val="left"/>
                          <w:rPr>
                            <w:rFonts w:ascii="宋体" w:hAnsi="宋体" w:cs="宋体" w:eastAsia="宋体" w:hint="default"/>
                            <w:sz w:val="18"/>
                            <w:szCs w:val="18"/>
                          </w:rPr>
                        </w:pPr>
                        <w:r>
                          <w:rPr>
                            <w:rFonts w:ascii="宋体" w:hAnsi="宋体" w:cs="宋体" w:eastAsia="宋体" w:hint="default"/>
                            <w:spacing w:val="-13"/>
                            <w:sz w:val="18"/>
                            <w:szCs w:val="18"/>
                          </w:rPr>
                          <w:t>披露索引（如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w:t>
                        </w:r>
                      </w:p>
                    </w:tc>
                  </w:tr>
                  <w:tr>
                    <w:trPr>
                      <w:trHeight w:val="289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52" w:right="50"/>
                          <w:jc w:val="both"/>
                          <w:rPr>
                            <w:rFonts w:ascii="宋体" w:hAnsi="宋体" w:cs="宋体" w:eastAsia="宋体" w:hint="default"/>
                            <w:sz w:val="18"/>
                            <w:szCs w:val="18"/>
                          </w:rPr>
                        </w:pPr>
                        <w:r>
                          <w:rPr>
                            <w:rFonts w:ascii="宋体" w:hAnsi="宋体" w:cs="宋体" w:eastAsia="宋体" w:hint="default"/>
                            <w:sz w:val="18"/>
                            <w:szCs w:val="18"/>
                          </w:rPr>
                          <w:t>深圳市 创自技 术有限 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9" w:hanging="1"/>
                          <w:jc w:val="center"/>
                          <w:rPr>
                            <w:rFonts w:ascii="宋体" w:hAnsi="宋体" w:cs="宋体" w:eastAsia="宋体" w:hint="default"/>
                            <w:sz w:val="18"/>
                            <w:szCs w:val="18"/>
                          </w:rPr>
                        </w:pPr>
                        <w:r>
                          <w:rPr>
                            <w:rFonts w:ascii="宋体" w:hAnsi="宋体" w:cs="宋体" w:eastAsia="宋体" w:hint="default"/>
                            <w:sz w:val="18"/>
                            <w:szCs w:val="18"/>
                          </w:rPr>
                          <w:t>卡座、读卡 器、收发卡 器、读写卡 </w:t>
                        </w:r>
                        <w:r>
                          <w:rPr>
                            <w:rFonts w:ascii="宋体" w:hAnsi="宋体" w:cs="宋体" w:eastAsia="宋体" w:hint="default"/>
                            <w:spacing w:val="-15"/>
                            <w:sz w:val="18"/>
                            <w:szCs w:val="18"/>
                          </w:rPr>
                          <w:t>器、纸币识别</w:t>
                        </w:r>
                        <w:r>
                          <w:rPr>
                            <w:rFonts w:ascii="宋体" w:hAnsi="宋体" w:cs="宋体" w:eastAsia="宋体" w:hint="default"/>
                            <w:sz w:val="18"/>
                            <w:szCs w:val="18"/>
                          </w:rPr>
                          <w:t> </w:t>
                        </w:r>
                        <w:r>
                          <w:rPr>
                            <w:rFonts w:ascii="宋体" w:hAnsi="宋体" w:cs="宋体" w:eastAsia="宋体" w:hint="default"/>
                            <w:spacing w:val="-16"/>
                            <w:sz w:val="18"/>
                            <w:szCs w:val="18"/>
                          </w:rPr>
                          <w:t>器、软件、电</w:t>
                        </w:r>
                        <w:r>
                          <w:rPr>
                            <w:rFonts w:ascii="宋体" w:hAnsi="宋体" w:cs="宋体" w:eastAsia="宋体" w:hint="default"/>
                            <w:sz w:val="18"/>
                            <w:szCs w:val="18"/>
                          </w:rPr>
                          <w:t> 子终端设备 的生产与销 售等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6"/>
                          <w:jc w:val="righ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136,50</w:t>
                        </w:r>
                      </w:p>
                      <w:p>
                        <w:pPr>
                          <w:pStyle w:val="TableParagraph"/>
                          <w:spacing w:line="240" w:lineRule="auto" w:before="102"/>
                          <w:ind w:left="76" w:right="0"/>
                          <w:jc w:val="left"/>
                          <w:rPr>
                            <w:rFonts w:ascii="Times New Roman" w:hAnsi="Times New Roman" w:cs="Times New Roman" w:eastAsia="Times New Roman" w:hint="default"/>
                            <w:sz w:val="18"/>
                            <w:szCs w:val="18"/>
                          </w:rPr>
                        </w:pPr>
                        <w:r>
                          <w:rPr>
                            <w:rFonts w:ascii="Times New Roman"/>
                            <w:sz w:val="18"/>
                          </w:rPr>
                          <w:t>0,000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7" w:hanging="5"/>
                          <w:jc w:val="center"/>
                          <w:rPr>
                            <w:rFonts w:ascii="宋体" w:hAnsi="宋体" w:cs="宋体" w:eastAsia="宋体" w:hint="default"/>
                            <w:sz w:val="18"/>
                            <w:szCs w:val="18"/>
                          </w:rPr>
                        </w:pPr>
                        <w:r>
                          <w:rPr>
                            <w:rFonts w:ascii="宋体" w:hAnsi="宋体" w:cs="宋体" w:eastAsia="宋体" w:hint="default"/>
                            <w:sz w:val="18"/>
                            <w:szCs w:val="18"/>
                          </w:rPr>
                          <w:t>深圳市 创自成 长投资 企业与 王朝晖 等</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个自 然人</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3"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312" w:lineRule="auto" w:before="60"/>
                          <w:ind w:left="110" w:right="17" w:hanging="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 工商 变更</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5,239,40</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300" w:lineRule="auto" w:before="63"/>
                          <w:ind w:left="23" w:right="18"/>
                          <w:jc w:val="center"/>
                          <w:rPr>
                            <w:rFonts w:ascii="宋体" w:hAnsi="宋体" w:cs="宋体" w:eastAsia="宋体" w:hint="default"/>
                            <w:sz w:val="18"/>
                            <w:szCs w:val="18"/>
                          </w:rPr>
                        </w:pP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hanging="53"/>
                          <w:jc w:val="center"/>
                          <w:rPr>
                            <w:rFonts w:ascii="宋体" w:hAnsi="宋体" w:cs="宋体" w:eastAsia="宋体" w:hint="default"/>
                            <w:sz w:val="18"/>
                            <w:szCs w:val="18"/>
                          </w:rPr>
                        </w:pPr>
                        <w:r>
                          <w:rPr>
                            <w:rFonts w:ascii="宋体" w:hAnsi="宋体" w:cs="宋体" w:eastAsia="宋体" w:hint="default"/>
                            <w:sz w:val="18"/>
                            <w:szCs w:val="18"/>
                          </w:rPr>
                          <w:t>《证券时报 及巨潮资讯 网</w:t>
                        </w:r>
                      </w:p>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hyperlink r:id="rId12">
                          <w:r>
                            <w:rPr>
                              <w:rFonts w:ascii="Times New Roman" w:hAnsi="Times New Roman" w:cs="Times New Roman" w:eastAsia="Times New Roman" w:hint="default"/>
                              <w:sz w:val="18"/>
                              <w:szCs w:val="18"/>
                              <w:u w:val="single" w:color="000000"/>
                            </w:rPr>
                            <w:t>http://www</w:t>
                          </w:r>
                          <w:r>
                            <w:rPr>
                              <w:rFonts w:ascii="Times New Roman" w:hAnsi="Times New Roman" w:cs="Times New Roman" w:eastAsia="Times New Roman" w:hint="default"/>
                              <w:sz w:val="18"/>
                              <w:szCs w:val="18"/>
                            </w:rPr>
                          </w:r>
                        </w:hyperlink>
                      </w:p>
                      <w:p>
                        <w:pPr>
                          <w:pStyle w:val="TableParagraph"/>
                          <w:spacing w:line="307" w:lineRule="auto" w:before="105"/>
                          <w:ind w:left="23" w:right="30" w:firstLine="9"/>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.cninfo.com.c</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u w:val="single" w:color="000000"/>
                          </w:rPr>
                          <w:t>n</w:t>
                        </w:r>
                        <w:r>
                          <w:rPr>
                            <w:rFonts w:ascii="宋体" w:hAnsi="宋体" w:cs="宋体" w:eastAsia="宋体" w:hint="default"/>
                            <w:sz w:val="18"/>
                            <w:szCs w:val="18"/>
                            <w:u w:val="single" w:color="000000"/>
                          </w:rPr>
                          <w:t>）上的临</w:t>
                        </w:r>
                        <w:r>
                          <w:rPr>
                            <w:rFonts w:ascii="宋体" w:hAnsi="宋体" w:cs="宋体" w:eastAsia="宋体" w:hint="default"/>
                            <w:sz w:val="18"/>
                            <w:szCs w:val="18"/>
                          </w:rPr>
                        </w:r>
                        <w:r>
                          <w:rPr>
                            <w:rFonts w:ascii="宋体" w:hAnsi="宋体" w:cs="宋体" w:eastAsia="宋体" w:hint="default"/>
                            <w:sz w:val="18"/>
                            <w:szCs w:val="18"/>
                          </w:rPr>
                          <w:t>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0"/>
                            <w:sz w:val="18"/>
                            <w:szCs w:val="18"/>
                            <w:u w:val="single" w:color="000000"/>
                          </w:rPr>
                          <w:t>2015-052</w:t>
                        </w:r>
                        <w:r>
                          <w:rPr>
                            <w:rFonts w:ascii="Times New Roman" w:hAnsi="Times New Roman" w:cs="Times New Roman" w:eastAsia="Times New Roman" w:hint="default"/>
                            <w:spacing w:val="-10"/>
                            <w:sz w:val="18"/>
                            <w:szCs w:val="18"/>
                          </w:rPr>
                        </w:r>
                        <w:r>
                          <w:rPr>
                            <w:rFonts w:ascii="宋体" w:hAnsi="宋体" w:cs="宋体" w:eastAsia="宋体" w:hint="default"/>
                            <w:spacing w:val="-10"/>
                            <w:sz w:val="18"/>
                            <w:szCs w:val="18"/>
                          </w:rPr>
                          <w:t>、临</w:t>
                        </w:r>
                        <w:r>
                          <w:rPr>
                            <w:rFonts w:ascii="宋体" w:hAnsi="宋体" w:cs="宋体" w:eastAsia="宋体" w:hint="default"/>
                            <w:sz w:val="18"/>
                            <w:szCs w:val="18"/>
                          </w:rPr>
                        </w:r>
                      </w:p>
                      <w:p>
                        <w:pPr>
                          <w:pStyle w:val="TableParagraph"/>
                          <w:spacing w:line="240" w:lineRule="auto" w:before="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公告</w:t>
                        </w:r>
                      </w:p>
                    </w:tc>
                  </w:tr>
                  <w:tr>
                    <w:trPr>
                      <w:trHeight w:val="164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商洛市 金盾押 运有限 责任公 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8" w:right="19" w:hanging="315"/>
                          <w:jc w:val="left"/>
                          <w:rPr>
                            <w:rFonts w:ascii="宋体" w:hAnsi="宋体" w:cs="宋体" w:eastAsia="宋体" w:hint="default"/>
                            <w:sz w:val="18"/>
                            <w:szCs w:val="18"/>
                          </w:rPr>
                        </w:pPr>
                        <w:r>
                          <w:rPr>
                            <w:rFonts w:ascii="宋体" w:hAnsi="宋体" w:cs="宋体" w:eastAsia="宋体" w:hint="default"/>
                            <w:spacing w:val="-15"/>
                            <w:sz w:val="18"/>
                            <w:szCs w:val="18"/>
                          </w:rPr>
                          <w:t>押运、随身护</w:t>
                        </w:r>
                        <w:r>
                          <w:rPr>
                            <w:rFonts w:ascii="宋体" w:hAnsi="宋体" w:cs="宋体" w:eastAsia="宋体" w:hint="default"/>
                            <w:sz w:val="18"/>
                            <w:szCs w:val="18"/>
                          </w:rPr>
                          <w:t> 卫等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11,500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5"/>
                          <w:jc w:val="left"/>
                          <w:rPr>
                            <w:rFonts w:ascii="宋体" w:hAnsi="宋体" w:cs="宋体" w:eastAsia="宋体" w:hint="default"/>
                            <w:sz w:val="18"/>
                            <w:szCs w:val="18"/>
                          </w:rPr>
                        </w:pPr>
                        <w:r>
                          <w:rPr>
                            <w:rFonts w:ascii="宋体" w:hAnsi="宋体" w:cs="宋体" w:eastAsia="宋体" w:hint="default"/>
                            <w:sz w:val="18"/>
                            <w:szCs w:val="18"/>
                          </w:rPr>
                          <w:t>商洛市 公安局</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312" w:lineRule="auto" w:before="63"/>
                          <w:ind w:left="110" w:right="17" w:hanging="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 工商 变更</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1,187,77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3.29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23" w:right="19"/>
                          <w:jc w:val="center"/>
                          <w:rPr>
                            <w:rFonts w:ascii="宋体" w:hAnsi="宋体" w:cs="宋体" w:eastAsia="宋体" w:hint="default"/>
                            <w:sz w:val="18"/>
                            <w:szCs w:val="18"/>
                          </w:rPr>
                        </w:pPr>
                        <w:r>
                          <w:rPr>
                            <w:rFonts w:ascii="宋体" w:hAnsi="宋体" w:cs="宋体" w:eastAsia="宋体" w:hint="default"/>
                            <w:spacing w:val="-13"/>
                            <w:sz w:val="18"/>
                            <w:szCs w:val="18"/>
                          </w:rPr>
                          <w:t>刊登在《证券</w:t>
                        </w:r>
                        <w:r>
                          <w:rPr>
                            <w:rFonts w:ascii="宋体" w:hAnsi="宋体" w:cs="宋体" w:eastAsia="宋体" w:hint="default"/>
                            <w:sz w:val="18"/>
                            <w:szCs w:val="18"/>
                          </w:rPr>
                          <w:t> </w:t>
                        </w:r>
                        <w:r>
                          <w:rPr>
                            <w:rFonts w:ascii="宋体" w:hAnsi="宋体" w:cs="宋体" w:eastAsia="宋体" w:hint="default"/>
                            <w:spacing w:val="-13"/>
                            <w:sz w:val="18"/>
                            <w:szCs w:val="18"/>
                          </w:rPr>
                          <w:t>时报》及巨潮</w:t>
                        </w:r>
                        <w:r>
                          <w:rPr>
                            <w:rFonts w:ascii="宋体" w:hAnsi="宋体" w:cs="宋体" w:eastAsia="宋体" w:hint="default"/>
                            <w:sz w:val="18"/>
                            <w:szCs w:val="18"/>
                          </w:rPr>
                          <w:t> 资讯网</w:t>
                        </w:r>
                      </w:p>
                      <w:p>
                        <w:pPr>
                          <w:pStyle w:val="TableParagraph"/>
                          <w:spacing w:line="240" w:lineRule="auto" w:before="19"/>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14" w:lineRule="auto" w:before="105"/>
                          <w:ind w:left="31" w:right="26" w:hanging="2"/>
                          <w:jc w:val="center"/>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）上的《关 于在全国范 围内投资武 装押运公司 事项的进展 </w:t>
                        </w:r>
                        <w:r>
                          <w:rPr>
                            <w:rFonts w:ascii="宋体" w:hAnsi="宋体" w:cs="宋体" w:eastAsia="宋体" w:hint="default"/>
                            <w:spacing w:val="-16"/>
                            <w:sz w:val="18"/>
                            <w:szCs w:val="18"/>
                          </w:rPr>
                          <w:t>公告》（公告</w:t>
                        </w:r>
                        <w:r>
                          <w:rPr>
                            <w:rFonts w:ascii="宋体" w:hAnsi="宋体" w:cs="宋体" w:eastAsia="宋体" w:hint="default"/>
                            <w:sz w:val="18"/>
                            <w:szCs w:val="18"/>
                          </w:rPr>
                          <w:t> 编号：临 </w:t>
                        </w:r>
                        <w:r>
                          <w:rPr>
                            <w:rFonts w:ascii="Times New Roman" w:hAnsi="Times New Roman" w:cs="Times New Roman" w:eastAsia="Times New Roman" w:hint="default"/>
                            <w:sz w:val="18"/>
                            <w:szCs w:val="18"/>
                          </w:rPr>
                          <w:t>2015-071</w:t>
                        </w:r>
                        <w:r>
                          <w:rPr>
                            <w:rFonts w:ascii="宋体" w:hAnsi="宋体" w:cs="宋体" w:eastAsia="宋体" w:hint="default"/>
                            <w:sz w:val="18"/>
                            <w:szCs w:val="18"/>
                          </w:rPr>
                          <w:t>）</w:t>
                        </w:r>
                      </w:p>
                    </w:tc>
                  </w:tr>
                  <w:tr>
                    <w:trPr>
                      <w:trHeight w:val="1651"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邵阳市 保安服 务有限 责任公 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center"/>
                          <w:rPr>
                            <w:rFonts w:ascii="宋体" w:hAnsi="宋体" w:cs="宋体" w:eastAsia="宋体" w:hint="default"/>
                            <w:sz w:val="18"/>
                            <w:szCs w:val="18"/>
                          </w:rPr>
                        </w:pPr>
                        <w:r>
                          <w:rPr>
                            <w:rFonts w:ascii="宋体" w:hAnsi="宋体" w:cs="宋体" w:eastAsia="宋体" w:hint="default"/>
                            <w:spacing w:val="-15"/>
                            <w:sz w:val="18"/>
                            <w:szCs w:val="18"/>
                          </w:rPr>
                          <w:t>守护、巡逻服</w:t>
                        </w:r>
                        <w:r>
                          <w:rPr>
                            <w:rFonts w:ascii="宋体" w:hAnsi="宋体" w:cs="宋体" w:eastAsia="宋体" w:hint="default"/>
                            <w:sz w:val="18"/>
                            <w:szCs w:val="18"/>
                          </w:rPr>
                          <w:t> </w:t>
                        </w:r>
                        <w:r>
                          <w:rPr>
                            <w:rFonts w:ascii="宋体" w:hAnsi="宋体" w:cs="宋体" w:eastAsia="宋体" w:hint="default"/>
                            <w:spacing w:val="-15"/>
                            <w:sz w:val="18"/>
                            <w:szCs w:val="18"/>
                          </w:rPr>
                          <w:t>务；提供保安</w:t>
                        </w:r>
                        <w:r>
                          <w:rPr>
                            <w:rFonts w:ascii="宋体" w:hAnsi="宋体" w:cs="宋体" w:eastAsia="宋体" w:hint="default"/>
                            <w:sz w:val="18"/>
                            <w:szCs w:val="18"/>
                          </w:rPr>
                          <w:t> 武装专职守 护押运服务 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96,500</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96" w:right="95"/>
                          <w:jc w:val="left"/>
                          <w:rPr>
                            <w:rFonts w:ascii="宋体" w:hAnsi="宋体" w:cs="宋体" w:eastAsia="宋体" w:hint="default"/>
                            <w:sz w:val="18"/>
                            <w:szCs w:val="18"/>
                          </w:rPr>
                        </w:pPr>
                        <w:r>
                          <w:rPr>
                            <w:rFonts w:ascii="宋体" w:hAnsi="宋体" w:cs="宋体" w:eastAsia="宋体" w:hint="default"/>
                            <w:sz w:val="18"/>
                            <w:szCs w:val="18"/>
                          </w:rPr>
                          <w:t>邵阳市 公安局</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312" w:lineRule="auto" w:before="60"/>
                          <w:ind w:left="110" w:right="17" w:hanging="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 工商 变更</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5,160,82</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293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兴安盟 威信保 安守押 服务有 限责任 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pacing w:val="-15"/>
                            <w:sz w:val="18"/>
                            <w:szCs w:val="18"/>
                          </w:rPr>
                          <w:t>货币，有价证</w:t>
                        </w:r>
                        <w:r>
                          <w:rPr>
                            <w:rFonts w:ascii="宋体" w:hAnsi="宋体" w:cs="宋体" w:eastAsia="宋体" w:hint="default"/>
                            <w:sz w:val="18"/>
                            <w:szCs w:val="18"/>
                          </w:rPr>
                          <w:t> </w:t>
                        </w:r>
                        <w:r>
                          <w:rPr>
                            <w:rFonts w:ascii="宋体" w:hAnsi="宋体" w:cs="宋体" w:eastAsia="宋体" w:hint="default"/>
                            <w:spacing w:val="-15"/>
                            <w:sz w:val="18"/>
                            <w:szCs w:val="18"/>
                          </w:rPr>
                          <w:t>券，金银珠宝</w:t>
                        </w:r>
                        <w:r>
                          <w:rPr>
                            <w:rFonts w:ascii="宋体" w:hAnsi="宋体" w:cs="宋体" w:eastAsia="宋体" w:hint="default"/>
                            <w:sz w:val="18"/>
                            <w:szCs w:val="18"/>
                          </w:rPr>
                          <w:t> </w:t>
                        </w:r>
                        <w:r>
                          <w:rPr>
                            <w:rFonts w:ascii="宋体" w:hAnsi="宋体" w:cs="宋体" w:eastAsia="宋体" w:hint="default"/>
                            <w:spacing w:val="-15"/>
                            <w:sz w:val="18"/>
                            <w:szCs w:val="18"/>
                          </w:rPr>
                          <w:t>文物，艺术品</w:t>
                        </w:r>
                        <w:r>
                          <w:rPr>
                            <w:rFonts w:ascii="宋体" w:hAnsi="宋体" w:cs="宋体" w:eastAsia="宋体" w:hint="default"/>
                            <w:sz w:val="18"/>
                            <w:szCs w:val="18"/>
                          </w:rPr>
                          <w:t> 及其他贵重 物资和爆炸 化学等危险 物品的武装 守护押运</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 w:right="96"/>
                          <w:jc w:val="right"/>
                          <w:rPr>
                            <w:rFonts w:ascii="宋体" w:hAnsi="宋体" w:cs="宋体" w:eastAsia="宋体" w:hint="default"/>
                            <w:sz w:val="18"/>
                            <w:szCs w:val="18"/>
                          </w:rPr>
                        </w:pPr>
                        <w:r>
                          <w:rPr>
                            <w:rFonts w:ascii="宋体" w:hAnsi="宋体" w:cs="宋体" w:eastAsia="宋体" w:hint="default"/>
                            <w:position w:val="2"/>
                            <w:sz w:val="18"/>
                            <w:szCs w:val="18"/>
                          </w:rPr>
                          <w:t>、</w:t>
                        </w:r>
                        <w:r>
                          <w:rPr>
                            <w:rFonts w:ascii="宋体" w:hAnsi="宋体" w:cs="宋体" w:eastAsia="宋体" w:hint="default"/>
                            <w:spacing w:val="-50"/>
                            <w:position w:val="2"/>
                            <w:sz w:val="18"/>
                            <w:szCs w:val="18"/>
                          </w:rPr>
                          <w:t> </w:t>
                        </w: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22,695</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489" w:lineRule="auto"/>
                          <w:ind w:left="23" w:right="-13"/>
                          <w:jc w:val="both"/>
                          <w:rPr>
                            <w:rFonts w:ascii="宋体" w:hAnsi="宋体" w:cs="宋体" w:eastAsia="宋体" w:hint="default"/>
                            <w:sz w:val="18"/>
                            <w:szCs w:val="18"/>
                          </w:rPr>
                        </w:pPr>
                        <w:r>
                          <w:rPr>
                            <w:rFonts w:ascii="宋体" w:hAnsi="宋体" w:cs="宋体" w:eastAsia="宋体" w:hint="default"/>
                            <w:sz w:val="18"/>
                            <w:szCs w:val="18"/>
                          </w:rPr>
                          <w:t>邹颖智、 郑建兵、 宋丽华、 宋延斌</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312" w:lineRule="auto" w:before="63"/>
                          <w:ind w:left="110" w:right="17" w:hanging="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 工商 变更</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1,471,01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6.38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98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武威市 神威保 安守押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15"/>
                            <w:sz w:val="18"/>
                            <w:szCs w:val="18"/>
                          </w:rPr>
                          <w:t>货币、有价证</w:t>
                        </w:r>
                        <w:r>
                          <w:rPr>
                            <w:rFonts w:ascii="宋体" w:hAnsi="宋体" w:cs="宋体" w:eastAsia="宋体" w:hint="default"/>
                            <w:sz w:val="18"/>
                            <w:szCs w:val="18"/>
                          </w:rPr>
                          <w:t> 券、金银珠 </w:t>
                        </w:r>
                        <w:r>
                          <w:rPr>
                            <w:rFonts w:ascii="宋体" w:hAnsi="宋体" w:cs="宋体" w:eastAsia="宋体" w:hint="default"/>
                            <w:spacing w:val="-15"/>
                            <w:sz w:val="18"/>
                            <w:szCs w:val="18"/>
                          </w:rPr>
                          <w:t>宝、艺术品及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 w:right="95"/>
                          <w:jc w:val="both"/>
                          <w:rPr>
                            <w:rFonts w:ascii="宋体" w:hAnsi="宋体" w:cs="宋体" w:eastAsia="宋体" w:hint="default"/>
                            <w:sz w:val="18"/>
                            <w:szCs w:val="18"/>
                          </w:rPr>
                        </w:pPr>
                        <w:r>
                          <w:rPr>
                            <w:rFonts w:ascii="宋体" w:hAnsi="宋体" w:cs="宋体" w:eastAsia="宋体" w:hint="default"/>
                            <w:sz w:val="18"/>
                            <w:szCs w:val="18"/>
                          </w:rPr>
                          <w:t>武威市 保安服 务总公</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10" w:right="0"/>
                          <w:jc w:val="left"/>
                          <w:rPr>
                            <w:rFonts w:ascii="宋体" w:hAnsi="宋体" w:cs="宋体" w:eastAsia="宋体" w:hint="default"/>
                            <w:sz w:val="18"/>
                            <w:szCs w:val="18"/>
                          </w:rPr>
                        </w:pPr>
                        <w:r>
                          <w:rPr>
                            <w:rFonts w:ascii="宋体" w:hAnsi="宋体" w:cs="宋体" w:eastAsia="宋体" w:hint="default"/>
                            <w:sz w:val="18"/>
                            <w:szCs w:val="18"/>
                          </w:rPr>
                          <w:t>月完</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770,666.</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76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7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pacing w:val="-13"/>
                            <w:sz w:val="18"/>
                            <w:szCs w:val="18"/>
                          </w:rPr>
                          <w:t>刊登在《证券</w:t>
                        </w:r>
                        <w:r>
                          <w:rPr>
                            <w:rFonts w:ascii="宋体" w:hAnsi="宋体" w:cs="宋体" w:eastAsia="宋体" w:hint="default"/>
                            <w:sz w:val="18"/>
                            <w:szCs w:val="18"/>
                          </w:rPr>
                          <w:t> </w:t>
                        </w:r>
                        <w:r>
                          <w:rPr>
                            <w:rFonts w:ascii="宋体" w:hAnsi="宋体" w:cs="宋体" w:eastAsia="宋体" w:hint="default"/>
                            <w:spacing w:val="-13"/>
                            <w:sz w:val="18"/>
                            <w:szCs w:val="18"/>
                          </w:rPr>
                          <w:t>时报》及巨潮</w:t>
                        </w:r>
                        <w:r>
                          <w:rPr>
                            <w:rFonts w:ascii="宋体" w:hAnsi="宋体" w:cs="宋体" w:eastAsia="宋体" w:hint="default"/>
                            <w:sz w:val="18"/>
                            <w:szCs w:val="18"/>
                          </w:rPr>
                          <w:t> 资讯网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624" w:lineRule="exact"/>
        <w:ind w:left="1827"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27.85pt;height:31.2pt;mso-position-horizontal-relative:char;mso-position-vertical-relative:line" coordorigin="0,0" coordsize="557,624">
            <v:group style="position:absolute;left:0;top:0;width:557;height:624" coordorigin="0,0" coordsize="557,624">
              <v:shape style="position:absolute;left:0;top:0;width:557;height:624" coordorigin="0,0" coordsize="557,624" path="m0,624l557,624,557,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417" w:lineRule="exact"/>
        <w:ind w:left="182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26.8pt;height:20.9pt;mso-position-horizontal-relative:char;mso-position-vertical-relative:line" coordorigin="0,0" coordsize="536,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512;height:394" coordorigin="24,12" coordsize="512,394">
              <v:shape style="position:absolute;left:24;top:12;width:512;height:394" coordorigin="24,12" coordsize="512,394" path="m24,406l535,406,535,12,24,12,24,406xe" filled="true" fillcolor="#ffffff" stroked="false">
                <v:path arrowok="t"/>
                <v:fill type="solid"/>
              </v:shape>
            </v:group>
          </v:group>
        </w:pict>
      </w:r>
      <w:r>
        <w:rPr>
          <w:rFonts w:ascii="宋体" w:hAnsi="宋体" w:cs="宋体" w:eastAsia="宋体" w:hint="default"/>
          <w:position w:val="-7"/>
          <w:sz w:val="20"/>
          <w:szCs w:val="20"/>
        </w:rPr>
      </w:r>
    </w:p>
    <w:p>
      <w:pPr>
        <w:spacing w:after="0" w:line="417" w:lineRule="exact"/>
        <w:rPr>
          <w:rFonts w:ascii="宋体" w:hAnsi="宋体" w:cs="宋体" w:eastAsia="宋体" w:hint="default"/>
          <w:sz w:val="20"/>
          <w:szCs w:val="20"/>
        </w:rPr>
        <w:sectPr>
          <w:pgSz w:w="11910" w:h="16840"/>
          <w:pgMar w:header="877" w:footer="982" w:top="1100" w:bottom="1180" w:left="940" w:right="900"/>
        </w:sectPr>
      </w:pPr>
    </w:p>
    <w:p>
      <w:pPr>
        <w:spacing w:line="240" w:lineRule="auto" w:before="8"/>
        <w:rPr>
          <w:rFonts w:ascii="宋体" w:hAnsi="宋体" w:cs="宋体" w:eastAsia="宋体" w:hint="default"/>
          <w:sz w:val="24"/>
          <w:szCs w:val="24"/>
        </w:rPr>
      </w:pPr>
      <w:r>
        <w:rPr/>
        <w:pict>
          <v:shape style="position:absolute;margin-left:87.239998pt;margin-top:72.47998pt;width:79pt;height:64.45pt;mso-position-horizontal-relative:page;mso-position-vertical-relative:page;z-index:-1123576" type="#_x0000_t202" filled="false" stroked="false">
            <v:textbox inset="0,0,0,0">
              <w:txbxContent>
                <w:p>
                  <w:pPr>
                    <w:spacing w:line="240" w:lineRule="auto" w:before="6"/>
                    <w:rPr>
                      <w:rFonts w:ascii="宋体" w:hAnsi="宋体" w:cs="宋体" w:eastAsia="宋体" w:hint="default"/>
                      <w:sz w:val="24"/>
                      <w:szCs w:val="24"/>
                    </w:rPr>
                  </w:pPr>
                </w:p>
                <w:p>
                  <w:pPr>
                    <w:pStyle w:val="BodyText"/>
                    <w:spacing w:line="240" w:lineRule="auto"/>
                    <w:ind w:left="0" w:right="0"/>
                    <w:jc w:val="left"/>
                  </w:pPr>
                  <w:r>
                    <w:rPr/>
                    <w:t>品、爆炸品、</w:t>
                  </w:r>
                </w:p>
              </w:txbxContent>
            </v:textbox>
            <w10:wrap type="none"/>
          </v:shape>
        </w:pict>
      </w:r>
      <w:r>
        <w:rPr/>
        <w:pict>
          <v:shape style="position:absolute;margin-left:87.239998pt;margin-top:297.839996pt;width:79pt;height:46.8pt;mso-position-horizontal-relative:page;mso-position-vertical-relative:page;z-index:-1123552" type="#_x0000_t202" filled="false" stroked="false">
            <v:textbox inset="0,0,0,0">
              <w:txbxContent>
                <w:p>
                  <w:pPr>
                    <w:pStyle w:val="BodyText"/>
                    <w:spacing w:line="240" w:lineRule="auto" w:before="49"/>
                    <w:ind w:left="0" w:right="0"/>
                    <w:jc w:val="left"/>
                  </w:pPr>
                  <w:r>
                    <w:rPr/>
                    <w:t>金融、商业、</w:t>
                  </w:r>
                </w:p>
              </w:txbxContent>
            </v:textbox>
            <w10:wrap type="none"/>
          </v:shape>
        </w:pict>
      </w:r>
      <w:r>
        <w:rPr/>
        <w:pict>
          <v:shape style="position:absolute;margin-left:87.239998pt;margin-top:494.039978pt;width:79pt;height:39pt;mso-position-horizontal-relative:page;mso-position-vertical-relative:page;z-index:-1123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0" w:right="0"/>
                    <w:jc w:val="left"/>
                  </w:pPr>
                  <w:r>
                    <w:rPr/>
                    <w:t>巡逻、守护、</w:t>
                  </w:r>
                </w:p>
              </w:txbxContent>
            </v:textbox>
            <w10:wrap type="none"/>
          </v:shape>
        </w:pict>
      </w:r>
      <w:r>
        <w:rPr/>
        <w:pict>
          <v:group style="position:absolute;margin-left:138.360001pt;margin-top:297.839996pt;width:27.85pt;height:46.8pt;mso-position-horizontal-relative:page;mso-position-vertical-relative:page;z-index:-1123504" coordorigin="2767,5957" coordsize="557,936">
            <v:shape style="position:absolute;left:2767;top:5957;width:557;height:936" coordorigin="2767,5957" coordsize="557,936" path="m2767,6893l3324,6893,3324,5957,2767,5957,2767,6893xe" filled="true" fillcolor="#ffffff" stroked="false">
              <v:path arrowok="t"/>
              <v:fill type="solid"/>
            </v:shape>
            <w10:wrap type="none"/>
          </v:group>
        </w:pict>
      </w:r>
      <w:r>
        <w:rPr/>
        <w:pict>
          <v:group style="position:absolute;margin-left:138.360001pt;margin-top:494.039978pt;width:27.85pt;height:39pt;mso-position-horizontal-relative:page;mso-position-vertical-relative:page;z-index:-1123480" coordorigin="2767,9881" coordsize="557,780">
            <v:shape style="position:absolute;left:2767;top:9881;width:557;height:780" coordorigin="2767,9881" coordsize="557,780" path="m2767,10661l3324,10661,3324,9881,2767,9881,2767,10661xe" filled="true" fillcolor="#ffffff" stroked="false">
              <v:path arrowok="t"/>
              <v:fill type="solid"/>
            </v:shape>
            <w10:wrap type="none"/>
          </v:group>
        </w:pict>
      </w:r>
    </w:p>
    <w:tbl>
      <w:tblPr>
        <w:tblW w:w="0" w:type="auto"/>
        <w:jc w:val="left"/>
        <w:tblInd w:w="136" w:type="dxa"/>
        <w:tblLayout w:type="fixed"/>
        <w:tblCellMar>
          <w:top w:w="0" w:type="dxa"/>
          <w:left w:w="0" w:type="dxa"/>
          <w:bottom w:w="0" w:type="dxa"/>
          <w:right w:w="0" w:type="dxa"/>
        </w:tblCellMar>
        <w:tblLook w:val="01E0"/>
      </w:tblPr>
      <w:tblGrid>
        <w:gridCol w:w="655"/>
        <w:gridCol w:w="1046"/>
        <w:gridCol w:w="83"/>
        <w:gridCol w:w="484"/>
        <w:gridCol w:w="566"/>
        <w:gridCol w:w="427"/>
        <w:gridCol w:w="533"/>
        <w:gridCol w:w="742"/>
        <w:gridCol w:w="492"/>
        <w:gridCol w:w="619"/>
        <w:gridCol w:w="590"/>
        <w:gridCol w:w="497"/>
        <w:gridCol w:w="708"/>
        <w:gridCol w:w="569"/>
        <w:gridCol w:w="708"/>
        <w:gridCol w:w="1061"/>
      </w:tblGrid>
      <w:tr>
        <w:trPr>
          <w:trHeight w:val="319" w:hRule="exact"/>
        </w:trPr>
        <w:tc>
          <w:tcPr>
            <w:tcW w:w="6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有限责</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其他贵重物</w:t>
            </w:r>
          </w:p>
        </w:tc>
        <w:tc>
          <w:tcPr>
            <w:tcW w:w="566" w:type="dxa"/>
            <w:gridSpan w:val="2"/>
            <w:vMerge w:val="restart"/>
            <w:tcBorders>
              <w:top w:val="single" w:sz="4" w:space="0" w:color="000000"/>
              <w:left w:val="single" w:sz="4" w:space="0" w:color="000000"/>
              <w:right w:val="single" w:sz="4" w:space="0" w:color="000000"/>
            </w:tcBorders>
          </w:tcPr>
          <w:p>
            <w:pPr>
              <w:pStyle w:val="TableParagraph"/>
              <w:spacing w:line="1288" w:lineRule="exact"/>
              <w:ind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27.85pt;height:64.45pt;mso-position-horizontal-relative:char;mso-position-vertical-relative:line" coordorigin="0,0" coordsize="557,1289">
                  <v:group style="position:absolute;left:0;top:0;width:557;height:1289" coordorigin="0,0" coordsize="557,1289">
                    <v:shape style="position:absolute;left:0;top:0;width:557;height:1289" coordorigin="0,0" coordsize="557,1289" path="m0,1289l557,1289,557,0,0,0,0,1289xe" filled="true" fillcolor="#ffffff" stroked="false">
                      <v:path arrowok="t"/>
                      <v:fill type="solid"/>
                    </v:shape>
                  </v:group>
                </v:group>
              </w:pict>
            </w:r>
            <w:r>
              <w:rPr>
                <w:rFonts w:ascii="宋体" w:hAnsi="宋体" w:cs="宋体" w:eastAsia="宋体" w:hint="default"/>
                <w:position w:val="-25"/>
                <w:sz w:val="20"/>
                <w:szCs w:val="20"/>
              </w:rPr>
            </w:r>
          </w:p>
        </w:tc>
        <w:tc>
          <w:tcPr>
            <w:tcW w:w="566"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司及张</w:t>
            </w:r>
          </w:p>
        </w:tc>
        <w:tc>
          <w:tcPr>
            <w:tcW w:w="492" w:type="dxa"/>
            <w:vMerge w:val="restart"/>
            <w:tcBorders>
              <w:top w:val="single" w:sz="4" w:space="0" w:color="000000"/>
              <w:left w:val="single" w:sz="4" w:space="0" w:color="000000"/>
              <w:right w:val="single" w:sz="4" w:space="0" w:color="000000"/>
            </w:tcBorders>
          </w:tcPr>
          <w:p>
            <w:pPr/>
          </w:p>
        </w:tc>
        <w:tc>
          <w:tcPr>
            <w:tcW w:w="619" w:type="dxa"/>
            <w:vMerge w:val="restart"/>
            <w:tcBorders>
              <w:top w:val="single" w:sz="4" w:space="0" w:color="000000"/>
              <w:left w:val="single" w:sz="4" w:space="0" w:color="000000"/>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成工</w:t>
            </w:r>
          </w:p>
        </w:tc>
        <w:tc>
          <w:tcPr>
            <w:tcW w:w="497"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任公司</w:t>
            </w:r>
          </w:p>
        </w:tc>
        <w:tc>
          <w:tcPr>
            <w:tcW w:w="1046" w:type="dxa"/>
            <w:tcBorders>
              <w:top w:val="nil" w:sz="6" w:space="0" w:color="auto"/>
              <w:left w:val="single" w:sz="4" w:space="0" w:color="000000"/>
              <w:bottom w:val="nil" w:sz="6" w:space="0" w:color="auto"/>
              <w:right w:val="single" w:sz="4" w:space="0" w:color="000000"/>
            </w:tcBorders>
          </w:tcPr>
          <w:p>
            <w:pPr/>
          </w:p>
        </w:tc>
        <w:tc>
          <w:tcPr>
            <w:tcW w:w="566" w:type="dxa"/>
            <w:gridSpan w:val="2"/>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兆刚等</w:t>
            </w:r>
          </w:p>
        </w:tc>
        <w:tc>
          <w:tcPr>
            <w:tcW w:w="492" w:type="dxa"/>
            <w:vMerge/>
            <w:tcBorders>
              <w:left w:val="single" w:sz="4" w:space="0" w:color="000000"/>
              <w:right w:val="single" w:sz="4" w:space="0" w:color="000000"/>
            </w:tcBorders>
          </w:tcPr>
          <w:p>
            <w:pPr/>
          </w:p>
        </w:tc>
        <w:tc>
          <w:tcPr>
            <w:tcW w:w="619"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商变</w:t>
            </w:r>
          </w:p>
        </w:tc>
        <w:tc>
          <w:tcPr>
            <w:tcW w:w="49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危险化学危</w:t>
            </w:r>
          </w:p>
        </w:tc>
        <w:tc>
          <w:tcPr>
            <w:tcW w:w="566" w:type="dxa"/>
            <w:gridSpan w:val="2"/>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个自</w:t>
            </w:r>
          </w:p>
        </w:tc>
        <w:tc>
          <w:tcPr>
            <w:tcW w:w="492" w:type="dxa"/>
            <w:vMerge/>
            <w:tcBorders>
              <w:left w:val="single" w:sz="4" w:space="0" w:color="000000"/>
              <w:right w:val="single" w:sz="4" w:space="0" w:color="000000"/>
            </w:tcBorders>
          </w:tcPr>
          <w:p>
            <w:pPr/>
          </w:p>
        </w:tc>
        <w:tc>
          <w:tcPr>
            <w:tcW w:w="619"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更</w:t>
            </w:r>
          </w:p>
        </w:tc>
        <w:tc>
          <w:tcPr>
            <w:tcW w:w="49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）上的《关</w:t>
            </w:r>
          </w:p>
        </w:tc>
      </w:tr>
      <w:tr>
        <w:trPr>
          <w:trHeight w:val="355" w:hRule="exact"/>
        </w:trPr>
        <w:tc>
          <w:tcPr>
            <w:tcW w:w="65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险品押运</w:t>
            </w:r>
          </w:p>
        </w:tc>
        <w:tc>
          <w:tcPr>
            <w:tcW w:w="566" w:type="dxa"/>
            <w:gridSpan w:val="2"/>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然人</w:t>
            </w:r>
          </w:p>
        </w:tc>
        <w:tc>
          <w:tcPr>
            <w:tcW w:w="492" w:type="dxa"/>
            <w:vMerge/>
            <w:tcBorders>
              <w:left w:val="single" w:sz="4" w:space="0" w:color="000000"/>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于在全国范</w:t>
            </w:r>
          </w:p>
        </w:tc>
      </w:tr>
      <w:tr>
        <w:trPr>
          <w:trHeight w:val="310" w:hRule="exact"/>
        </w:trPr>
        <w:tc>
          <w:tcPr>
            <w:tcW w:w="65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货币</w:t>
            </w:r>
            <w:r>
              <w:rPr>
                <w:rFonts w:ascii="宋体" w:hAnsi="宋体" w:cs="宋体" w:eastAsia="宋体" w:hint="default"/>
                <w:spacing w:val="-89"/>
                <w:sz w:val="18"/>
                <w:szCs w:val="18"/>
              </w:rPr>
              <w:t>、</w:t>
            </w:r>
            <w:r>
              <w:rPr>
                <w:rFonts w:ascii="宋体" w:hAnsi="宋体" w:cs="宋体" w:eastAsia="宋体" w:hint="default"/>
                <w:sz w:val="18"/>
                <w:szCs w:val="18"/>
              </w:rPr>
              <w:t>有价证</w:t>
            </w:r>
          </w:p>
        </w:tc>
        <w:tc>
          <w:tcPr>
            <w:tcW w:w="566" w:type="dxa"/>
            <w:gridSpan w:val="2"/>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533"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
        </w:tc>
        <w:tc>
          <w:tcPr>
            <w:tcW w:w="492"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49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围内投资武</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券、金银珠</w:t>
            </w:r>
          </w:p>
        </w:tc>
        <w:tc>
          <w:tcPr>
            <w:tcW w:w="566" w:type="dxa"/>
            <w:gridSpan w:val="2"/>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533"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 w:right="0"/>
              <w:jc w:val="center"/>
              <w:rPr>
                <w:rFonts w:ascii="宋体" w:hAnsi="宋体" w:cs="宋体" w:eastAsia="宋体" w:hint="default"/>
                <w:sz w:val="18"/>
                <w:szCs w:val="18"/>
              </w:rPr>
            </w:pPr>
            <w:r>
              <w:rPr>
                <w:rFonts w:ascii="宋体" w:hAnsi="宋体" w:cs="宋体" w:eastAsia="宋体" w:hint="default"/>
                <w:sz w:val="18"/>
                <w:szCs w:val="18"/>
              </w:rPr>
              <w:t>装押运公司</w:t>
            </w:r>
          </w:p>
        </w:tc>
      </w:tr>
      <w:tr>
        <w:trPr>
          <w:trHeight w:val="1918"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巴彦淖 尔天力 保押有 限责任 公司</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316" w:lineRule="auto" w:before="56"/>
              <w:ind w:left="23" w:right="19"/>
              <w:jc w:val="both"/>
              <w:rPr>
                <w:rFonts w:ascii="宋体" w:hAnsi="宋体" w:cs="宋体" w:eastAsia="宋体" w:hint="default"/>
                <w:sz w:val="18"/>
                <w:szCs w:val="18"/>
              </w:rPr>
            </w:pPr>
            <w:r>
              <w:rPr>
                <w:rFonts w:ascii="宋体" w:hAnsi="宋体" w:cs="宋体" w:eastAsia="宋体" w:hint="default"/>
                <w:spacing w:val="-16"/>
                <w:sz w:val="18"/>
                <w:szCs w:val="18"/>
              </w:rPr>
              <w:t>宝、文物、艺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术品及其他 贵重物资和 </w:t>
            </w:r>
            <w:r>
              <w:rPr>
                <w:rFonts w:ascii="宋体" w:hAnsi="宋体" w:cs="宋体" w:eastAsia="宋体" w:hint="default"/>
                <w:spacing w:val="-15"/>
                <w:sz w:val="18"/>
                <w:szCs w:val="18"/>
              </w:rPr>
              <w:t>爆炸、化学等</w:t>
            </w:r>
            <w:r>
              <w:rPr>
                <w:rFonts w:ascii="宋体" w:hAnsi="宋体" w:cs="宋体" w:eastAsia="宋体" w:hint="default"/>
                <w:sz w:val="18"/>
                <w:szCs w:val="18"/>
              </w:rPr>
              <w:t> 危险物品的 </w:t>
            </w:r>
            <w:r>
              <w:rPr>
                <w:rFonts w:ascii="宋体" w:hAnsi="宋体" w:cs="宋体" w:eastAsia="宋体" w:hint="default"/>
                <w:spacing w:val="-15"/>
                <w:sz w:val="18"/>
                <w:szCs w:val="18"/>
              </w:rPr>
              <w:t>押运；武装守</w:t>
            </w:r>
          </w:p>
        </w:tc>
        <w:tc>
          <w:tcPr>
            <w:tcW w:w="56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35,083</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,800</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9" w:lineRule="auto"/>
              <w:ind w:left="50" w:right="47" w:firstLine="45"/>
              <w:jc w:val="both"/>
              <w:rPr>
                <w:rFonts w:ascii="宋体" w:hAnsi="宋体" w:cs="宋体" w:eastAsia="宋体" w:hint="default"/>
                <w:sz w:val="18"/>
                <w:szCs w:val="18"/>
              </w:rPr>
            </w:pPr>
            <w:r>
              <w:rPr>
                <w:rFonts w:ascii="宋体" w:hAnsi="宋体" w:cs="宋体" w:eastAsia="宋体" w:hint="default"/>
                <w:sz w:val="18"/>
                <w:szCs w:val="18"/>
              </w:rPr>
              <w:t>杨福山 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自然人</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110"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3"/>
              <w:ind w:left="110" w:right="93" w:hanging="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 </w:t>
            </w:r>
            <w:r>
              <w:rPr>
                <w:rFonts w:ascii="宋体" w:hAnsi="宋体" w:cs="宋体" w:eastAsia="宋体" w:hint="default"/>
                <w:sz w:val="18"/>
                <w:szCs w:val="18"/>
              </w:rPr>
              <w:t>月完 成工 商变 更</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406,804.</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33</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事项的进展</w:t>
            </w:r>
          </w:p>
          <w:p>
            <w:pPr>
              <w:pStyle w:val="TableParagraph"/>
              <w:spacing w:line="316" w:lineRule="auto" w:before="76"/>
              <w:ind w:left="31" w:right="29"/>
              <w:jc w:val="center"/>
              <w:rPr>
                <w:rFonts w:ascii="宋体" w:hAnsi="宋体" w:cs="宋体" w:eastAsia="宋体" w:hint="default"/>
                <w:sz w:val="18"/>
                <w:szCs w:val="18"/>
              </w:rPr>
            </w:pPr>
            <w:r>
              <w:rPr>
                <w:rFonts w:ascii="宋体" w:hAnsi="宋体" w:cs="宋体" w:eastAsia="宋体" w:hint="default"/>
                <w:spacing w:val="-16"/>
                <w:sz w:val="18"/>
                <w:szCs w:val="18"/>
              </w:rPr>
              <w:t>公告》（公告</w:t>
            </w:r>
            <w:r>
              <w:rPr>
                <w:rFonts w:ascii="宋体" w:hAnsi="宋体" w:cs="宋体" w:eastAsia="宋体" w:hint="default"/>
                <w:sz w:val="18"/>
                <w:szCs w:val="18"/>
              </w:rPr>
              <w:t> 编号：临 </w:t>
            </w:r>
            <w:r>
              <w:rPr>
                <w:rFonts w:ascii="Times New Roman" w:hAnsi="Times New Roman" w:cs="Times New Roman" w:eastAsia="Times New Roman" w:hint="default"/>
                <w:sz w:val="18"/>
                <w:szCs w:val="18"/>
              </w:rPr>
              <w:t>2015-071</w:t>
            </w:r>
            <w:r>
              <w:rPr>
                <w:rFonts w:ascii="宋体" w:hAnsi="宋体" w:cs="宋体" w:eastAsia="宋体" w:hint="default"/>
                <w:sz w:val="18"/>
                <w:szCs w:val="18"/>
              </w:rPr>
              <w:t>）</w:t>
            </w:r>
          </w:p>
        </w:tc>
      </w:tr>
      <w:tr>
        <w:trPr>
          <w:trHeight w:val="312" w:hRule="exact"/>
        </w:trPr>
        <w:tc>
          <w:tcPr>
            <w:tcW w:w="65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89"/>
                <w:sz w:val="18"/>
                <w:szCs w:val="18"/>
              </w:rPr>
              <w:t>、</w:t>
            </w:r>
            <w:r>
              <w:rPr>
                <w:rFonts w:ascii="宋体" w:hAnsi="宋体" w:cs="宋体" w:eastAsia="宋体" w:hint="default"/>
                <w:sz w:val="18"/>
                <w:szCs w:val="18"/>
              </w:rPr>
              <w:t>保安守护</w:t>
            </w:r>
          </w:p>
        </w:tc>
        <w:tc>
          <w:tcPr>
            <w:tcW w:w="566" w:type="dxa"/>
            <w:gridSpan w:val="2"/>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533" w:type="dxa"/>
            <w:tcBorders>
              <w:top w:val="nil" w:sz="6" w:space="0" w:color="auto"/>
              <w:left w:val="single" w:sz="4" w:space="0" w:color="000000"/>
              <w:bottom w:val="nil" w:sz="6" w:space="0" w:color="auto"/>
              <w:right w:val="single" w:sz="4" w:space="0" w:color="000000"/>
            </w:tcBorders>
          </w:tcPr>
          <w:p>
            <w:pPr/>
          </w:p>
        </w:tc>
        <w:tc>
          <w:tcPr>
            <w:tcW w:w="742" w:type="dxa"/>
            <w:tcBorders>
              <w:top w:val="nil" w:sz="6" w:space="0" w:color="auto"/>
              <w:left w:val="single" w:sz="4" w:space="0" w:color="000000"/>
              <w:bottom w:val="nil" w:sz="6" w:space="0" w:color="auto"/>
              <w:right w:val="single" w:sz="4" w:space="0" w:color="000000"/>
            </w:tcBorders>
          </w:tcPr>
          <w:p>
            <w:pPr/>
          </w:p>
        </w:tc>
        <w:tc>
          <w:tcPr>
            <w:tcW w:w="492"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497"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5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等</w:t>
            </w:r>
          </w:p>
        </w:tc>
        <w:tc>
          <w:tcPr>
            <w:tcW w:w="566" w:type="dxa"/>
            <w:gridSpan w:val="2"/>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49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1915" w:hRule="exact"/>
        </w:trPr>
        <w:tc>
          <w:tcPr>
            <w:tcW w:w="65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海南警 锐押运 护卫有 限公司</w:t>
            </w:r>
          </w:p>
        </w:tc>
        <w:tc>
          <w:tcPr>
            <w:tcW w:w="104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both"/>
              <w:rPr>
                <w:rFonts w:ascii="宋体" w:hAnsi="宋体" w:cs="宋体" w:eastAsia="宋体" w:hint="default"/>
                <w:sz w:val="18"/>
                <w:szCs w:val="18"/>
              </w:rPr>
            </w:pPr>
            <w:r>
              <w:rPr>
                <w:rFonts w:ascii="宋体" w:hAnsi="宋体" w:cs="宋体" w:eastAsia="宋体" w:hint="default"/>
                <w:spacing w:val="-15"/>
                <w:sz w:val="18"/>
                <w:szCs w:val="18"/>
              </w:rPr>
              <w:t>有价证券、金</w:t>
            </w:r>
            <w:r>
              <w:rPr>
                <w:rFonts w:ascii="宋体" w:hAnsi="宋体" w:cs="宋体" w:eastAsia="宋体" w:hint="default"/>
                <w:sz w:val="18"/>
                <w:szCs w:val="18"/>
              </w:rPr>
              <w:t> 银珠宝、文 </w:t>
            </w:r>
            <w:r>
              <w:rPr>
                <w:rFonts w:ascii="宋体" w:hAnsi="宋体" w:cs="宋体" w:eastAsia="宋体" w:hint="default"/>
                <w:spacing w:val="-15"/>
                <w:sz w:val="18"/>
                <w:szCs w:val="18"/>
              </w:rPr>
              <w:t>物、艺术品及</w:t>
            </w:r>
            <w:r>
              <w:rPr>
                <w:rFonts w:ascii="宋体" w:hAnsi="宋体" w:cs="宋体" w:eastAsia="宋体" w:hint="default"/>
                <w:sz w:val="18"/>
                <w:szCs w:val="18"/>
              </w:rPr>
              <w:t> 贵重物品的 </w:t>
            </w:r>
            <w:r>
              <w:rPr>
                <w:rFonts w:ascii="宋体" w:hAnsi="宋体" w:cs="宋体" w:eastAsia="宋体" w:hint="default"/>
                <w:spacing w:val="-15"/>
                <w:sz w:val="18"/>
                <w:szCs w:val="18"/>
              </w:rPr>
              <w:t>押运、守护服</w:t>
            </w:r>
          </w:p>
        </w:tc>
        <w:tc>
          <w:tcPr>
            <w:tcW w:w="83" w:type="dxa"/>
            <w:vMerge w:val="restart"/>
            <w:tcBorders>
              <w:top w:val="single" w:sz="4" w:space="0" w:color="000000"/>
              <w:left w:val="single" w:sz="4" w:space="0" w:color="000000"/>
              <w:right w:val="nil" w:sz="6" w:space="0" w:color="auto"/>
            </w:tcBorders>
          </w:tcPr>
          <w:p>
            <w:pPr/>
          </w:p>
        </w:tc>
        <w:tc>
          <w:tcPr>
            <w:tcW w:w="484"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24,980</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53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海南华 安保安 器材装 备公司</w:t>
            </w:r>
          </w:p>
        </w:tc>
        <w:tc>
          <w:tcPr>
            <w:tcW w:w="4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312" w:lineRule="auto" w:before="63"/>
              <w:ind w:left="110" w:right="17" w:hanging="8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完成 工商 变更</w:t>
            </w:r>
          </w:p>
        </w:tc>
        <w:tc>
          <w:tcPr>
            <w:tcW w:w="49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65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务。</w:t>
            </w:r>
          </w:p>
        </w:tc>
        <w:tc>
          <w:tcPr>
            <w:tcW w:w="83" w:type="dxa"/>
            <w:vMerge/>
            <w:tcBorders>
              <w:left w:val="single" w:sz="4" w:space="0" w:color="000000"/>
              <w:bottom w:val="single" w:sz="4" w:space="0" w:color="000000"/>
              <w:right w:val="nil" w:sz="6" w:space="0" w:color="auto"/>
            </w:tcBorders>
          </w:tcPr>
          <w:p>
            <w:pPr/>
          </w:p>
        </w:tc>
        <w:tc>
          <w:tcPr>
            <w:tcW w:w="484" w:type="dxa"/>
            <w:tcBorders>
              <w:top w:val="nil" w:sz="6" w:space="0" w:color="auto"/>
              <w:left w:val="nil" w:sz="6" w:space="0" w:color="auto"/>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
        </w:tc>
        <w:tc>
          <w:tcPr>
            <w:tcW w:w="492"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49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6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平顶山</w:t>
            </w:r>
          </w:p>
        </w:tc>
        <w:tc>
          <w:tcPr>
            <w:tcW w:w="1046" w:type="dxa"/>
            <w:tcBorders>
              <w:top w:val="single" w:sz="4" w:space="0" w:color="000000"/>
              <w:left w:val="single" w:sz="4" w:space="0" w:color="000000"/>
              <w:bottom w:val="nil" w:sz="6" w:space="0" w:color="auto"/>
              <w:right w:val="single" w:sz="4" w:space="0" w:color="000000"/>
            </w:tcBorders>
          </w:tcPr>
          <w:p>
            <w:pPr/>
          </w:p>
        </w:tc>
        <w:tc>
          <w:tcPr>
            <w:tcW w:w="566" w:type="dxa"/>
            <w:gridSpan w:val="2"/>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533" w:type="dxa"/>
            <w:tcBorders>
              <w:top w:val="single" w:sz="4" w:space="0" w:color="000000"/>
              <w:left w:val="single" w:sz="4" w:space="0" w:color="000000"/>
              <w:bottom w:val="nil" w:sz="6" w:space="0" w:color="auto"/>
              <w:right w:val="single" w:sz="4" w:space="0" w:color="000000"/>
            </w:tcBorders>
          </w:tcPr>
          <w:p>
            <w:pPr/>
          </w:p>
        </w:tc>
        <w:tc>
          <w:tcPr>
            <w:tcW w:w="7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平顶山</w:t>
            </w:r>
          </w:p>
        </w:tc>
        <w:tc>
          <w:tcPr>
            <w:tcW w:w="492"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497"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6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52" w:right="50"/>
              <w:jc w:val="both"/>
              <w:rPr>
                <w:rFonts w:ascii="宋体" w:hAnsi="宋体" w:cs="宋体" w:eastAsia="宋体" w:hint="default"/>
                <w:sz w:val="18"/>
                <w:szCs w:val="18"/>
              </w:rPr>
            </w:pPr>
            <w:r>
              <w:rPr>
                <w:rFonts w:ascii="宋体" w:hAnsi="宋体" w:cs="宋体" w:eastAsia="宋体" w:hint="default"/>
                <w:sz w:val="18"/>
                <w:szCs w:val="18"/>
              </w:rPr>
              <w:t>鹰翔保 安押运 有限公</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15"/>
                <w:sz w:val="18"/>
                <w:szCs w:val="18"/>
              </w:rPr>
              <w:t>武装守护，押</w:t>
            </w:r>
            <w:r>
              <w:rPr>
                <w:rFonts w:ascii="宋体" w:hAnsi="宋体" w:cs="宋体" w:eastAsia="宋体" w:hint="default"/>
                <w:sz w:val="18"/>
                <w:szCs w:val="18"/>
              </w:rPr>
              <w:t> 运服务</w:t>
            </w:r>
          </w:p>
        </w:tc>
        <w:tc>
          <w:tcPr>
            <w:tcW w:w="566"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35,856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,600</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60%</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6" w:right="95"/>
              <w:jc w:val="both"/>
              <w:rPr>
                <w:rFonts w:ascii="宋体" w:hAnsi="宋体" w:cs="宋体" w:eastAsia="宋体" w:hint="default"/>
                <w:sz w:val="18"/>
                <w:szCs w:val="18"/>
              </w:rPr>
            </w:pPr>
            <w:r>
              <w:rPr>
                <w:rFonts w:ascii="宋体" w:hAnsi="宋体" w:cs="宋体" w:eastAsia="宋体" w:hint="default"/>
                <w:sz w:val="18"/>
                <w:szCs w:val="18"/>
              </w:rPr>
              <w:t>市国有 资产监 督管理</w:t>
            </w:r>
          </w:p>
        </w:tc>
        <w:tc>
          <w:tcPr>
            <w:tcW w:w="4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10" w:right="108"/>
              <w:jc w:val="both"/>
              <w:rPr>
                <w:rFonts w:ascii="宋体" w:hAnsi="宋体" w:cs="宋体" w:eastAsia="宋体" w:hint="default"/>
                <w:sz w:val="18"/>
                <w:szCs w:val="18"/>
              </w:rPr>
            </w:pPr>
            <w:r>
              <w:rPr>
                <w:rFonts w:ascii="宋体" w:hAnsi="宋体" w:cs="宋体" w:eastAsia="宋体" w:hint="default"/>
                <w:sz w:val="18"/>
                <w:szCs w:val="18"/>
              </w:rPr>
              <w:t>已签 订协 议</w:t>
            </w:r>
          </w:p>
        </w:tc>
        <w:tc>
          <w:tcPr>
            <w:tcW w:w="4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6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046" w:type="dxa"/>
            <w:tcBorders>
              <w:top w:val="nil" w:sz="6" w:space="0" w:color="auto"/>
              <w:left w:val="single" w:sz="4" w:space="0" w:color="000000"/>
              <w:bottom w:val="single" w:sz="4" w:space="0" w:color="000000"/>
              <w:right w:val="single" w:sz="4" w:space="0" w:color="000000"/>
            </w:tcBorders>
          </w:tcPr>
          <w:p>
            <w:pPr/>
          </w:p>
        </w:tc>
        <w:tc>
          <w:tcPr>
            <w:tcW w:w="566" w:type="dxa"/>
            <w:gridSpan w:val="2"/>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533" w:type="dxa"/>
            <w:tcBorders>
              <w:top w:val="nil" w:sz="6" w:space="0" w:color="auto"/>
              <w:left w:val="single" w:sz="4" w:space="0" w:color="000000"/>
              <w:bottom w:val="single" w:sz="4" w:space="0" w:color="000000"/>
              <w:right w:val="single" w:sz="4" w:space="0" w:color="000000"/>
            </w:tcBorders>
          </w:tcPr>
          <w:p>
            <w:pPr/>
          </w:p>
        </w:tc>
        <w:tc>
          <w:tcPr>
            <w:tcW w:w="7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局</w:t>
            </w:r>
          </w:p>
        </w:tc>
        <w:tc>
          <w:tcPr>
            <w:tcW w:w="492"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497"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196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0"/>
              <w:jc w:val="center"/>
              <w:rPr>
                <w:rFonts w:ascii="宋体" w:hAnsi="宋体" w:cs="宋体" w:eastAsia="宋体" w:hint="default"/>
                <w:sz w:val="18"/>
                <w:szCs w:val="18"/>
              </w:rPr>
            </w:pPr>
            <w:r>
              <w:rPr>
                <w:rFonts w:ascii="宋体" w:hAnsi="宋体" w:cs="宋体" w:eastAsia="宋体" w:hint="default"/>
                <w:sz w:val="18"/>
                <w:szCs w:val="18"/>
              </w:rPr>
              <w:t>西安金 盾押运 有限公 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8" w:right="19" w:hanging="315"/>
              <w:jc w:val="left"/>
              <w:rPr>
                <w:rFonts w:ascii="宋体" w:hAnsi="宋体" w:cs="宋体" w:eastAsia="宋体" w:hint="default"/>
                <w:sz w:val="18"/>
                <w:szCs w:val="18"/>
              </w:rPr>
            </w:pPr>
            <w:r>
              <w:rPr>
                <w:rFonts w:ascii="宋体" w:hAnsi="宋体" w:cs="宋体" w:eastAsia="宋体" w:hint="default"/>
                <w:spacing w:val="-15"/>
                <w:sz w:val="18"/>
                <w:szCs w:val="18"/>
              </w:rPr>
              <w:t>随身护卫、押</w:t>
            </w:r>
            <w:r>
              <w:rPr>
                <w:rFonts w:ascii="宋体" w:hAnsi="宋体" w:cs="宋体" w:eastAsia="宋体" w:hint="default"/>
                <w:sz w:val="18"/>
                <w:szCs w:val="18"/>
              </w:rPr>
              <w:t> 运等</w:t>
            </w:r>
          </w:p>
        </w:tc>
        <w:tc>
          <w:tcPr>
            <w:tcW w:w="83" w:type="dxa"/>
            <w:tcBorders>
              <w:top w:val="single" w:sz="4" w:space="0" w:color="000000"/>
              <w:left w:val="single" w:sz="4" w:space="0" w:color="000000"/>
              <w:bottom w:val="single" w:sz="4" w:space="0" w:color="000000"/>
              <w:right w:val="nil" w:sz="6" w:space="0" w:color="auto"/>
            </w:tcBorders>
          </w:tcPr>
          <w:p>
            <w:pPr/>
          </w:p>
        </w:tc>
        <w:tc>
          <w:tcPr>
            <w:tcW w:w="4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0"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57,436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1" w:right="79"/>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陕西省 物流集 团安保 控股有 限公司</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武装押 运服务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both"/>
              <w:rPr>
                <w:rFonts w:ascii="Times New Roman" w:hAnsi="Times New Roman" w:cs="Times New Roman" w:eastAsia="Times New Roman" w:hint="default"/>
                <w:sz w:val="18"/>
                <w:szCs w:val="18"/>
              </w:rPr>
            </w:pPr>
            <w:r>
              <w:rPr>
                <w:rFonts w:ascii="Times New Roman"/>
                <w:sz w:val="18"/>
              </w:rPr>
              <w:t>2015</w:t>
            </w:r>
          </w:p>
          <w:p>
            <w:pPr>
              <w:pStyle w:val="TableParagraph"/>
              <w:spacing w:line="314" w:lineRule="auto" w:before="63"/>
              <w:ind w:left="110" w:right="81" w:hanging="2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 成工 商变 更</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442,55</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1,400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14,236,4</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90.07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20"/>
          <w:szCs w:val="20"/>
        </w:rPr>
      </w:pPr>
    </w:p>
    <w:p>
      <w:pPr>
        <w:pStyle w:val="Heading5"/>
        <w:spacing w:line="240" w:lineRule="auto" w:before="44"/>
        <w:ind w:left="212" w:right="24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212" w:right="2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3"/>
        <w:jc w:val="right"/>
      </w:pPr>
      <w:r>
        <w:rPr/>
        <w:t>单位：元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707"/>
        <w:gridCol w:w="590"/>
        <w:gridCol w:w="545"/>
        <w:gridCol w:w="708"/>
        <w:gridCol w:w="708"/>
        <w:gridCol w:w="710"/>
        <w:gridCol w:w="708"/>
        <w:gridCol w:w="710"/>
        <w:gridCol w:w="708"/>
        <w:gridCol w:w="850"/>
        <w:gridCol w:w="710"/>
        <w:gridCol w:w="816"/>
        <w:gridCol w:w="1166"/>
      </w:tblGrid>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60" w:lineRule="auto" w:before="49"/>
              <w:ind w:left="166" w:right="168"/>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0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7" w:right="175"/>
              <w:jc w:val="both"/>
              <w:rPr>
                <w:rFonts w:ascii="宋体" w:hAnsi="宋体" w:cs="宋体" w:eastAsia="宋体" w:hint="default"/>
                <w:sz w:val="18"/>
                <w:szCs w:val="18"/>
              </w:rPr>
            </w:pPr>
            <w:r>
              <w:rPr>
                <w:rFonts w:ascii="宋体" w:hAnsi="宋体" w:cs="宋体" w:eastAsia="宋体" w:hint="default"/>
                <w:sz w:val="18"/>
                <w:szCs w:val="18"/>
              </w:rPr>
              <w:t>是 否 为</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68" w:right="168"/>
              <w:jc w:val="both"/>
              <w:rPr>
                <w:rFonts w:ascii="宋体" w:hAnsi="宋体" w:cs="宋体" w:eastAsia="宋体" w:hint="default"/>
                <w:sz w:val="18"/>
                <w:szCs w:val="18"/>
              </w:rPr>
            </w:pPr>
            <w:r>
              <w:rPr>
                <w:rFonts w:ascii="宋体" w:hAnsi="宋体" w:cs="宋体" w:eastAsia="宋体" w:hint="default"/>
                <w:sz w:val="18"/>
                <w:szCs w:val="18"/>
              </w:rPr>
              <w:t>投资 项目 涉及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167"/>
              <w:jc w:val="both"/>
              <w:rPr>
                <w:rFonts w:ascii="宋体" w:hAnsi="宋体" w:cs="宋体" w:eastAsia="宋体" w:hint="default"/>
                <w:sz w:val="18"/>
                <w:szCs w:val="18"/>
              </w:rPr>
            </w:pPr>
            <w:r>
              <w:rPr>
                <w:rFonts w:ascii="宋体" w:hAnsi="宋体" w:cs="宋体" w:eastAsia="宋体" w:hint="default"/>
                <w:sz w:val="18"/>
                <w:szCs w:val="18"/>
              </w:rPr>
              <w:t>本报 告期 投入</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截至 报告 期末</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60" w:lineRule="auto" w:before="49"/>
              <w:ind w:left="168" w:right="16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60"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60" w:lineRule="auto" w:before="49"/>
              <w:ind w:left="167" w:right="168"/>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1" w:right="146"/>
              <w:jc w:val="both"/>
              <w:rPr>
                <w:rFonts w:ascii="宋体" w:hAnsi="宋体" w:cs="宋体" w:eastAsia="宋体" w:hint="default"/>
                <w:sz w:val="18"/>
                <w:szCs w:val="18"/>
              </w:rPr>
            </w:pPr>
            <w:r>
              <w:rPr>
                <w:rFonts w:ascii="宋体" w:hAnsi="宋体" w:cs="宋体" w:eastAsia="宋体" w:hint="default"/>
                <w:sz w:val="18"/>
                <w:szCs w:val="18"/>
              </w:rPr>
              <w:t>截止报 告期末 累计实</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0" w:right="168"/>
              <w:jc w:val="both"/>
              <w:rPr>
                <w:rFonts w:ascii="宋体" w:hAnsi="宋体" w:cs="宋体" w:eastAsia="宋体" w:hint="default"/>
                <w:sz w:val="18"/>
                <w:szCs w:val="18"/>
              </w:rPr>
            </w:pPr>
            <w:r>
              <w:rPr>
                <w:rFonts w:ascii="宋体" w:hAnsi="宋体" w:cs="宋体" w:eastAsia="宋体" w:hint="default"/>
                <w:sz w:val="18"/>
                <w:szCs w:val="18"/>
              </w:rPr>
              <w:t>未达 到计 划进</w:t>
            </w:r>
          </w:p>
        </w:tc>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31" w:right="13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218" w:right="0"/>
              <w:jc w:val="left"/>
              <w:rPr>
                <w:rFonts w:ascii="宋体" w:hAnsi="宋体" w:cs="宋体" w:eastAsia="宋体" w:hint="default"/>
                <w:sz w:val="18"/>
                <w:szCs w:val="18"/>
              </w:rPr>
            </w:pPr>
            <w:r>
              <w:rPr>
                <w:rFonts w:ascii="宋体" w:hAnsi="宋体" w:cs="宋体" w:eastAsia="宋体" w:hint="default"/>
                <w:sz w:val="18"/>
                <w:szCs w:val="18"/>
              </w:rPr>
              <w:t>（如有）</w:t>
            </w:r>
          </w:p>
        </w:tc>
      </w:tr>
    </w:tbl>
    <w:p>
      <w:pPr>
        <w:spacing w:after="0" w:line="240" w:lineRule="auto"/>
        <w:jc w:val="left"/>
        <w:rPr>
          <w:rFonts w:ascii="宋体" w:hAnsi="宋体" w:cs="宋体" w:eastAsia="宋体" w:hint="default"/>
          <w:sz w:val="18"/>
          <w:szCs w:val="18"/>
        </w:rPr>
        <w:sectPr>
          <w:pgSz w:w="11910" w:h="16840"/>
          <w:pgMar w:header="877" w:footer="982" w:top="1100" w:bottom="1180" w:left="920" w:right="94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08"/>
        <w:gridCol w:w="590"/>
        <w:gridCol w:w="545"/>
        <w:gridCol w:w="708"/>
        <w:gridCol w:w="708"/>
        <w:gridCol w:w="710"/>
        <w:gridCol w:w="708"/>
        <w:gridCol w:w="710"/>
        <w:gridCol w:w="708"/>
        <w:gridCol w:w="850"/>
        <w:gridCol w:w="710"/>
        <w:gridCol w:w="816"/>
        <w:gridCol w:w="1166"/>
      </w:tblGrid>
      <w:tr>
        <w:trPr>
          <w:trHeight w:val="1922"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7" w:right="175"/>
              <w:jc w:val="both"/>
              <w:rPr>
                <w:rFonts w:ascii="宋体" w:hAnsi="宋体" w:cs="宋体" w:eastAsia="宋体" w:hint="default"/>
                <w:sz w:val="18"/>
                <w:szCs w:val="18"/>
              </w:rPr>
            </w:pPr>
            <w:r>
              <w:rPr>
                <w:rFonts w:ascii="宋体" w:hAnsi="宋体" w:cs="宋体" w:eastAsia="宋体" w:hint="default"/>
                <w:sz w:val="18"/>
                <w:szCs w:val="18"/>
              </w:rPr>
              <w:t>固 定 资 产 投 资</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0" w:right="168"/>
              <w:jc w:val="both"/>
              <w:rPr>
                <w:rFonts w:ascii="宋体" w:hAnsi="宋体" w:cs="宋体" w:eastAsia="宋体" w:hint="default"/>
                <w:sz w:val="18"/>
                <w:szCs w:val="18"/>
              </w:rPr>
            </w:pPr>
            <w:r>
              <w:rPr>
                <w:rFonts w:ascii="宋体" w:hAnsi="宋体" w:cs="宋体" w:eastAsia="宋体" w:hint="default"/>
                <w:sz w:val="18"/>
                <w:szCs w:val="18"/>
              </w:rPr>
              <w:t>累计 实际 投入 金额</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331" w:right="146" w:hanging="180"/>
              <w:jc w:val="left"/>
              <w:rPr>
                <w:rFonts w:ascii="宋体" w:hAnsi="宋体" w:cs="宋体" w:eastAsia="宋体" w:hint="default"/>
                <w:sz w:val="18"/>
                <w:szCs w:val="18"/>
              </w:rPr>
            </w:pPr>
            <w:r>
              <w:rPr>
                <w:rFonts w:ascii="宋体" w:hAnsi="宋体" w:cs="宋体" w:eastAsia="宋体" w:hint="default"/>
                <w:sz w:val="18"/>
                <w:szCs w:val="18"/>
              </w:rPr>
              <w:t>现的收 益</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70" w:right="168"/>
              <w:jc w:val="both"/>
              <w:rPr>
                <w:rFonts w:ascii="宋体" w:hAnsi="宋体" w:cs="宋体" w:eastAsia="宋体" w:hint="default"/>
                <w:sz w:val="18"/>
                <w:szCs w:val="18"/>
              </w:rPr>
            </w:pPr>
            <w:r>
              <w:rPr>
                <w:rFonts w:ascii="宋体" w:hAnsi="宋体" w:cs="宋体" w:eastAsia="宋体" w:hint="default"/>
                <w:sz w:val="18"/>
                <w:szCs w:val="18"/>
              </w:rPr>
              <w:t>度和 预计 收益 的原 因</w:t>
            </w:r>
          </w:p>
        </w:tc>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320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both"/>
              <w:rPr>
                <w:rFonts w:ascii="宋体" w:hAnsi="宋体" w:cs="宋体" w:eastAsia="宋体" w:hint="default"/>
                <w:sz w:val="18"/>
                <w:szCs w:val="18"/>
              </w:rPr>
            </w:pPr>
            <w:r>
              <w:rPr>
                <w:rFonts w:ascii="宋体" w:hAnsi="宋体" w:cs="宋体" w:eastAsia="宋体" w:hint="default"/>
                <w:sz w:val="18"/>
                <w:szCs w:val="18"/>
              </w:rPr>
              <w:t>郑州 金融 外包 服务 基地 项目</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购买</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9"/>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233"/>
              <w:jc w:val="both"/>
              <w:rPr>
                <w:rFonts w:ascii="宋体" w:hAnsi="宋体" w:cs="宋体" w:eastAsia="宋体" w:hint="default"/>
                <w:sz w:val="18"/>
                <w:szCs w:val="18"/>
              </w:rPr>
            </w:pPr>
            <w:r>
              <w:rPr>
                <w:rFonts w:ascii="宋体" w:hAnsi="宋体" w:cs="宋体" w:eastAsia="宋体" w:hint="default"/>
                <w:sz w:val="18"/>
                <w:szCs w:val="18"/>
              </w:rPr>
              <w:t>金融 外包 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2" w:right="0"/>
              <w:jc w:val="lef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1,267.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2" w:right="0"/>
              <w:jc w:val="left"/>
              <w:rPr>
                <w:rFonts w:ascii="Times New Roman" w:hAnsi="Times New Roman" w:cs="Times New Roman" w:eastAsia="Times New Roman" w:hint="default"/>
                <w:sz w:val="18"/>
                <w:szCs w:val="18"/>
              </w:rPr>
            </w:pPr>
            <w:r>
              <w:rPr>
                <w:rFonts w:ascii="Times New Roman"/>
                <w:sz w:val="18"/>
              </w:rPr>
              <w:t>54,50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1,267.</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232"/>
              <w:jc w:val="both"/>
              <w:rPr>
                <w:rFonts w:ascii="宋体" w:hAnsi="宋体" w:cs="宋体" w:eastAsia="宋体" w:hint="default"/>
                <w:sz w:val="18"/>
                <w:szCs w:val="18"/>
              </w:rPr>
            </w:pPr>
            <w:r>
              <w:rPr>
                <w:rFonts w:ascii="宋体" w:hAnsi="宋体" w:cs="宋体" w:eastAsia="宋体" w:hint="default"/>
                <w:sz w:val="18"/>
                <w:szCs w:val="18"/>
              </w:rPr>
              <w:t>非公 开发 行募 集资 金项 目前 期投 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106" w:right="232"/>
              <w:jc w:val="both"/>
              <w:rPr>
                <w:rFonts w:ascii="宋体" w:hAnsi="宋体" w:cs="宋体" w:eastAsia="宋体" w:hint="default"/>
                <w:sz w:val="18"/>
                <w:szCs w:val="18"/>
              </w:rPr>
            </w:pPr>
            <w:r>
              <w:rPr>
                <w:rFonts w:ascii="宋体" w:hAnsi="宋体" w:cs="宋体" w:eastAsia="宋体" w:hint="default"/>
                <w:sz w:val="18"/>
                <w:szCs w:val="18"/>
              </w:rPr>
              <w:t>购买 房产 交易 完成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p>
          <w:p>
            <w:pPr>
              <w:pStyle w:val="TableParagraph"/>
              <w:spacing w:line="300" w:lineRule="auto" w:before="62"/>
              <w:ind w:left="103" w:right="9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103" w:right="151"/>
              <w:jc w:val="both"/>
              <w:rPr>
                <w:rFonts w:ascii="宋体" w:hAnsi="宋体" w:cs="宋体" w:eastAsia="宋体" w:hint="default"/>
                <w:sz w:val="18"/>
                <w:szCs w:val="18"/>
              </w:rPr>
            </w:pPr>
            <w:r>
              <w:rPr>
                <w:rFonts w:ascii="宋体" w:hAnsi="宋体" w:cs="宋体" w:eastAsia="宋体" w:hint="default"/>
                <w:sz w:val="18"/>
                <w:szCs w:val="18"/>
              </w:rPr>
              <w:t>刊登在《证 券时报》及 巨潮资讯网</w:t>
            </w:r>
          </w:p>
          <w:p>
            <w:pPr>
              <w:pStyle w:val="TableParagraph"/>
              <w:spacing w:line="319" w:lineRule="auto" w:before="18"/>
              <w:ind w:left="103" w:right="158"/>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）上的 相关公告</w:t>
            </w:r>
          </w:p>
        </w:tc>
      </w:tr>
      <w:tr>
        <w:trPr>
          <w:trHeight w:val="25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both"/>
              <w:rPr>
                <w:rFonts w:ascii="宋体" w:hAnsi="宋体" w:cs="宋体" w:eastAsia="宋体" w:hint="default"/>
                <w:sz w:val="18"/>
                <w:szCs w:val="18"/>
              </w:rPr>
            </w:pPr>
            <w:r>
              <w:rPr>
                <w:rFonts w:ascii="宋体" w:hAnsi="宋体" w:cs="宋体" w:eastAsia="宋体" w:hint="default"/>
                <w:sz w:val="18"/>
                <w:szCs w:val="18"/>
              </w:rPr>
              <w:t>广州 金融 外包 服务 总部 基地</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自建</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49"/>
              <w:jc w:val="righ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233"/>
              <w:jc w:val="both"/>
              <w:rPr>
                <w:rFonts w:ascii="宋体" w:hAnsi="宋体" w:cs="宋体" w:eastAsia="宋体" w:hint="default"/>
                <w:sz w:val="18"/>
                <w:szCs w:val="18"/>
              </w:rPr>
            </w:pPr>
            <w:r>
              <w:rPr>
                <w:rFonts w:ascii="宋体" w:hAnsi="宋体" w:cs="宋体" w:eastAsia="宋体" w:hint="default"/>
                <w:sz w:val="18"/>
                <w:szCs w:val="18"/>
              </w:rPr>
              <w:t>金融 外包 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2" w:right="0"/>
              <w:jc w:val="left"/>
              <w:rPr>
                <w:rFonts w:ascii="Times New Roman" w:hAnsi="Times New Roman" w:cs="Times New Roman" w:eastAsia="Times New Roman" w:hint="default"/>
                <w:sz w:val="18"/>
                <w:szCs w:val="18"/>
              </w:rPr>
            </w:pPr>
            <w:r>
              <w:rPr>
                <w:rFonts w:ascii="Times New Roman"/>
                <w:sz w:val="18"/>
              </w:rPr>
              <w:t>34,19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2,068.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2" w:right="0"/>
              <w:jc w:val="left"/>
              <w:rPr>
                <w:rFonts w:ascii="Times New Roman" w:hAnsi="Times New Roman" w:cs="Times New Roman" w:eastAsia="Times New Roman" w:hint="default"/>
                <w:sz w:val="18"/>
                <w:szCs w:val="18"/>
              </w:rPr>
            </w:pPr>
            <w:r>
              <w:rPr>
                <w:rFonts w:ascii="Times New Roman"/>
                <w:sz w:val="18"/>
              </w:rPr>
              <w:t>37,05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4,171.</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232"/>
              <w:jc w:val="both"/>
              <w:rPr>
                <w:rFonts w:ascii="宋体" w:hAnsi="宋体" w:cs="宋体" w:eastAsia="宋体" w:hint="default"/>
                <w:sz w:val="18"/>
                <w:szCs w:val="18"/>
              </w:rPr>
            </w:pPr>
            <w:r>
              <w:rPr>
                <w:rFonts w:ascii="宋体" w:hAnsi="宋体" w:cs="宋体" w:eastAsia="宋体" w:hint="default"/>
                <w:sz w:val="18"/>
                <w:szCs w:val="18"/>
              </w:rPr>
              <w:t>非公 开发 行募 集资 金项 目前 期投 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106" w:right="232"/>
              <w:jc w:val="left"/>
              <w:rPr>
                <w:rFonts w:ascii="宋体" w:hAnsi="宋体" w:cs="宋体" w:eastAsia="宋体" w:hint="default"/>
                <w:sz w:val="18"/>
                <w:szCs w:val="18"/>
              </w:rPr>
            </w:pPr>
            <w:r>
              <w:rPr>
                <w:rFonts w:ascii="宋体" w:hAnsi="宋体" w:cs="宋体" w:eastAsia="宋体" w:hint="default"/>
                <w:sz w:val="18"/>
                <w:szCs w:val="18"/>
              </w:rPr>
              <w:t>在建 工程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p>
          <w:p>
            <w:pPr>
              <w:pStyle w:val="TableParagraph"/>
              <w:spacing w:line="300" w:lineRule="auto" w:before="62"/>
              <w:ind w:left="103" w:right="98"/>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103" w:right="151"/>
              <w:jc w:val="both"/>
              <w:rPr>
                <w:rFonts w:ascii="宋体" w:hAnsi="宋体" w:cs="宋体" w:eastAsia="宋体" w:hint="default"/>
                <w:sz w:val="18"/>
                <w:szCs w:val="18"/>
              </w:rPr>
            </w:pPr>
            <w:r>
              <w:rPr>
                <w:rFonts w:ascii="宋体" w:hAnsi="宋体" w:cs="宋体" w:eastAsia="宋体" w:hint="default"/>
                <w:sz w:val="18"/>
                <w:szCs w:val="18"/>
              </w:rPr>
              <w:t>刊登在《证 券时报》及 巨潮资讯网</w:t>
            </w:r>
          </w:p>
          <w:p>
            <w:pPr>
              <w:pStyle w:val="TableParagraph"/>
              <w:spacing w:line="319" w:lineRule="auto" w:before="18"/>
              <w:ind w:left="103" w:right="158"/>
              <w:jc w:val="both"/>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）上的 相关公告</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6"/>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88,69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3,335.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91,55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5,438.</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0"/>
          <w:szCs w:val="20"/>
        </w:rPr>
      </w:pPr>
    </w:p>
    <w:p>
      <w:pPr>
        <w:pStyle w:val="Heading5"/>
        <w:spacing w:line="240" w:lineRule="auto" w:before="44"/>
        <w:ind w:left="212" w:right="101"/>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3"/>
        <w:jc w:val="right"/>
      </w:pPr>
      <w:bookmarkStart w:name="4、以公允价值计量的金融资产" w:id="50"/>
      <w:bookmarkEnd w:id="50"/>
      <w:r>
        <w:rPr/>
      </w:r>
      <w:r>
        <w:rPr/>
        <w:t>单位：元</w:t>
      </w:r>
    </w:p>
    <w:p>
      <w:pPr>
        <w:spacing w:line="240" w:lineRule="auto" w:before="3"/>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1135"/>
        <w:gridCol w:w="1147"/>
        <w:gridCol w:w="1090"/>
        <w:gridCol w:w="1178"/>
        <w:gridCol w:w="1193"/>
        <w:gridCol w:w="958"/>
        <w:gridCol w:w="955"/>
        <w:gridCol w:w="955"/>
        <w:gridCol w:w="958"/>
      </w:tblGrid>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1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0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94" w:right="41" w:hanging="449"/>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03" w:right="23"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81" w:right="82"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可供出售金 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 </w:t>
            </w:r>
            <w:r>
              <w:rPr>
                <w:rFonts w:ascii="Times New Roman" w:hAnsi="Times New Roman" w:cs="Times New Roman" w:eastAsia="Times New Roman" w:hint="default"/>
                <w:sz w:val="18"/>
                <w:szCs w:val="18"/>
              </w:rPr>
              <w:t>GRGI</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8,615,098.78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-4,446,274.96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355,323.65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8,615,098.78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-4,446,274.96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355,323.65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0"/>
          <w:szCs w:val="20"/>
        </w:rPr>
      </w:pPr>
    </w:p>
    <w:p>
      <w:pPr>
        <w:pStyle w:val="Heading5"/>
        <w:spacing w:line="240" w:lineRule="auto" w:before="44"/>
        <w:ind w:left="212" w:right="10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20" w:right="980"/>
        </w:sectPr>
      </w:pPr>
    </w:p>
    <w:p>
      <w:pPr>
        <w:spacing w:line="240" w:lineRule="auto" w:before="11"/>
        <w:rPr>
          <w:rFonts w:ascii="宋体" w:hAnsi="宋体" w:cs="宋体" w:eastAsia="宋体" w:hint="default"/>
          <w:sz w:val="21"/>
          <w:szCs w:val="21"/>
        </w:rPr>
      </w:pPr>
    </w:p>
    <w:p>
      <w:pPr>
        <w:pStyle w:val="BodyText"/>
        <w:spacing w:line="240" w:lineRule="auto" w:before="44"/>
        <w:ind w:left="212" w:right="101"/>
        <w:jc w:val="left"/>
      </w:pPr>
      <w:r>
        <w:rPr/>
        <w:t>公司报告期无募集资金使用情况。</w:t>
      </w:r>
    </w:p>
    <w:p>
      <w:pPr>
        <w:spacing w:line="240" w:lineRule="auto" w:before="3"/>
        <w:rPr>
          <w:rFonts w:ascii="宋体" w:hAnsi="宋体" w:cs="宋体" w:eastAsia="宋体" w:hint="default"/>
          <w:sz w:val="25"/>
          <w:szCs w:val="25"/>
        </w:rPr>
      </w:pPr>
    </w:p>
    <w:p>
      <w:pPr>
        <w:pStyle w:val="Heading2"/>
        <w:spacing w:line="240" w:lineRule="auto"/>
        <w:ind w:left="212" w:right="101"/>
        <w:jc w:val="left"/>
        <w:rPr>
          <w:b w:val="0"/>
          <w:bCs w:val="0"/>
        </w:rPr>
      </w:pPr>
      <w:r>
        <w:rPr/>
        <w:t>六</w:t>
      </w:r>
      <w:bookmarkStart w:name="六、重大资产和股权出售" w:id="51"/>
      <w:bookmarkEnd w:id="51"/>
      <w:r>
        <w:rPr/>
        <w:t>、</w:t>
      </w:r>
      <w:r>
        <w:rPr/>
        <w:t>重大资产和股权出售</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212" w:right="101"/>
        <w:jc w:val="left"/>
        <w:rPr>
          <w:b w:val="0"/>
          <w:bCs w:val="0"/>
        </w:rPr>
      </w:pPr>
      <w:r>
        <w:rPr>
          <w:rFonts w:ascii="Times New Roman" w:hAnsi="Times New Roman" w:cs="Times New Roman" w:eastAsia="Times New Roman" w:hint="default"/>
        </w:rPr>
        <w:t>1</w:t>
      </w:r>
      <w:r>
        <w:rPr/>
        <w:t>、出售重大资</w:t>
      </w:r>
      <w:bookmarkStart w:name="1、出售重大资产情况" w:id="52"/>
      <w:bookmarkEnd w:id="52"/>
      <w:r>
        <w:rPr/>
        <w:t>产情况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5"/>
        <w:ind w:left="212"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3"/>
        <w:rPr>
          <w:rFonts w:ascii="宋体" w:hAnsi="宋体" w:cs="宋体" w:eastAsia="宋体" w:hint="default"/>
          <w:sz w:val="22"/>
          <w:szCs w:val="22"/>
        </w:rPr>
      </w:pPr>
    </w:p>
    <w:p>
      <w:pPr>
        <w:pStyle w:val="Heading5"/>
        <w:spacing w:line="240" w:lineRule="auto"/>
        <w:ind w:left="212" w:right="10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01"/>
        <w:jc w:val="left"/>
        <w:rPr>
          <w:b w:val="0"/>
          <w:bCs w:val="0"/>
        </w:rPr>
      </w:pPr>
      <w:r>
        <w:rPr/>
        <w:t>七、主要控股参股公司分</w:t>
      </w:r>
      <w:bookmarkStart w:name="2、出售重大股权情况" w:id="53"/>
      <w:bookmarkEnd w:id="53"/>
      <w:r>
        <w:rPr/>
        <w:t>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20" w:right="980"/>
        </w:sectPr>
      </w:pPr>
    </w:p>
    <w:p>
      <w:pPr>
        <w:pStyle w:val="BodyText"/>
        <w:spacing w:line="240" w:lineRule="auto" w:before="44"/>
        <w:ind w:left="212"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212" w:right="-18"/>
        <w:jc w:val="left"/>
      </w:pPr>
      <w:r>
        <w:rPr/>
        <w:t>主要子公司及对公司净利润影响达</w:t>
      </w:r>
      <w:r>
        <w:rPr>
          <w:spacing w:val="-45"/>
        </w:rPr>
        <w:t> </w:t>
      </w:r>
      <w:r>
        <w:rPr>
          <w:rFonts w:ascii="Times New Roman" w:hAnsi="Times New Roman" w:cs="Times New Roman" w:eastAsia="Times New Roman" w:hint="default"/>
        </w:rPr>
        <w:t>10%</w:t>
      </w:r>
      <w:bookmarkStart w:name="七、主要控股参股公司分析" w:id="54"/>
      <w:bookmarkEnd w:id="54"/>
      <w:r>
        <w:rPr>
          <w:rFonts w:ascii="Times New Roman" w:hAnsi="Times New Roman" w:cs="Times New Roman" w:eastAsia="Times New Roman" w:hint="default"/>
        </w:rPr>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12" w:right="0"/>
        <w:jc w:val="left"/>
      </w:pPr>
      <w:r>
        <w:rPr/>
        <w:t>单位：元</w:t>
      </w:r>
    </w:p>
    <w:p>
      <w:pPr>
        <w:spacing w:after="0" w:line="240" w:lineRule="auto"/>
        <w:jc w:val="left"/>
        <w:sectPr>
          <w:type w:val="continuous"/>
          <w:pgSz w:w="11910" w:h="16840"/>
          <w:pgMar w:top="1060" w:bottom="280" w:left="920" w:right="980"/>
          <w:cols w:num="2" w:equalWidth="0">
            <w:col w:w="4910" w:space="4008"/>
            <w:col w:w="1092"/>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852"/>
        <w:gridCol w:w="850"/>
        <w:gridCol w:w="1594"/>
        <w:gridCol w:w="1044"/>
        <w:gridCol w:w="1046"/>
        <w:gridCol w:w="1046"/>
        <w:gridCol w:w="1044"/>
        <w:gridCol w:w="1044"/>
        <w:gridCol w:w="1046"/>
      </w:tblGrid>
      <w:tr>
        <w:trPr>
          <w:trHeight w:val="754"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49"/>
              <w:ind w:left="240" w:right="240"/>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49"/>
              <w:ind w:left="239" w:right="239"/>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广州 银通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38"/>
              <w:jc w:val="left"/>
              <w:rPr>
                <w:rFonts w:ascii="宋体" w:hAnsi="宋体" w:cs="宋体" w:eastAsia="宋体" w:hint="default"/>
                <w:sz w:val="18"/>
                <w:szCs w:val="18"/>
              </w:rPr>
            </w:pPr>
            <w:r>
              <w:rPr>
                <w:rFonts w:ascii="宋体" w:hAnsi="宋体" w:cs="宋体" w:eastAsia="宋体" w:hint="default"/>
                <w:sz w:val="18"/>
                <w:szCs w:val="18"/>
              </w:rPr>
              <w:t>主要从事货币自 动处理设备的维 </w:t>
            </w:r>
            <w:r>
              <w:rPr>
                <w:rFonts w:ascii="宋体" w:hAnsi="宋体" w:cs="宋体" w:eastAsia="宋体" w:hint="default"/>
                <w:spacing w:val="-4"/>
                <w:sz w:val="18"/>
                <w:szCs w:val="18"/>
              </w:rPr>
              <w:t>护服务、</w:t>
            </w:r>
            <w:r>
              <w:rPr>
                <w:rFonts w:ascii="Times New Roman" w:hAnsi="Times New Roman" w:cs="Times New Roman" w:eastAsia="Times New Roman" w:hint="default"/>
                <w:spacing w:val="-4"/>
                <w:sz w:val="18"/>
                <w:szCs w:val="18"/>
              </w:rPr>
              <w:t>ATM </w:t>
            </w:r>
            <w:r>
              <w:rPr>
                <w:rFonts w:ascii="宋体" w:hAnsi="宋体" w:cs="宋体" w:eastAsia="宋体" w:hint="default"/>
                <w:sz w:val="18"/>
                <w:szCs w:val="18"/>
              </w:rPr>
              <w:t>营</w:t>
            </w:r>
            <w:r>
              <w:rPr>
                <w:rFonts w:ascii="宋体" w:hAnsi="宋体" w:cs="宋体" w:eastAsia="宋体" w:hint="default"/>
                <w:spacing w:val="-80"/>
                <w:sz w:val="18"/>
                <w:szCs w:val="18"/>
              </w:rPr>
              <w:t> </w:t>
            </w:r>
            <w:r>
              <w:rPr>
                <w:rFonts w:ascii="宋体" w:hAnsi="宋体" w:cs="宋体" w:eastAsia="宋体" w:hint="default"/>
                <w:sz w:val="18"/>
                <w:szCs w:val="18"/>
              </w:rPr>
              <w:t>运业务以及金融 服务全外包业务。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1,364,999,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712.44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549,497,00</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6.30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1,014,929,</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029.22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223,152,77</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4.62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190,766,84</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5.40</w:t>
            </w:r>
          </w:p>
        </w:tc>
      </w:tr>
      <w:tr>
        <w:trPr>
          <w:trHeight w:val="7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03" w:right="377"/>
              <w:jc w:val="left"/>
              <w:rPr>
                <w:rFonts w:ascii="宋体" w:hAnsi="宋体" w:cs="宋体" w:eastAsia="宋体" w:hint="default"/>
                <w:sz w:val="18"/>
                <w:szCs w:val="18"/>
              </w:rPr>
            </w:pPr>
            <w:r>
              <w:rPr>
                <w:rFonts w:ascii="宋体" w:hAnsi="宋体" w:cs="宋体" w:eastAsia="宋体" w:hint="default"/>
                <w:sz w:val="18"/>
                <w:szCs w:val="18"/>
              </w:rPr>
              <w:t>运通 国际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主要经营柜员机 销售与服务。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60"/>
              <w:ind w:left="571"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106,151,16</w:t>
            </w:r>
          </w:p>
          <w:p>
            <w:pPr>
              <w:pStyle w:val="TableParagraph"/>
              <w:spacing w:line="240" w:lineRule="auto" w:before="102"/>
              <w:ind w:left="621" w:right="0"/>
              <w:jc w:val="left"/>
              <w:rPr>
                <w:rFonts w:ascii="Times New Roman" w:hAnsi="Times New Roman" w:cs="Times New Roman" w:eastAsia="Times New Roman" w:hint="default"/>
                <w:sz w:val="18"/>
                <w:szCs w:val="18"/>
              </w:rPr>
            </w:pPr>
            <w:r>
              <w:rPr>
                <w:rFonts w:ascii="Times New Roman"/>
                <w:sz w:val="18"/>
              </w:rPr>
              <w:t>9.24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19,734,347</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z w:val="18"/>
              </w:rPr>
              <w:t>291,891,26</w:t>
            </w:r>
          </w:p>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4.38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-249,115.7</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-2,192,297.</w:t>
            </w:r>
            <w:r>
              <w:rPr>
                <w:rFonts w:ascii="Times New Roman"/>
                <w:sz w:val="18"/>
              </w:rPr>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12</w:t>
            </w:r>
          </w:p>
        </w:tc>
      </w:tr>
      <w:tr>
        <w:trPr>
          <w:trHeight w:val="7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支点 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38"/>
              <w:jc w:val="left"/>
              <w:rPr>
                <w:rFonts w:ascii="宋体" w:hAnsi="宋体" w:cs="宋体" w:eastAsia="宋体" w:hint="default"/>
                <w:sz w:val="18"/>
                <w:szCs w:val="18"/>
              </w:rPr>
            </w:pPr>
            <w:r>
              <w:rPr>
                <w:rFonts w:ascii="宋体" w:hAnsi="宋体" w:cs="宋体" w:eastAsia="宋体" w:hint="default"/>
                <w:sz w:val="18"/>
                <w:szCs w:val="18"/>
              </w:rPr>
              <w:t>主要从事创业投 资、咨询、管理。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53,869,136</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53,515,442</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.65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1,414,774.</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29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1,061,080.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72</w:t>
            </w:r>
          </w:p>
        </w:tc>
      </w:tr>
      <w:tr>
        <w:trPr>
          <w:trHeight w:val="7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中智 融通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主要从事清分机 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127,667,77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7.39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54,501,666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89,194,751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1,235,976.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1,616,783.</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25</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广电 汇通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8"/>
              <w:jc w:val="both"/>
              <w:rPr>
                <w:rFonts w:ascii="宋体" w:hAnsi="宋体" w:cs="宋体" w:eastAsia="宋体" w:hint="default"/>
                <w:sz w:val="18"/>
                <w:szCs w:val="18"/>
              </w:rPr>
            </w:pPr>
            <w:r>
              <w:rPr>
                <w:rFonts w:ascii="宋体" w:hAnsi="宋体" w:cs="宋体" w:eastAsia="宋体" w:hint="default"/>
                <w:sz w:val="18"/>
                <w:szCs w:val="18"/>
              </w:rPr>
              <w:t>专业从事基于金 融服务终端的支 付业务。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98,897,199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98,375,500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1,142,668.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-1,969,485.</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-1,209,582.</w:t>
            </w:r>
            <w:r>
              <w:rPr>
                <w:rFonts w:ascii="Times New Roman"/>
                <w:sz w:val="18"/>
              </w:rPr>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37</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03" w:right="377"/>
              <w:jc w:val="left"/>
              <w:rPr>
                <w:rFonts w:ascii="宋体" w:hAnsi="宋体" w:cs="宋体" w:eastAsia="宋体" w:hint="default"/>
                <w:sz w:val="18"/>
                <w:szCs w:val="18"/>
              </w:rPr>
            </w:pPr>
            <w:r>
              <w:rPr>
                <w:rFonts w:ascii="宋体" w:hAnsi="宋体" w:cs="宋体" w:eastAsia="宋体" w:hint="default"/>
                <w:sz w:val="18"/>
                <w:szCs w:val="18"/>
              </w:rPr>
              <w:t>运通 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专业从事计算机 </w:t>
            </w:r>
            <w:r>
              <w:rPr>
                <w:rFonts w:ascii="宋体" w:hAnsi="宋体" w:cs="宋体" w:eastAsia="宋体" w:hint="default"/>
                <w:spacing w:val="-8"/>
                <w:sz w:val="18"/>
                <w:szCs w:val="18"/>
              </w:rPr>
              <w:t>软、硬件技术及系</w:t>
            </w:r>
            <w:r>
              <w:rPr>
                <w:rFonts w:ascii="宋体" w:hAnsi="宋体" w:cs="宋体" w:eastAsia="宋体" w:hint="default"/>
                <w:sz w:val="18"/>
                <w:szCs w:val="18"/>
              </w:rPr>
              <w:t> 统集成的开发和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38,592,915</w:t>
            </w:r>
          </w:p>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4"/>
                <w:w w:val="95"/>
                <w:sz w:val="18"/>
              </w:rPr>
              <w:t>.11</w:t>
            </w:r>
            <w:r>
              <w:rPr>
                <w:rFonts w:ascii="Times New Roman"/>
                <w:w w:val="95"/>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27,861,479</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.12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28,401,600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545,339.67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840,261.29</w:t>
            </w:r>
          </w:p>
        </w:tc>
      </w:tr>
      <w:tr>
        <w:trPr>
          <w:trHeight w:val="98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北京广 电科技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8"/>
              <w:jc w:val="left"/>
              <w:rPr>
                <w:rFonts w:ascii="宋体" w:hAnsi="宋体" w:cs="宋体" w:eastAsia="宋体" w:hint="default"/>
                <w:sz w:val="18"/>
                <w:szCs w:val="18"/>
              </w:rPr>
            </w:pPr>
            <w:r>
              <w:rPr>
                <w:rFonts w:ascii="宋体" w:hAnsi="宋体" w:cs="宋体" w:eastAsia="宋体" w:hint="default"/>
                <w:sz w:val="18"/>
                <w:szCs w:val="18"/>
              </w:rPr>
              <w:t>技术开发、咨询、 </w:t>
            </w:r>
            <w:r>
              <w:rPr>
                <w:rFonts w:ascii="宋体" w:hAnsi="宋体" w:cs="宋体" w:eastAsia="宋体" w:hint="default"/>
                <w:spacing w:val="-8"/>
                <w:sz w:val="18"/>
                <w:szCs w:val="18"/>
              </w:rPr>
              <w:t>服务；计算机系统</w:t>
            </w:r>
            <w:r>
              <w:rPr>
                <w:rFonts w:ascii="宋体" w:hAnsi="宋体" w:cs="宋体" w:eastAsia="宋体" w:hint="default"/>
                <w:sz w:val="18"/>
                <w:szCs w:val="18"/>
              </w:rPr>
              <w:t> 服务；销售计算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280" w:left="920" w:right="98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852"/>
        <w:gridCol w:w="850"/>
        <w:gridCol w:w="1594"/>
        <w:gridCol w:w="1044"/>
        <w:gridCol w:w="1046"/>
        <w:gridCol w:w="1046"/>
        <w:gridCol w:w="1044"/>
        <w:gridCol w:w="1044"/>
        <w:gridCol w:w="1046"/>
      </w:tblGrid>
      <w:tr>
        <w:trPr>
          <w:trHeight w:val="1298"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8"/>
                <w:sz w:val="18"/>
                <w:szCs w:val="18"/>
              </w:rPr>
              <w:t>机、软件及辅助设</w:t>
            </w:r>
            <w:r>
              <w:rPr>
                <w:rFonts w:ascii="宋体" w:hAnsi="宋体" w:cs="宋体" w:eastAsia="宋体" w:hint="default"/>
                <w:sz w:val="18"/>
                <w:szCs w:val="18"/>
              </w:rPr>
              <w:t> </w:t>
            </w:r>
            <w:r>
              <w:rPr>
                <w:rFonts w:ascii="宋体" w:hAnsi="宋体" w:cs="宋体" w:eastAsia="宋体" w:hint="default"/>
                <w:spacing w:val="-8"/>
                <w:sz w:val="18"/>
                <w:szCs w:val="18"/>
              </w:rPr>
              <w:t>备、机械设备；货</w:t>
            </w:r>
            <w:r>
              <w:rPr>
                <w:rFonts w:ascii="宋体" w:hAnsi="宋体" w:cs="宋体" w:eastAsia="宋体" w:hint="default"/>
                <w:sz w:val="18"/>
                <w:szCs w:val="18"/>
              </w:rPr>
              <w:t> </w:t>
            </w:r>
            <w:r>
              <w:rPr>
                <w:rFonts w:ascii="宋体" w:hAnsi="宋体" w:cs="宋体" w:eastAsia="宋体" w:hint="default"/>
                <w:spacing w:val="-8"/>
                <w:sz w:val="18"/>
                <w:szCs w:val="18"/>
              </w:rPr>
              <w:t>物进出口；技术进</w:t>
            </w:r>
            <w:r>
              <w:rPr>
                <w:rFonts w:ascii="宋体" w:hAnsi="宋体" w:cs="宋体" w:eastAsia="宋体" w:hint="default"/>
                <w:sz w:val="18"/>
                <w:szCs w:val="18"/>
              </w:rPr>
              <w:t> 出口。</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广州 穗通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受银行委托对自 动柜员机进行日 </w:t>
            </w:r>
            <w:r>
              <w:rPr>
                <w:rFonts w:ascii="宋体" w:hAnsi="宋体" w:cs="宋体" w:eastAsia="宋体" w:hint="default"/>
                <w:spacing w:val="-8"/>
                <w:sz w:val="18"/>
                <w:szCs w:val="18"/>
              </w:rPr>
              <w:t>常维护及管理，对</w:t>
            </w:r>
            <w:r>
              <w:rPr>
                <w:rFonts w:ascii="宋体" w:hAnsi="宋体" w:cs="宋体" w:eastAsia="宋体" w:hint="default"/>
                <w:sz w:val="18"/>
                <w:szCs w:val="18"/>
              </w:rPr>
              <w:t> 现金及有价证券 提供清分处理服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4" w:right="0"/>
              <w:jc w:val="left"/>
              <w:rPr>
                <w:rFonts w:ascii="Times New Roman" w:hAnsi="Times New Roman" w:cs="Times New Roman" w:eastAsia="Times New Roman" w:hint="default"/>
                <w:sz w:val="18"/>
                <w:szCs w:val="18"/>
              </w:rPr>
            </w:pPr>
            <w:r>
              <w:rPr>
                <w:rFonts w:ascii="Times New Roman"/>
                <w:sz w:val="18"/>
              </w:rPr>
              <w:t>135,710,62</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5.30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2" w:right="0"/>
              <w:jc w:val="left"/>
              <w:rPr>
                <w:rFonts w:ascii="Times New Roman" w:hAnsi="Times New Roman" w:cs="Times New Roman" w:eastAsia="Times New Roman" w:hint="default"/>
                <w:sz w:val="18"/>
                <w:szCs w:val="18"/>
              </w:rPr>
            </w:pPr>
            <w:r>
              <w:rPr>
                <w:rFonts w:ascii="Times New Roman"/>
                <w:sz w:val="18"/>
              </w:rPr>
              <w:t>102,438,75</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0" w:right="0"/>
              <w:jc w:val="left"/>
              <w:rPr>
                <w:rFonts w:ascii="Times New Roman" w:hAnsi="Times New Roman" w:cs="Times New Roman" w:eastAsia="Times New Roman" w:hint="default"/>
                <w:sz w:val="18"/>
                <w:szCs w:val="18"/>
              </w:rPr>
            </w:pPr>
            <w:r>
              <w:rPr>
                <w:rFonts w:ascii="Times New Roman"/>
                <w:sz w:val="18"/>
              </w:rPr>
              <w:t>121,528,37</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18,302,165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z w:val="18"/>
              </w:rPr>
              <w:t>18,519,174</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.20</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龙源 环保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环境污染防治专 用设备生产技术 </w:t>
            </w:r>
            <w:r>
              <w:rPr>
                <w:rFonts w:ascii="宋体" w:hAnsi="宋体" w:cs="宋体" w:eastAsia="宋体" w:hint="default"/>
                <w:spacing w:val="-8"/>
                <w:sz w:val="18"/>
                <w:szCs w:val="18"/>
              </w:rPr>
              <w:t>的研究、开发；销</w:t>
            </w:r>
            <w:r>
              <w:rPr>
                <w:rFonts w:ascii="宋体" w:hAnsi="宋体" w:cs="宋体" w:eastAsia="宋体" w:hint="default"/>
                <w:sz w:val="18"/>
                <w:szCs w:val="18"/>
              </w:rPr>
              <w:t> </w:t>
            </w:r>
            <w:r>
              <w:rPr>
                <w:rFonts w:ascii="宋体" w:hAnsi="宋体" w:cs="宋体" w:eastAsia="宋体" w:hint="default"/>
                <w:spacing w:val="-8"/>
                <w:sz w:val="18"/>
                <w:szCs w:val="18"/>
              </w:rPr>
              <w:t>售：环境污染防治</w:t>
            </w:r>
            <w:r>
              <w:rPr>
                <w:rFonts w:ascii="宋体" w:hAnsi="宋体" w:cs="宋体" w:eastAsia="宋体" w:hint="default"/>
                <w:sz w:val="18"/>
                <w:szCs w:val="18"/>
              </w:rPr>
              <w:t> 专用设备。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279,400,00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241,815,98</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232,742,96</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22,221,003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-5,579,922.</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-4,409,601.</w:t>
            </w:r>
            <w:r>
              <w:rPr>
                <w:rFonts w:ascii="Times New Roman"/>
                <w:sz w:val="18"/>
              </w:rPr>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41</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创自 技术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8"/>
                <w:sz w:val="18"/>
                <w:szCs w:val="18"/>
              </w:rPr>
              <w:t>卡座、读卡器、发</w:t>
            </w:r>
            <w:r>
              <w:rPr>
                <w:rFonts w:ascii="宋体" w:hAnsi="宋体" w:cs="宋体" w:eastAsia="宋体" w:hint="default"/>
                <w:sz w:val="18"/>
                <w:szCs w:val="18"/>
              </w:rPr>
              <w:t> </w:t>
            </w:r>
            <w:r>
              <w:rPr>
                <w:rFonts w:ascii="宋体" w:hAnsi="宋体" w:cs="宋体" w:eastAsia="宋体" w:hint="default"/>
                <w:spacing w:val="-8"/>
                <w:sz w:val="18"/>
                <w:szCs w:val="18"/>
              </w:rPr>
              <w:t>卡器、电子终端设</w:t>
            </w:r>
            <w:r>
              <w:rPr>
                <w:rFonts w:ascii="宋体" w:hAnsi="宋体" w:cs="宋体" w:eastAsia="宋体" w:hint="default"/>
                <w:sz w:val="18"/>
                <w:szCs w:val="18"/>
              </w:rPr>
              <w:t> 备及配件的生产 与销售。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6,150,000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76,624,594</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53,270,014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79,104,244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15,748,334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15,362,012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.57</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广百小 额贷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办理各项小额贷 款。</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384,299,95</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7.87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318,634,39</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5.38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34,553,950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20,221,466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15,959,241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.65</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03" w:right="377"/>
              <w:jc w:val="left"/>
              <w:rPr>
                <w:rFonts w:ascii="宋体" w:hAnsi="宋体" w:cs="宋体" w:eastAsia="宋体" w:hint="default"/>
                <w:sz w:val="18"/>
                <w:szCs w:val="18"/>
              </w:rPr>
            </w:pPr>
            <w:r>
              <w:rPr>
                <w:rFonts w:ascii="宋体" w:hAnsi="宋体" w:cs="宋体" w:eastAsia="宋体" w:hint="default"/>
                <w:sz w:val="18"/>
                <w:szCs w:val="18"/>
              </w:rPr>
              <w:t>力沛 咨询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4"/>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主要从事企业管 </w:t>
            </w:r>
            <w:r>
              <w:rPr>
                <w:rFonts w:ascii="宋体" w:hAnsi="宋体" w:cs="宋体" w:eastAsia="宋体" w:hint="default"/>
                <w:spacing w:val="-8"/>
                <w:sz w:val="18"/>
                <w:szCs w:val="18"/>
              </w:rPr>
              <w:t>理服务，策划创意</w:t>
            </w:r>
            <w:r>
              <w:rPr>
                <w:rFonts w:ascii="宋体" w:hAnsi="宋体" w:cs="宋体" w:eastAsia="宋体" w:hint="default"/>
                <w:sz w:val="18"/>
                <w:szCs w:val="18"/>
              </w:rPr>
              <w:t> </w:t>
            </w:r>
            <w:r>
              <w:rPr>
                <w:rFonts w:ascii="宋体" w:hAnsi="宋体" w:cs="宋体" w:eastAsia="宋体" w:hint="default"/>
                <w:spacing w:val="-8"/>
                <w:sz w:val="18"/>
                <w:szCs w:val="18"/>
              </w:rPr>
              <w:t>服务，企业管理咨</w:t>
            </w:r>
            <w:r>
              <w:rPr>
                <w:rFonts w:ascii="宋体" w:hAnsi="宋体" w:cs="宋体" w:eastAsia="宋体" w:hint="default"/>
                <w:sz w:val="18"/>
                <w:szCs w:val="18"/>
              </w:rPr>
              <w:t> </w:t>
            </w:r>
            <w:r>
              <w:rPr>
                <w:rFonts w:ascii="宋体" w:hAnsi="宋体" w:cs="宋体" w:eastAsia="宋体" w:hint="default"/>
                <w:spacing w:val="-8"/>
                <w:sz w:val="18"/>
                <w:szCs w:val="18"/>
              </w:rPr>
              <w:t>询服务、投资咨询</w:t>
            </w:r>
            <w:r>
              <w:rPr>
                <w:rFonts w:ascii="宋体" w:hAnsi="宋体" w:cs="宋体" w:eastAsia="宋体" w:hint="default"/>
                <w:sz w:val="18"/>
                <w:szCs w:val="18"/>
              </w:rPr>
              <w:t> 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12,613,613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11,060,683</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14,033,729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12,949,409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9,706,858.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2"/>
        <w:rPr>
          <w:rFonts w:ascii="宋体" w:hAnsi="宋体" w:cs="宋体" w:eastAsia="宋体" w:hint="default"/>
          <w:sz w:val="9"/>
          <w:szCs w:val="9"/>
        </w:rPr>
      </w:pPr>
    </w:p>
    <w:p>
      <w:pPr>
        <w:pStyle w:val="BodyText"/>
        <w:spacing w:line="240" w:lineRule="auto" w:before="44"/>
        <w:ind w:left="212" w:right="101"/>
        <w:jc w:val="left"/>
      </w:pPr>
      <w:r>
        <w:rPr/>
        <w:t>报告期内取得和处置子公司的情况</w:t>
      </w:r>
    </w:p>
    <w:p>
      <w:pPr>
        <w:pStyle w:val="BodyText"/>
        <w:spacing w:line="240" w:lineRule="auto" w:before="117"/>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234"/>
        <w:gridCol w:w="2837"/>
        <w:gridCol w:w="4498"/>
      </w:tblGrid>
      <w:tr>
        <w:trPr>
          <w:trHeight w:val="401" w:hRule="exact"/>
        </w:trPr>
        <w:tc>
          <w:tcPr>
            <w:tcW w:w="2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5"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新并购的子公司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公司持有创自技术</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的股权，影响归属于上市公司股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5,239,405.21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由创自技术控制，业绩合并至创自技术</w:t>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广东榕通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新设成立的孙公司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商洛金盾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邵阳保安</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武威神威</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3"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兴安盟威信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r>
        <w:trPr>
          <w:trHeight w:val="401"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巴彦淖尔天力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新并购的孙公司</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有利于布局公司金融外包服务全产业链</w:t>
            </w:r>
          </w:p>
        </w:tc>
      </w:tr>
    </w:tbl>
    <w:p>
      <w:pPr>
        <w:pStyle w:val="BodyText"/>
        <w:spacing w:line="240" w:lineRule="auto" w:before="49"/>
        <w:ind w:left="212" w:right="101"/>
        <w:jc w:val="left"/>
      </w:pPr>
      <w:r>
        <w:rPr/>
        <w:t>主要控股参股公司情况说明</w:t>
      </w:r>
    </w:p>
    <w:p>
      <w:pPr>
        <w:spacing w:after="0" w:line="240" w:lineRule="auto"/>
        <w:jc w:val="left"/>
        <w:sectPr>
          <w:pgSz w:w="11910" w:h="16840"/>
          <w:pgMar w:header="877" w:footer="982" w:top="1100" w:bottom="1180" w:left="920" w:right="980"/>
        </w:sectPr>
      </w:pPr>
    </w:p>
    <w:p>
      <w:pPr>
        <w:spacing w:line="240" w:lineRule="auto" w:before="11"/>
        <w:rPr>
          <w:rFonts w:ascii="宋体" w:hAnsi="宋体" w:cs="宋体" w:eastAsia="宋体" w:hint="default"/>
          <w:sz w:val="21"/>
          <w:szCs w:val="21"/>
        </w:rPr>
      </w:pPr>
    </w:p>
    <w:p>
      <w:pPr>
        <w:pStyle w:val="BodyText"/>
        <w:spacing w:line="240" w:lineRule="auto" w:before="44"/>
        <w:ind w:left="515" w:right="0"/>
        <w:jc w:val="left"/>
      </w:pPr>
      <w:r>
        <w:rPr>
          <w:rFonts w:ascii="Times New Roman" w:hAnsi="Times New Roman" w:cs="Times New Roman" w:eastAsia="Times New Roman" w:hint="default"/>
        </w:rPr>
        <w:t>1</w:t>
      </w:r>
      <w:r>
        <w:rPr/>
        <w:t>、广州银通</w:t>
      </w:r>
    </w:p>
    <w:p>
      <w:pPr>
        <w:spacing w:line="240" w:lineRule="auto" w:before="12"/>
        <w:rPr>
          <w:rFonts w:ascii="宋体" w:hAnsi="宋体" w:cs="宋体" w:eastAsia="宋体" w:hint="default"/>
          <w:sz w:val="16"/>
          <w:szCs w:val="16"/>
        </w:rPr>
      </w:pPr>
    </w:p>
    <w:p>
      <w:pPr>
        <w:pStyle w:val="BodyText"/>
        <w:spacing w:line="309" w:lineRule="auto"/>
        <w:ind w:right="150" w:firstLine="360"/>
        <w:jc w:val="both"/>
      </w:pPr>
      <w:r>
        <w:rPr>
          <w:spacing w:val="-2"/>
        </w:rPr>
        <w:t>报告期内，为理顺公司在服务板块的组织架构，进行合理的股权结构布局与管理层级设置，公司将全资子公司深圳银通</w:t>
      </w:r>
      <w:r>
        <w:rPr/>
        <w:t> </w:t>
      </w:r>
      <w:r>
        <w:rPr>
          <w:rFonts w:ascii="Times New Roman" w:hAnsi="Times New Roman" w:cs="Times New Roman" w:eastAsia="Times New Roman" w:hint="default"/>
        </w:rPr>
        <w:t>100%</w:t>
      </w:r>
      <w:r>
        <w:rPr/>
        <w:t>股权转让给广州银通，已于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月完成工商变更登记（具体内容详见刊登在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日《证券时报》及巨潮资 讯网（</w:t>
      </w:r>
      <w:hyperlink r:id="rId11">
        <w:r>
          <w:rPr>
            <w:rFonts w:ascii="Times New Roman" w:hAnsi="Times New Roman" w:cs="Times New Roman" w:eastAsia="Times New Roman" w:hint="default"/>
          </w:rPr>
          <w:t>http://www.cninfo.com.cn</w:t>
        </w:r>
      </w:hyperlink>
      <w:r>
        <w:rPr/>
        <w:t>）上的相关公告）。调整后，广州银通拥有深圳银通</w:t>
      </w:r>
      <w:r>
        <w:rPr>
          <w:rFonts w:ascii="Times New Roman" w:hAnsi="Times New Roman" w:cs="Times New Roman" w:eastAsia="Times New Roman" w:hint="default"/>
        </w:rPr>
        <w:t>1</w:t>
      </w:r>
      <w:r>
        <w:rPr/>
        <w:t>家全资子公司和广州安保投资公司</w:t>
      </w:r>
      <w:r>
        <w:rPr>
          <w:rFonts w:ascii="Times New Roman" w:hAnsi="Times New Roman" w:cs="Times New Roman" w:eastAsia="Times New Roman" w:hint="default"/>
        </w:rPr>
        <w:t>1</w:t>
      </w:r>
      <w:r>
        <w:rPr/>
        <w:t>家 </w:t>
      </w:r>
      <w:r>
        <w:rPr>
          <w:spacing w:val="-2"/>
        </w:rPr>
        <w:t>控股子公司。公司以广州银通作为金融服务业主体，以深圳银通作为传统维保业务平台、以广州安保投资公司作为金融外包</w:t>
      </w:r>
      <w:r>
        <w:rPr>
          <w:spacing w:val="-63"/>
        </w:rPr>
        <w:t> </w:t>
      </w:r>
      <w:r>
        <w:rPr>
          <w:spacing w:val="-63"/>
        </w:rPr>
      </w:r>
      <w:r>
        <w:rPr/>
        <w:t>业务主要平台。</w:t>
      </w:r>
    </w:p>
    <w:p>
      <w:pPr>
        <w:pStyle w:val="BodyText"/>
        <w:spacing w:line="470" w:lineRule="exact" w:before="14"/>
        <w:ind w:left="512" w:right="174"/>
        <w:jc w:val="left"/>
      </w:pPr>
      <w:r>
        <w:rPr/>
        <w:t>（</w:t>
      </w:r>
      <w:r>
        <w:rPr>
          <w:rFonts w:ascii="Times New Roman" w:hAnsi="Times New Roman" w:cs="Times New Roman" w:eastAsia="Times New Roman" w:hint="default"/>
        </w:rPr>
        <w:t>1</w:t>
      </w:r>
      <w:r>
        <w:rPr/>
        <w:t>）深圳银通 报告期内，深圳银通新成立了广东榕通</w:t>
      </w:r>
      <w:r>
        <w:rPr>
          <w:rFonts w:ascii="Times New Roman" w:hAnsi="Times New Roman" w:cs="Times New Roman" w:eastAsia="Times New Roman" w:hint="default"/>
        </w:rPr>
        <w:t>1</w:t>
      </w:r>
      <w:r>
        <w:rPr/>
        <w:t>家控股子公司，新收购了辽宁辽通</w:t>
      </w:r>
      <w:r>
        <w:rPr>
          <w:rFonts w:ascii="Times New Roman" w:hAnsi="Times New Roman" w:cs="Times New Roman" w:eastAsia="Times New Roman" w:hint="default"/>
        </w:rPr>
        <w:t>49%</w:t>
      </w:r>
      <w:r>
        <w:rPr/>
        <w:t>股权，辽宁辽通变为深圳银通全资子公</w:t>
      </w:r>
    </w:p>
    <w:p>
      <w:pPr>
        <w:pStyle w:val="BodyText"/>
        <w:spacing w:line="240" w:lineRule="auto" w:before="5"/>
        <w:ind w:right="0"/>
        <w:jc w:val="left"/>
      </w:pPr>
      <w:r>
        <w:rPr/>
        <w:t>司，对宜昌宜通、深圳鹏通、河南商通进行了增资，具体情况如下：</w:t>
      </w:r>
    </w:p>
    <w:p>
      <w:pPr>
        <w:spacing w:line="240" w:lineRule="auto" w:before="12"/>
        <w:rPr>
          <w:rFonts w:ascii="宋体" w:hAnsi="宋体" w:cs="宋体" w:eastAsia="宋体" w:hint="default"/>
          <w:sz w:val="17"/>
          <w:szCs w:val="17"/>
        </w:rPr>
      </w:pPr>
    </w:p>
    <w:p>
      <w:pPr>
        <w:pStyle w:val="BodyText"/>
        <w:spacing w:line="297" w:lineRule="auto"/>
        <w:ind w:right="152" w:firstLine="360"/>
        <w:jc w:val="both"/>
      </w:pPr>
      <w:r>
        <w:rPr>
          <w:spacing w:val="-1"/>
        </w:rPr>
        <w:t>①</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月，深圳银通与广东雄狮金融投资管理有限公司共同出资成立了广东榕通金融服务有限公司，注册资本</w:t>
      </w:r>
      <w:r>
        <w:rPr>
          <w:rFonts w:ascii="Times New Roman" w:hAnsi="Times New Roman" w:cs="Times New Roman" w:eastAsia="Times New Roman" w:hint="default"/>
          <w:spacing w:val="-1"/>
        </w:rPr>
        <w:t>3,000</w:t>
      </w:r>
      <w:r>
        <w:rPr>
          <w:rFonts w:ascii="Times New Roman" w:hAnsi="Times New Roman" w:cs="Times New Roman" w:eastAsia="Times New Roman" w:hint="default"/>
        </w:rPr>
        <w:t> </w:t>
      </w:r>
      <w:r>
        <w:rPr/>
        <w:t>万元，其中，深圳银通出资</w:t>
      </w:r>
      <w:r>
        <w:rPr>
          <w:rFonts w:ascii="Times New Roman" w:hAnsi="Times New Roman" w:cs="Times New Roman" w:eastAsia="Times New Roman" w:hint="default"/>
        </w:rPr>
        <w:t>1,530</w:t>
      </w:r>
      <w:r>
        <w:rPr/>
        <w:t>万元，持有</w:t>
      </w:r>
      <w:r>
        <w:rPr>
          <w:rFonts w:ascii="Times New Roman" w:hAnsi="Times New Roman" w:cs="Times New Roman" w:eastAsia="Times New Roman" w:hint="default"/>
        </w:rPr>
        <w:t>51%</w:t>
      </w:r>
      <w:r>
        <w:rPr/>
        <w:t>股权；广东雄狮金融投资管理有限公司出资</w:t>
      </w:r>
      <w:r>
        <w:rPr>
          <w:rFonts w:ascii="Times New Roman" w:hAnsi="Times New Roman" w:cs="Times New Roman" w:eastAsia="Times New Roman" w:hint="default"/>
        </w:rPr>
        <w:t>1,470</w:t>
      </w:r>
      <w:r>
        <w:rPr/>
        <w:t>万元，持有</w:t>
      </w:r>
      <w:r>
        <w:rPr>
          <w:rFonts w:ascii="Times New Roman" w:hAnsi="Times New Roman" w:cs="Times New Roman" w:eastAsia="Times New Roman" w:hint="default"/>
        </w:rPr>
        <w:t>49%</w:t>
      </w:r>
      <w:r>
        <w:rPr/>
        <w:t>股权。</w:t>
      </w:r>
    </w:p>
    <w:p>
      <w:pPr>
        <w:spacing w:line="240" w:lineRule="auto" w:before="3"/>
        <w:rPr>
          <w:rFonts w:ascii="宋体" w:hAnsi="宋体" w:cs="宋体" w:eastAsia="宋体" w:hint="default"/>
          <w:sz w:val="13"/>
          <w:szCs w:val="13"/>
        </w:rPr>
      </w:pPr>
    </w:p>
    <w:p>
      <w:pPr>
        <w:pStyle w:val="BodyText"/>
        <w:spacing w:line="297" w:lineRule="auto"/>
        <w:ind w:right="234" w:firstLine="360"/>
        <w:jc w:val="both"/>
      </w:pPr>
      <w:r>
        <w:rPr/>
        <w:t>②辽宁辽通原为深圳银通的控股子公司，注册资本</w:t>
      </w:r>
      <w:r>
        <w:rPr>
          <w:rFonts w:ascii="Times New Roman" w:hAnsi="Times New Roman" w:cs="Times New Roman" w:eastAsia="Times New Roman" w:hint="default"/>
        </w:rPr>
        <w:t>1,000</w:t>
      </w:r>
      <w:r>
        <w:rPr/>
        <w:t>万元人民币（深圳银通占比</w:t>
      </w:r>
      <w:r>
        <w:rPr>
          <w:rFonts w:ascii="Times New Roman" w:hAnsi="Times New Roman" w:cs="Times New Roman" w:eastAsia="Times New Roman" w:hint="default"/>
        </w:rPr>
        <w:t>51%</w:t>
      </w:r>
      <w:r>
        <w:rPr/>
        <w:t>），因业务发展需要，深圳银 通以自有资金收购辽宁辽通少数股东</w:t>
      </w:r>
      <w:r>
        <w:rPr>
          <w:rFonts w:ascii="Times New Roman" w:hAnsi="Times New Roman" w:cs="Times New Roman" w:eastAsia="Times New Roman" w:hint="default"/>
        </w:rPr>
        <w:t>49%</w:t>
      </w:r>
      <w:r>
        <w:rPr/>
        <w:t>的股权，辽宁辽通成为深圳银通的全资子公司。</w:t>
      </w:r>
    </w:p>
    <w:p>
      <w:pPr>
        <w:spacing w:line="240" w:lineRule="auto" w:before="3"/>
        <w:rPr>
          <w:rFonts w:ascii="宋体" w:hAnsi="宋体" w:cs="宋体" w:eastAsia="宋体" w:hint="default"/>
          <w:sz w:val="13"/>
          <w:szCs w:val="13"/>
        </w:rPr>
      </w:pPr>
    </w:p>
    <w:p>
      <w:pPr>
        <w:pStyle w:val="BodyText"/>
        <w:spacing w:line="297" w:lineRule="auto"/>
        <w:ind w:right="189" w:firstLine="360"/>
        <w:jc w:val="both"/>
      </w:pPr>
      <w:r>
        <w:rPr/>
        <w:t>③宜昌宜通是深圳银通的控股子公司，注册资本</w:t>
      </w:r>
      <w:r>
        <w:rPr>
          <w:rFonts w:ascii="Times New Roman" w:hAnsi="Times New Roman" w:cs="Times New Roman" w:eastAsia="Times New Roman" w:hint="default"/>
        </w:rPr>
        <w:t>300</w:t>
      </w:r>
      <w:r>
        <w:rPr/>
        <w:t>万元人民币（深圳银通占比</w:t>
      </w:r>
      <w:r>
        <w:rPr>
          <w:rFonts w:ascii="Times New Roman" w:hAnsi="Times New Roman" w:cs="Times New Roman" w:eastAsia="Times New Roman" w:hint="default"/>
        </w:rPr>
        <w:t>76%</w:t>
      </w:r>
      <w:r>
        <w:rPr/>
        <w:t>），因业务发展需要，股东同比例 增资，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月，宜昌宜通的注册资本由人民币</w:t>
      </w:r>
      <w:r>
        <w:rPr>
          <w:rFonts w:ascii="Times New Roman" w:hAnsi="Times New Roman" w:cs="Times New Roman" w:eastAsia="Times New Roman" w:hint="default"/>
        </w:rPr>
        <w:t>300</w:t>
      </w:r>
      <w:r>
        <w:rPr/>
        <w:t>万元增加至人民币</w:t>
      </w:r>
      <w:r>
        <w:rPr>
          <w:rFonts w:ascii="Times New Roman" w:hAnsi="Times New Roman" w:cs="Times New Roman" w:eastAsia="Times New Roman" w:hint="default"/>
        </w:rPr>
        <w:t>1,000</w:t>
      </w:r>
      <w:r>
        <w:rPr/>
        <w:t>万元，各股东方持股比例不变。</w:t>
      </w:r>
    </w:p>
    <w:p>
      <w:pPr>
        <w:spacing w:line="240" w:lineRule="auto" w:before="3"/>
        <w:rPr>
          <w:rFonts w:ascii="宋体" w:hAnsi="宋体" w:cs="宋体" w:eastAsia="宋体" w:hint="default"/>
          <w:sz w:val="13"/>
          <w:szCs w:val="13"/>
        </w:rPr>
      </w:pPr>
    </w:p>
    <w:p>
      <w:pPr>
        <w:pStyle w:val="BodyText"/>
        <w:spacing w:line="297" w:lineRule="auto"/>
        <w:ind w:right="189" w:firstLine="360"/>
        <w:jc w:val="both"/>
      </w:pPr>
      <w:r>
        <w:rPr/>
        <w:t>④深圳鹏通是深圳银通的控股子公司，注册资本</w:t>
      </w:r>
      <w:r>
        <w:rPr>
          <w:rFonts w:ascii="Times New Roman" w:hAnsi="Times New Roman" w:cs="Times New Roman" w:eastAsia="Times New Roman" w:hint="default"/>
        </w:rPr>
        <w:t>300</w:t>
      </w:r>
      <w:r>
        <w:rPr/>
        <w:t>万元人民币（深圳银通占比</w:t>
      </w:r>
      <w:r>
        <w:rPr>
          <w:rFonts w:ascii="Times New Roman" w:hAnsi="Times New Roman" w:cs="Times New Roman" w:eastAsia="Times New Roman" w:hint="default"/>
        </w:rPr>
        <w:t>51%</w:t>
      </w:r>
      <w:r>
        <w:rPr/>
        <w:t>），因业务发展需要，股东同比例 增资，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月，深圳鹏通的注册资本由人民币</w:t>
      </w:r>
      <w:r>
        <w:rPr>
          <w:rFonts w:ascii="Times New Roman" w:hAnsi="Times New Roman" w:cs="Times New Roman" w:eastAsia="Times New Roman" w:hint="default"/>
        </w:rPr>
        <w:t>300</w:t>
      </w:r>
      <w:r>
        <w:rPr/>
        <w:t>万元增加至人民币</w:t>
      </w:r>
      <w:r>
        <w:rPr>
          <w:rFonts w:ascii="Times New Roman" w:hAnsi="Times New Roman" w:cs="Times New Roman" w:eastAsia="Times New Roman" w:hint="default"/>
        </w:rPr>
        <w:t>1,000</w:t>
      </w:r>
      <w:r>
        <w:rPr/>
        <w:t>万元，各股东方持股比例不变。</w:t>
      </w:r>
    </w:p>
    <w:p>
      <w:pPr>
        <w:spacing w:line="240" w:lineRule="auto" w:before="3"/>
        <w:rPr>
          <w:rFonts w:ascii="宋体" w:hAnsi="宋体" w:cs="宋体" w:eastAsia="宋体" w:hint="default"/>
          <w:sz w:val="13"/>
          <w:szCs w:val="13"/>
        </w:rPr>
      </w:pPr>
    </w:p>
    <w:p>
      <w:pPr>
        <w:pStyle w:val="BodyText"/>
        <w:spacing w:line="297" w:lineRule="auto"/>
        <w:ind w:right="189" w:firstLine="360"/>
        <w:jc w:val="both"/>
      </w:pPr>
      <w:r>
        <w:rPr/>
        <w:t>⑤河南商通是深圳银通的控股子公司，注册资本</w:t>
      </w:r>
      <w:r>
        <w:rPr>
          <w:rFonts w:ascii="Times New Roman" w:hAnsi="Times New Roman" w:cs="Times New Roman" w:eastAsia="Times New Roman" w:hint="default"/>
        </w:rPr>
        <w:t>300</w:t>
      </w:r>
      <w:r>
        <w:rPr/>
        <w:t>万元人民币（深圳银通占比</w:t>
      </w:r>
      <w:r>
        <w:rPr>
          <w:rFonts w:ascii="Times New Roman" w:hAnsi="Times New Roman" w:cs="Times New Roman" w:eastAsia="Times New Roman" w:hint="default"/>
        </w:rPr>
        <w:t>80%</w:t>
      </w:r>
      <w:r>
        <w:rPr/>
        <w:t>），因业务发展需要，股东同比例 增资，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月，深圳鹏通的注册资本由人民币</w:t>
      </w:r>
      <w:r>
        <w:rPr>
          <w:rFonts w:ascii="Times New Roman" w:hAnsi="Times New Roman" w:cs="Times New Roman" w:eastAsia="Times New Roman" w:hint="default"/>
        </w:rPr>
        <w:t>300</w:t>
      </w:r>
      <w:r>
        <w:rPr/>
        <w:t>万元增加至人民币</w:t>
      </w:r>
      <w:r>
        <w:rPr>
          <w:rFonts w:ascii="Times New Roman" w:hAnsi="Times New Roman" w:cs="Times New Roman" w:eastAsia="Times New Roman" w:hint="default"/>
        </w:rPr>
        <w:t>1,000</w:t>
      </w:r>
      <w:r>
        <w:rPr/>
        <w:t>万元，各股东方持股比例不变。</w:t>
      </w:r>
    </w:p>
    <w:p>
      <w:pPr>
        <w:spacing w:line="240" w:lineRule="auto" w:before="3"/>
        <w:rPr>
          <w:rFonts w:ascii="宋体" w:hAnsi="宋体" w:cs="宋体" w:eastAsia="宋体" w:hint="default"/>
          <w:sz w:val="13"/>
          <w:szCs w:val="13"/>
        </w:rPr>
      </w:pPr>
    </w:p>
    <w:p>
      <w:pPr>
        <w:pStyle w:val="BodyText"/>
        <w:spacing w:line="300" w:lineRule="auto"/>
        <w:ind w:right="152" w:firstLine="359"/>
        <w:jc w:val="both"/>
      </w:pPr>
      <w:r>
        <w:rPr/>
        <w:t>截至报告期末，深圳银通有上海欣辰通、辽宁辽通</w:t>
      </w:r>
      <w:r>
        <w:rPr>
          <w:rFonts w:ascii="Times New Roman" w:hAnsi="Times New Roman" w:cs="Times New Roman" w:eastAsia="Times New Roman" w:hint="default"/>
        </w:rPr>
        <w:t>2</w:t>
      </w:r>
      <w:r>
        <w:rPr/>
        <w:t>家全资子公司和深圳鹏通</w:t>
      </w:r>
      <w:r>
        <w:rPr>
          <w:spacing w:val="-14"/>
        </w:rPr>
        <w:t> </w:t>
      </w:r>
      <w:r>
        <w:rPr>
          <w:spacing w:val="-4"/>
        </w:rPr>
        <w:t>、石家庄银通、宜昌宜通、云南云通、南</w:t>
      </w:r>
      <w:r>
        <w:rPr/>
        <w:t> </w:t>
      </w:r>
      <w:r>
        <w:rPr>
          <w:spacing w:val="-2"/>
        </w:rPr>
        <w:t>宁盈通、河南商通、河北晨通、南阳宛通、山西尚通、广东榕通</w:t>
      </w:r>
      <w:r>
        <w:rPr>
          <w:rFonts w:ascii="Times New Roman" w:hAnsi="Times New Roman" w:cs="Times New Roman" w:eastAsia="Times New Roman" w:hint="default"/>
          <w:spacing w:val="-2"/>
        </w:rPr>
        <w:t>10</w:t>
      </w:r>
      <w:r>
        <w:rPr>
          <w:spacing w:val="-2"/>
        </w:rPr>
        <w:t>家控股子公司，金融外包服务业务在全国多个城市有序开</w:t>
      </w:r>
      <w:r>
        <w:rPr>
          <w:spacing w:val="-67"/>
        </w:rPr>
        <w:t> </w:t>
      </w:r>
      <w:r>
        <w:rPr>
          <w:spacing w:val="-67"/>
        </w:rPr>
      </w:r>
      <w:r>
        <w:rPr/>
        <w:t>展。</w:t>
      </w:r>
    </w:p>
    <w:p>
      <w:pPr>
        <w:pStyle w:val="BodyText"/>
        <w:spacing w:line="470" w:lineRule="exact" w:before="21"/>
        <w:ind w:left="512" w:right="144"/>
        <w:jc w:val="left"/>
      </w:pPr>
      <w:r>
        <w:rPr/>
        <w:t>（</w:t>
      </w:r>
      <w:r>
        <w:rPr>
          <w:rFonts w:ascii="Times New Roman" w:hAnsi="Times New Roman" w:cs="Times New Roman" w:eastAsia="Times New Roman" w:hint="default"/>
        </w:rPr>
        <w:t>2</w:t>
      </w:r>
      <w:r>
        <w:rPr/>
        <w:t>）广州安保投资公司 报告期内，广州安保投资公司新投资了邵阳保安、武威神威、商洛金盾、海南警锐、西安金盾、平顶山鹰翔</w:t>
      </w:r>
      <w:r>
        <w:rPr>
          <w:rFonts w:ascii="Times New Roman" w:hAnsi="Times New Roman" w:cs="Times New Roman" w:eastAsia="Times New Roman" w:hint="default"/>
        </w:rPr>
        <w:t>6</w:t>
      </w:r>
      <w:r>
        <w:rPr/>
        <w:t>家押运公</w:t>
      </w:r>
    </w:p>
    <w:p>
      <w:pPr>
        <w:pStyle w:val="BodyText"/>
        <w:spacing w:line="240" w:lineRule="auto" w:before="5"/>
        <w:ind w:right="0"/>
        <w:jc w:val="left"/>
      </w:pPr>
      <w:r>
        <w:rPr/>
        <w:t>司；广州安保投资公司全资子公司内蒙古安保投资公司新投资了兴安盟威信、巴彦淖尔天力</w:t>
      </w:r>
      <w:r>
        <w:rPr>
          <w:rFonts w:ascii="Times New Roman" w:hAnsi="Times New Roman" w:cs="Times New Roman" w:eastAsia="Times New Roman" w:hint="default"/>
        </w:rPr>
        <w:t>2</w:t>
      </w:r>
      <w:r>
        <w:rPr/>
        <w:t>家押运公司。具体情况如下：</w:t>
      </w:r>
    </w:p>
    <w:p>
      <w:pPr>
        <w:spacing w:line="240" w:lineRule="auto" w:before="13"/>
        <w:rPr>
          <w:rFonts w:ascii="宋体" w:hAnsi="宋体" w:cs="宋体" w:eastAsia="宋体" w:hint="default"/>
          <w:sz w:val="16"/>
          <w:szCs w:val="16"/>
        </w:rPr>
      </w:pPr>
    </w:p>
    <w:p>
      <w:pPr>
        <w:pStyle w:val="BodyText"/>
        <w:spacing w:line="304" w:lineRule="auto"/>
        <w:ind w:right="153" w:firstLine="360"/>
        <w:jc w:val="both"/>
      </w:pPr>
      <w:r>
        <w:rPr/>
        <w:t>①</w:t>
      </w:r>
      <w:r>
        <w:rPr>
          <w:rFonts w:ascii="宋体" w:hAnsi="宋体" w:cs="宋体" w:eastAsia="宋体" w:hint="default"/>
          <w:b/>
          <w:bCs/>
        </w:rPr>
        <w:t>邵阳市保安服务有限责任公司：</w:t>
      </w:r>
      <w:r>
        <w:rPr/>
        <w:t>报告期，邵阳市昭阳拍卖有限公司受邵阳市公安局委托，公开拍卖邵阳市唯一拥有 武装押运资质的保安服务企业</w:t>
      </w:r>
      <w:r>
        <w:rPr>
          <w:rFonts w:ascii="Times New Roman" w:hAnsi="Times New Roman" w:cs="Times New Roman" w:eastAsia="Times New Roman" w:hint="default"/>
        </w:rPr>
        <w:t>——</w:t>
      </w:r>
      <w:r>
        <w:rPr/>
        <w:t>邵阳市保安服务有限责任公司（注册资本</w:t>
      </w:r>
      <w:r>
        <w:rPr>
          <w:rFonts w:ascii="Times New Roman" w:hAnsi="Times New Roman" w:cs="Times New Roman" w:eastAsia="Times New Roman" w:hint="default"/>
        </w:rPr>
        <w:t>1,000</w:t>
      </w:r>
      <w:r>
        <w:rPr/>
        <w:t>万元人民币），以公开拍卖方式进行整体 </w:t>
      </w:r>
      <w:r>
        <w:rPr>
          <w:spacing w:val="-1"/>
        </w:rPr>
        <w:t>产权转让，广州安保投资公司参与了本次竞买，并最终以</w:t>
      </w:r>
      <w:r>
        <w:rPr>
          <w:rFonts w:ascii="Times New Roman" w:hAnsi="Times New Roman" w:cs="Times New Roman" w:eastAsia="Times New Roman" w:hint="default"/>
          <w:spacing w:val="-1"/>
        </w:rPr>
        <w:t>9,650</w:t>
      </w:r>
      <w:r>
        <w:rPr>
          <w:spacing w:val="-1"/>
        </w:rPr>
        <w:t>万元竞买获得邵阳保安整体产权。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月完成相关工商变</w:t>
      </w:r>
      <w:r>
        <w:rPr>
          <w:spacing w:val="-76"/>
        </w:rPr>
        <w:t> </w:t>
      </w:r>
      <w:r>
        <w:rPr>
          <w:spacing w:val="-76"/>
        </w:rPr>
      </w:r>
      <w:r>
        <w:rPr/>
        <w:t>更登记手续。</w:t>
      </w:r>
    </w:p>
    <w:p>
      <w:pPr>
        <w:spacing w:line="240" w:lineRule="auto" w:before="3"/>
        <w:rPr>
          <w:rFonts w:ascii="宋体" w:hAnsi="宋体" w:cs="宋体" w:eastAsia="宋体" w:hint="default"/>
          <w:sz w:val="14"/>
          <w:szCs w:val="14"/>
        </w:rPr>
      </w:pPr>
    </w:p>
    <w:p>
      <w:pPr>
        <w:pStyle w:val="BodyText"/>
        <w:spacing w:line="300" w:lineRule="auto"/>
        <w:ind w:right="191" w:firstLine="360"/>
        <w:jc w:val="both"/>
      </w:pPr>
      <w:r>
        <w:rPr/>
        <w:t>②</w:t>
      </w:r>
      <w:r>
        <w:rPr>
          <w:rFonts w:ascii="宋体" w:hAnsi="宋体" w:cs="宋体" w:eastAsia="宋体" w:hint="default"/>
          <w:b/>
          <w:bCs/>
        </w:rPr>
        <w:t>武威市神威保安守押有限责任公司</w:t>
      </w:r>
      <w:r>
        <w:rPr/>
        <w:t>：广州安保投资公司向武威市保安服务总公司及张兆刚等</w:t>
      </w:r>
      <w:r>
        <w:rPr>
          <w:rFonts w:ascii="Times New Roman" w:hAnsi="Times New Roman" w:cs="Times New Roman" w:eastAsia="Times New Roman" w:hint="default"/>
        </w:rPr>
        <w:t>42</w:t>
      </w:r>
      <w:r>
        <w:rPr/>
        <w:t>个自然人股东收购其 持有的武威市神威保安守押有限责任公司</w:t>
      </w:r>
      <w:r>
        <w:rPr>
          <w:rFonts w:ascii="Times New Roman" w:hAnsi="Times New Roman" w:cs="Times New Roman" w:eastAsia="Times New Roman" w:hint="default"/>
        </w:rPr>
        <w:t>100%</w:t>
      </w:r>
      <w:r>
        <w:rPr/>
        <w:t>的股权，收购价格以武威神威股东权益评估价值为基础且经双方协商一致， 最终确定为</w:t>
      </w:r>
      <w:r>
        <w:rPr>
          <w:rFonts w:ascii="Times New Roman" w:hAnsi="Times New Roman" w:cs="Times New Roman" w:eastAsia="Times New Roman" w:hint="default"/>
        </w:rPr>
        <w:t>2,200</w:t>
      </w:r>
      <w:r>
        <w:rPr/>
        <w:t>万元。交易完成后，武威神威注册资本由</w:t>
      </w:r>
      <w:r>
        <w:rPr>
          <w:rFonts w:ascii="Times New Roman" w:hAnsi="Times New Roman" w:cs="Times New Roman" w:eastAsia="Times New Roman" w:hint="default"/>
        </w:rPr>
        <w:t>490</w:t>
      </w:r>
      <w:r>
        <w:rPr/>
        <w:t>万元变更为</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月完成工商变更登记手续。</w:t>
      </w:r>
    </w:p>
    <w:p>
      <w:pPr>
        <w:spacing w:line="240" w:lineRule="auto" w:before="1"/>
        <w:rPr>
          <w:rFonts w:ascii="宋体" w:hAnsi="宋体" w:cs="宋体" w:eastAsia="宋体" w:hint="default"/>
          <w:sz w:val="13"/>
          <w:szCs w:val="13"/>
        </w:rPr>
      </w:pPr>
    </w:p>
    <w:p>
      <w:pPr>
        <w:pStyle w:val="BodyText"/>
        <w:spacing w:line="307" w:lineRule="auto"/>
        <w:ind w:right="234" w:firstLine="360"/>
        <w:jc w:val="both"/>
      </w:pPr>
      <w:r>
        <w:rPr/>
        <w:t>③</w:t>
      </w:r>
      <w:r>
        <w:rPr>
          <w:rFonts w:ascii="宋体" w:hAnsi="宋体" w:cs="宋体" w:eastAsia="宋体" w:hint="default"/>
          <w:b/>
          <w:bCs/>
        </w:rPr>
        <w:t>商洛市金盾押运有限责任公司</w:t>
      </w:r>
      <w:r>
        <w:rPr/>
        <w:t>：报告期，广州安保投资公司向商洛市公安局收购其持有的商洛市金盾押运有限责任 公司（注册资本</w:t>
      </w:r>
      <w:r>
        <w:rPr>
          <w:rFonts w:ascii="Times New Roman" w:hAnsi="Times New Roman" w:cs="Times New Roman" w:eastAsia="Times New Roman" w:hint="default"/>
        </w:rPr>
        <w:t>1,000</w:t>
      </w:r>
      <w:r>
        <w:rPr/>
        <w:t>万元人民币）</w:t>
      </w:r>
      <w:r>
        <w:rPr>
          <w:rFonts w:ascii="Times New Roman" w:hAnsi="Times New Roman" w:cs="Times New Roman" w:eastAsia="Times New Roman" w:hint="default"/>
        </w:rPr>
        <w:t>51%</w:t>
      </w:r>
      <w:r>
        <w:rPr/>
        <w:t>的股权，收购价格以商洛押运股东权益评估价值为基础且经双方协商一致，最终确 定为</w:t>
      </w:r>
      <w:r>
        <w:rPr>
          <w:rFonts w:ascii="Times New Roman" w:hAnsi="Times New Roman" w:cs="Times New Roman" w:eastAsia="Times New Roman" w:hint="default"/>
        </w:rPr>
        <w:t>1,150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月完成相关工商变更登记手续。</w:t>
      </w:r>
    </w:p>
    <w:p>
      <w:pPr>
        <w:spacing w:line="240" w:lineRule="auto" w:before="8"/>
        <w:rPr>
          <w:rFonts w:ascii="宋体" w:hAnsi="宋体" w:cs="宋体" w:eastAsia="宋体" w:hint="default"/>
          <w:sz w:val="12"/>
          <w:szCs w:val="12"/>
        </w:rPr>
      </w:pPr>
    </w:p>
    <w:p>
      <w:pPr>
        <w:pStyle w:val="BodyText"/>
        <w:spacing w:line="314" w:lineRule="auto"/>
        <w:ind w:right="234" w:firstLine="359"/>
        <w:jc w:val="both"/>
      </w:pPr>
      <w:r>
        <w:rPr/>
        <w:t>④</w:t>
      </w:r>
      <w:r>
        <w:rPr>
          <w:rFonts w:ascii="宋体" w:hAnsi="宋体" w:cs="宋体" w:eastAsia="宋体" w:hint="default"/>
          <w:b/>
          <w:bCs/>
        </w:rPr>
        <w:t>海南警锐押运护卫有限公司</w:t>
      </w:r>
      <w:r>
        <w:rPr/>
        <w:t>：广州安保投资公司向海南华安保安器材装备公司收购其持有的海南警锐押运护卫有限 公司（注册资本</w:t>
      </w:r>
      <w:r>
        <w:rPr>
          <w:rFonts w:ascii="Times New Roman" w:hAnsi="Times New Roman" w:cs="Times New Roman" w:eastAsia="Times New Roman" w:hint="default"/>
        </w:rPr>
        <w:t>1,000</w:t>
      </w:r>
      <w:r>
        <w:rPr/>
        <w:t>万元人民币）</w:t>
      </w:r>
      <w:r>
        <w:rPr>
          <w:rFonts w:ascii="Times New Roman" w:hAnsi="Times New Roman" w:cs="Times New Roman" w:eastAsia="Times New Roman" w:hint="default"/>
        </w:rPr>
        <w:t>51%</w:t>
      </w:r>
      <w:r>
        <w:rPr/>
        <w:t>的股权，收购价格以海南警锐股东权益评估价值为基础且经双方协商一致，最终确</w:t>
      </w:r>
    </w:p>
    <w:p>
      <w:pPr>
        <w:spacing w:after="0" w:line="314"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bookmarkStart w:name="八、公司控制的结构化主体情况" w:id="55"/>
      <w:bookmarkEnd w:id="55"/>
      <w:r>
        <w:rPr/>
      </w:r>
      <w:bookmarkStart w:name="九、公司未来发展的展望" w:id="56"/>
      <w:bookmarkEnd w:id="56"/>
      <w:r>
        <w:rPr/>
      </w:r>
      <w:r>
        <w:rPr/>
        <w:t>定为</w:t>
      </w:r>
      <w:r>
        <w:rPr>
          <w:rFonts w:ascii="Times New Roman" w:hAnsi="Times New Roman" w:cs="Times New Roman" w:eastAsia="Times New Roman" w:hint="default"/>
        </w:rPr>
        <w:t>2,498</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月已完成工商变更登记手续。</w:t>
      </w:r>
    </w:p>
    <w:p>
      <w:pPr>
        <w:spacing w:line="240" w:lineRule="auto" w:before="12"/>
        <w:rPr>
          <w:rFonts w:ascii="宋体" w:hAnsi="宋体" w:cs="宋体" w:eastAsia="宋体" w:hint="default"/>
          <w:sz w:val="16"/>
          <w:szCs w:val="16"/>
        </w:rPr>
      </w:pPr>
    </w:p>
    <w:p>
      <w:pPr>
        <w:pStyle w:val="BodyText"/>
        <w:spacing w:line="307" w:lineRule="auto"/>
        <w:ind w:right="192" w:firstLine="359"/>
        <w:jc w:val="left"/>
      </w:pPr>
      <w:r>
        <w:rPr>
          <w:spacing w:val="-2"/>
        </w:rPr>
        <w:t>⑤</w:t>
      </w:r>
      <w:r>
        <w:rPr>
          <w:rFonts w:ascii="宋体" w:hAnsi="宋体" w:cs="宋体" w:eastAsia="宋体" w:hint="default"/>
          <w:b/>
          <w:bCs/>
          <w:spacing w:val="-2"/>
        </w:rPr>
        <w:t>西安金盾押运有限公司</w:t>
      </w:r>
      <w:r>
        <w:rPr>
          <w:spacing w:val="-2"/>
        </w:rPr>
        <w:t>：西部产权交易所有限责任公司受陕西省物流集团安保控股有限公司委托，公开拍卖其所持有</w:t>
      </w:r>
      <w:r>
        <w:rPr/>
        <w:t> 的西安金盾押运有限公司（注册资本</w:t>
      </w:r>
      <w:r>
        <w:rPr>
          <w:rFonts w:ascii="Times New Roman" w:hAnsi="Times New Roman" w:cs="Times New Roman" w:eastAsia="Times New Roman" w:hint="default"/>
        </w:rPr>
        <w:t>1,000</w:t>
      </w:r>
      <w:r>
        <w:rPr/>
        <w:t>万元人民币）</w:t>
      </w:r>
      <w:r>
        <w:rPr>
          <w:rFonts w:ascii="Times New Roman" w:hAnsi="Times New Roman" w:cs="Times New Roman" w:eastAsia="Times New Roman" w:hint="default"/>
        </w:rPr>
        <w:t>60%</w:t>
      </w:r>
      <w:r>
        <w:rPr/>
        <w:t>的股权，以公开拍卖方式进行股权转让，广州安保投资公司参 与了本次竞买，并最终以</w:t>
      </w:r>
      <w:r>
        <w:rPr>
          <w:rFonts w:ascii="Times New Roman" w:hAnsi="Times New Roman" w:cs="Times New Roman" w:eastAsia="Times New Roman" w:hint="default"/>
        </w:rPr>
        <w:t>5,743.60</w:t>
      </w:r>
      <w:r>
        <w:rPr/>
        <w:t>万元竞买获得西安金盾</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月完成工商变更登记手续。</w:t>
      </w:r>
    </w:p>
    <w:p>
      <w:pPr>
        <w:spacing w:line="240" w:lineRule="auto" w:before="8"/>
        <w:rPr>
          <w:rFonts w:ascii="宋体" w:hAnsi="宋体" w:cs="宋体" w:eastAsia="宋体" w:hint="default"/>
          <w:sz w:val="12"/>
          <w:szCs w:val="12"/>
        </w:rPr>
      </w:pPr>
    </w:p>
    <w:p>
      <w:pPr>
        <w:pStyle w:val="BodyText"/>
        <w:spacing w:line="300" w:lineRule="auto"/>
        <w:ind w:right="191" w:firstLine="360"/>
        <w:jc w:val="both"/>
      </w:pPr>
      <w:r>
        <w:rPr/>
        <w:t>⑥</w:t>
      </w:r>
      <w:r>
        <w:rPr>
          <w:rFonts w:ascii="宋体" w:hAnsi="宋体" w:cs="宋体" w:eastAsia="宋体" w:hint="default"/>
          <w:b/>
          <w:bCs/>
        </w:rPr>
        <w:t>平顶山鹰翔保安押运有限公司</w:t>
      </w:r>
      <w:r>
        <w:rPr/>
        <w:t>：平顶山市国有资产监督管理局以平顶山鹰翔保安押运有限公司的评估价值（</w:t>
      </w:r>
      <w:r>
        <w:rPr>
          <w:rFonts w:ascii="Times New Roman" w:hAnsi="Times New Roman" w:cs="Times New Roman" w:eastAsia="Times New Roman" w:hint="default"/>
        </w:rPr>
        <w:t>2,390.44</w:t>
      </w:r>
      <w:r>
        <w:rPr>
          <w:rFonts w:ascii="Times New Roman" w:hAnsi="Times New Roman" w:cs="Times New Roman" w:eastAsia="Times New Roman" w:hint="default"/>
          <w:spacing w:val="-2"/>
        </w:rPr>
        <w:t> </w:t>
      </w:r>
      <w:r>
        <w:rPr/>
        <w:t>万元）入股，广州安保投资公司以现金</w:t>
      </w:r>
      <w:r>
        <w:rPr>
          <w:rFonts w:ascii="Times New Roman" w:hAnsi="Times New Roman" w:cs="Times New Roman" w:eastAsia="Times New Roman" w:hint="default"/>
        </w:rPr>
        <w:t>3,585.66</w:t>
      </w:r>
      <w:r>
        <w:rPr/>
        <w:t>万元入股，共同组建产权多元化的有限公司（以下简称“新公司”）。新公 </w:t>
      </w:r>
      <w:r>
        <w:rPr>
          <w:spacing w:val="-1"/>
        </w:rPr>
        <w:t>司成立后，平顶山市国有资产监督管理局持有</w:t>
      </w:r>
      <w:r>
        <w:rPr>
          <w:rFonts w:ascii="Times New Roman" w:hAnsi="Times New Roman" w:cs="Times New Roman" w:eastAsia="Times New Roman" w:hint="default"/>
          <w:spacing w:val="-1"/>
        </w:rPr>
        <w:t>40%</w:t>
      </w:r>
      <w:r>
        <w:rPr>
          <w:spacing w:val="-1"/>
        </w:rPr>
        <w:t>的股权，广州安保投资公司持有</w:t>
      </w:r>
      <w:r>
        <w:rPr>
          <w:rFonts w:ascii="Times New Roman" w:hAnsi="Times New Roman" w:cs="Times New Roman" w:eastAsia="Times New Roman" w:hint="default"/>
          <w:spacing w:val="-1"/>
        </w:rPr>
        <w:t>60%</w:t>
      </w:r>
      <w:r>
        <w:rPr>
          <w:spacing w:val="-1"/>
        </w:rPr>
        <w:t>的股权。截止目前，平顶山鹰翔尚未</w:t>
      </w:r>
      <w:r>
        <w:rPr>
          <w:spacing w:val="-57"/>
        </w:rPr>
        <w:t> </w:t>
      </w:r>
      <w:r>
        <w:rPr>
          <w:spacing w:val="-57"/>
        </w:rPr>
      </w:r>
      <w:r>
        <w:rPr/>
        <w:t>完成工商变更登记手续。</w:t>
      </w:r>
    </w:p>
    <w:p>
      <w:pPr>
        <w:spacing w:line="240" w:lineRule="auto" w:before="7"/>
        <w:rPr>
          <w:rFonts w:ascii="宋体" w:hAnsi="宋体" w:cs="宋体" w:eastAsia="宋体" w:hint="default"/>
          <w:sz w:val="14"/>
          <w:szCs w:val="14"/>
        </w:rPr>
      </w:pPr>
    </w:p>
    <w:p>
      <w:pPr>
        <w:pStyle w:val="BodyText"/>
        <w:spacing w:line="300" w:lineRule="auto"/>
        <w:ind w:right="190" w:firstLine="359"/>
        <w:jc w:val="both"/>
      </w:pPr>
      <w:r>
        <w:rPr/>
        <w:t>⑦</w:t>
      </w:r>
      <w:r>
        <w:rPr>
          <w:rFonts w:ascii="宋体" w:hAnsi="宋体" w:cs="宋体" w:eastAsia="宋体" w:hint="default"/>
          <w:b/>
          <w:bCs/>
        </w:rPr>
        <w:t>兴安盟威信保安守押服务有限责任公司</w:t>
      </w:r>
      <w:r>
        <w:rPr/>
        <w:t>：报告期，内蒙古安保投资公司以</w:t>
      </w:r>
      <w:r>
        <w:rPr>
          <w:rFonts w:ascii="Times New Roman" w:hAnsi="Times New Roman" w:cs="Times New Roman" w:eastAsia="Times New Roman" w:hint="default"/>
        </w:rPr>
        <w:t>2,269.50</w:t>
      </w:r>
      <w:r>
        <w:rPr/>
        <w:t>万元向兴安盟威信保安守押服务有 </w:t>
      </w:r>
      <w:r>
        <w:rPr>
          <w:spacing w:val="-1"/>
        </w:rPr>
        <w:t>限责任公司（注册资本为</w:t>
      </w:r>
      <w:r>
        <w:rPr>
          <w:rFonts w:ascii="Times New Roman" w:hAnsi="Times New Roman" w:cs="Times New Roman" w:eastAsia="Times New Roman" w:hint="default"/>
          <w:spacing w:val="-1"/>
        </w:rPr>
        <w:t>300</w:t>
      </w:r>
      <w:r>
        <w:rPr>
          <w:spacing w:val="-1"/>
        </w:rPr>
        <w:t>万元人民币）增资扩股，交易完成后，兴安盟威信注册资本由</w:t>
      </w:r>
      <w:r>
        <w:rPr>
          <w:rFonts w:ascii="Times New Roman" w:hAnsi="Times New Roman" w:cs="Times New Roman" w:eastAsia="Times New Roman" w:hint="default"/>
          <w:spacing w:val="-1"/>
        </w:rPr>
        <w:t>300</w:t>
      </w:r>
      <w:r>
        <w:rPr>
          <w:spacing w:val="-1"/>
        </w:rPr>
        <w:t>万元增加至</w:t>
      </w:r>
      <w:r>
        <w:rPr>
          <w:rFonts w:ascii="Times New Roman" w:hAnsi="Times New Roman" w:cs="Times New Roman" w:eastAsia="Times New Roman" w:hint="default"/>
          <w:spacing w:val="-1"/>
        </w:rPr>
        <w:t>612.24</w:t>
      </w:r>
      <w:r>
        <w:rPr>
          <w:spacing w:val="-1"/>
        </w:rPr>
        <w:t>万元，内蒙</w:t>
      </w:r>
      <w:r>
        <w:rPr>
          <w:spacing w:val="-80"/>
        </w:rPr>
        <w:t> </w:t>
      </w:r>
      <w:r>
        <w:rPr>
          <w:spacing w:val="-80"/>
        </w:rPr>
      </w:r>
      <w:r>
        <w:rPr/>
        <w:t>古安保投资公司持有兴安盟威信</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月完成相关工商变更登记手续，兴安盟威信成为内蒙古安保投资公司 </w:t>
      </w:r>
      <w:r>
        <w:rPr>
          <w:spacing w:val="-2"/>
        </w:rPr>
        <w:t>控股子公司。因业务发展需要，随后兴安盟威信进行资本公积金转增股本，注册资本由</w:t>
      </w:r>
      <w:r>
        <w:rPr>
          <w:rFonts w:ascii="Times New Roman" w:hAnsi="Times New Roman" w:cs="Times New Roman" w:eastAsia="Times New Roman" w:hint="default"/>
          <w:spacing w:val="-2"/>
        </w:rPr>
        <w:t>612.24</w:t>
      </w:r>
      <w:r>
        <w:rPr>
          <w:spacing w:val="-2"/>
        </w:rPr>
        <w:t>万元增加至</w:t>
      </w:r>
      <w:r>
        <w:rPr>
          <w:rFonts w:ascii="Times New Roman" w:hAnsi="Times New Roman" w:cs="Times New Roman" w:eastAsia="Times New Roman" w:hint="default"/>
          <w:spacing w:val="-2"/>
        </w:rPr>
        <w:t>1,000</w:t>
      </w:r>
      <w:r>
        <w:rPr>
          <w:spacing w:val="-2"/>
        </w:rPr>
        <w:t>万元，各股东</w:t>
      </w:r>
      <w:r>
        <w:rPr>
          <w:spacing w:val="-56"/>
        </w:rPr>
        <w:t> </w:t>
      </w:r>
      <w:r>
        <w:rPr>
          <w:spacing w:val="-56"/>
        </w:rPr>
      </w:r>
      <w:r>
        <w:rPr/>
        <w:t>方持股比例不变，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月完成相关工商变更登记手续。</w:t>
      </w:r>
    </w:p>
    <w:p>
      <w:pPr>
        <w:spacing w:line="240" w:lineRule="auto" w:before="1"/>
        <w:rPr>
          <w:rFonts w:ascii="宋体" w:hAnsi="宋体" w:cs="宋体" w:eastAsia="宋体" w:hint="default"/>
          <w:sz w:val="13"/>
          <w:szCs w:val="13"/>
        </w:rPr>
      </w:pPr>
    </w:p>
    <w:p>
      <w:pPr>
        <w:pStyle w:val="BodyText"/>
        <w:spacing w:line="300" w:lineRule="auto"/>
        <w:ind w:right="274" w:firstLine="360"/>
        <w:jc w:val="both"/>
      </w:pPr>
      <w:r>
        <w:rPr/>
        <w:t>⑧</w:t>
      </w:r>
      <w:r>
        <w:rPr>
          <w:rFonts w:ascii="宋体" w:hAnsi="宋体" w:cs="宋体" w:eastAsia="宋体" w:hint="default"/>
          <w:b/>
          <w:bCs/>
        </w:rPr>
        <w:t>巴彦淖尔天力保押有限责任公司</w:t>
      </w:r>
      <w:r>
        <w:rPr/>
        <w:t>：内蒙安保公司向杨福山等</w:t>
      </w:r>
      <w:r>
        <w:rPr>
          <w:rFonts w:ascii="Times New Roman" w:hAnsi="Times New Roman" w:cs="Times New Roman" w:eastAsia="Times New Roman" w:hint="default"/>
        </w:rPr>
        <w:t>32</w:t>
      </w:r>
      <w:r>
        <w:rPr/>
        <w:t>个自然人股东收购其持有的巴彦淖尔天力保押有限责 任公司（注册资本</w:t>
      </w:r>
      <w:r>
        <w:rPr>
          <w:rFonts w:ascii="Times New Roman" w:hAnsi="Times New Roman" w:cs="Times New Roman" w:eastAsia="Times New Roman" w:hint="default"/>
        </w:rPr>
        <w:t>1,300</w:t>
      </w:r>
      <w:r>
        <w:rPr/>
        <w:t>万元人民币）</w:t>
      </w:r>
      <w:r>
        <w:rPr>
          <w:rFonts w:ascii="Times New Roman" w:hAnsi="Times New Roman" w:cs="Times New Roman" w:eastAsia="Times New Roman" w:hint="default"/>
        </w:rPr>
        <w:t>51%</w:t>
      </w:r>
      <w:r>
        <w:rPr/>
        <w:t>的股权，收购价格以巴彦淖尔天力股东权益评估价值为基础且经双方协商一致， 最终确定为</w:t>
      </w:r>
      <w:r>
        <w:rPr>
          <w:rFonts w:ascii="Times New Roman" w:hAnsi="Times New Roman" w:cs="Times New Roman" w:eastAsia="Times New Roman" w:hint="default"/>
        </w:rPr>
        <w:t>3,508.38</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月完成相关工商变更登记手续。</w:t>
      </w:r>
    </w:p>
    <w:p>
      <w:pPr>
        <w:spacing w:line="240" w:lineRule="auto" w:before="1"/>
        <w:rPr>
          <w:rFonts w:ascii="宋体" w:hAnsi="宋体" w:cs="宋体" w:eastAsia="宋体" w:hint="default"/>
          <w:sz w:val="13"/>
          <w:szCs w:val="13"/>
        </w:rPr>
      </w:pPr>
    </w:p>
    <w:p>
      <w:pPr>
        <w:pStyle w:val="BodyText"/>
        <w:spacing w:line="300" w:lineRule="auto"/>
        <w:ind w:right="197" w:firstLine="360"/>
        <w:jc w:val="both"/>
      </w:pPr>
      <w:r>
        <w:rPr/>
        <w:t>截至报告期末，广州安保投资公司有内蒙古安保投资公司、邵阳保安、武威神威</w:t>
      </w:r>
      <w:r>
        <w:rPr>
          <w:rFonts w:ascii="Times New Roman" w:hAnsi="Times New Roman" w:cs="Times New Roman" w:eastAsia="Times New Roman" w:hint="default"/>
        </w:rPr>
        <w:t>3</w:t>
      </w:r>
      <w:r>
        <w:rPr/>
        <w:t>家全资子公司；有金牛押运、商洛金 盾</w:t>
      </w:r>
      <w:r>
        <w:rPr>
          <w:rFonts w:ascii="Times New Roman" w:hAnsi="Times New Roman" w:cs="Times New Roman" w:eastAsia="Times New Roman" w:hint="default"/>
        </w:rPr>
        <w:t>2</w:t>
      </w:r>
      <w:r>
        <w:rPr/>
        <w:t>家控股子公司；有兴安盟威信、巴彦淖尔天力</w:t>
      </w:r>
      <w:r>
        <w:rPr>
          <w:rFonts w:ascii="Times New Roman" w:hAnsi="Times New Roman" w:cs="Times New Roman" w:eastAsia="Times New Roman" w:hint="default"/>
        </w:rPr>
        <w:t>2</w:t>
      </w:r>
      <w:r>
        <w:rPr/>
        <w:t>家控股孙公司，海南警锐、西安金盾、平顶山鹰翔</w:t>
      </w:r>
      <w:r>
        <w:rPr>
          <w:rFonts w:ascii="Times New Roman" w:hAnsi="Times New Roman" w:cs="Times New Roman" w:eastAsia="Times New Roman" w:hint="default"/>
        </w:rPr>
        <w:t>3</w:t>
      </w:r>
      <w:r>
        <w:rPr/>
        <w:t>家公司因股权变更登</w:t>
      </w:r>
      <w:r>
        <w:rPr>
          <w:spacing w:val="-87"/>
        </w:rPr>
        <w:t> </w:t>
      </w:r>
      <w:r>
        <w:rPr/>
        <w:t>记等原因</w:t>
      </w:r>
      <w:r>
        <w:rPr>
          <w:rFonts w:ascii="Times New Roman" w:hAnsi="Times New Roman" w:cs="Times New Roman" w:eastAsia="Times New Roman" w:hint="default"/>
        </w:rPr>
        <w:t>2015</w:t>
      </w:r>
      <w:r>
        <w:rPr/>
        <w:t>年尚未纳入合并范围。</w:t>
      </w:r>
    </w:p>
    <w:p>
      <w:pPr>
        <w:pStyle w:val="BodyText"/>
        <w:spacing w:line="470" w:lineRule="exact" w:before="3"/>
        <w:ind w:left="512" w:right="214"/>
        <w:jc w:val="left"/>
      </w:pPr>
      <w:r>
        <w:rPr>
          <w:rFonts w:ascii="Times New Roman" w:hAnsi="Times New Roman" w:cs="Times New Roman" w:eastAsia="Times New Roman" w:hint="default"/>
        </w:rPr>
        <w:t>2</w:t>
      </w:r>
      <w:r>
        <w:rPr/>
        <w:t>、创自技术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日召开的第四届董事会第九次（临时）会议审议通过了《关于收购深圳市创自技术有限公司</w:t>
      </w:r>
      <w:r>
        <w:rPr>
          <w:rFonts w:ascii="Times New Roman" w:hAnsi="Times New Roman" w:cs="Times New Roman" w:eastAsia="Times New Roman" w:hint="default"/>
        </w:rPr>
        <w:t>70%</w:t>
      </w:r>
      <w:r>
        <w:rPr/>
        <w:t>股</w:t>
      </w:r>
    </w:p>
    <w:p>
      <w:pPr>
        <w:pStyle w:val="BodyText"/>
        <w:spacing w:line="300" w:lineRule="auto" w:before="5"/>
        <w:ind w:right="94"/>
        <w:jc w:val="left"/>
      </w:pPr>
      <w:r>
        <w:rPr>
          <w:spacing w:val="-2"/>
        </w:rPr>
        <w:t>权的议案》，同意公司以自有资金人民币</w:t>
      </w:r>
      <w:r>
        <w:rPr>
          <w:rFonts w:ascii="Times New Roman" w:hAnsi="Times New Roman" w:cs="Times New Roman" w:eastAsia="Times New Roman" w:hint="default"/>
          <w:spacing w:val="-2"/>
        </w:rPr>
        <w:t>13,650</w:t>
      </w:r>
      <w:r>
        <w:rPr>
          <w:spacing w:val="-2"/>
        </w:rPr>
        <w:t>万元收购深圳市创自技术有限公司</w:t>
      </w:r>
      <w:r>
        <w:rPr>
          <w:rFonts w:ascii="Times New Roman" w:hAnsi="Times New Roman" w:cs="Times New Roman" w:eastAsia="Times New Roman" w:hint="default"/>
          <w:spacing w:val="-2"/>
        </w:rPr>
        <w:t>70%</w:t>
      </w:r>
      <w:r>
        <w:rPr>
          <w:spacing w:val="-2"/>
        </w:rPr>
        <w:t>的股权，切入高端嵌入式读卡器领域。</w:t>
      </w:r>
      <w:r>
        <w:rPr>
          <w:spacing w:val="-74"/>
        </w:rPr>
        <w:t> </w:t>
      </w:r>
      <w:r>
        <w:rPr>
          <w:spacing w:val="-74"/>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月，创自技术工商变更登记已完成。具体内容详见刊登在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日及</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日《证券时报》及巨潮资讯网 </w:t>
      </w:r>
      <w:r>
        <w:rPr>
          <w:rFonts w:ascii="Times New Roman" w:hAnsi="Times New Roman" w:cs="Times New Roman" w:eastAsia="Times New Roman" w:hint="default"/>
        </w:rPr>
        <w:t>(www.cninfo.com.cn)</w:t>
      </w:r>
      <w:r>
        <w:rPr/>
        <w:t>上的相关公告。</w:t>
      </w:r>
    </w:p>
    <w:p>
      <w:pPr>
        <w:pStyle w:val="BodyText"/>
        <w:spacing w:line="470" w:lineRule="exact" w:before="3"/>
        <w:ind w:left="512" w:right="94"/>
        <w:jc w:val="left"/>
      </w:pPr>
      <w:r>
        <w:rPr>
          <w:rFonts w:ascii="Times New Roman" w:hAnsi="Times New Roman" w:cs="Times New Roman" w:eastAsia="Times New Roman" w:hint="default"/>
        </w:rPr>
        <w:t>3</w:t>
      </w:r>
      <w:r>
        <w:rPr/>
        <w:t>、运通信息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日召开的第四届董事会第十四次（临时）会议审议通过了《关于向全资子公司广州广电运通信息科</w:t>
      </w:r>
    </w:p>
    <w:p>
      <w:pPr>
        <w:pStyle w:val="BodyText"/>
        <w:spacing w:line="300" w:lineRule="auto" w:before="5"/>
        <w:ind w:right="192"/>
        <w:jc w:val="both"/>
      </w:pPr>
      <w:r>
        <w:rPr/>
        <w:t>技有限公司增资的议案》，同意公司以自有资金</w:t>
      </w:r>
      <w:r>
        <w:rPr>
          <w:rFonts w:ascii="Times New Roman" w:hAnsi="Times New Roman" w:cs="Times New Roman" w:eastAsia="Times New Roman" w:hint="default"/>
        </w:rPr>
        <w:t>2,000</w:t>
      </w:r>
      <w:r>
        <w:rPr/>
        <w:t>万元对运通信息进行增资，增资后运通信息注册资本由人民币</w:t>
      </w:r>
      <w:r>
        <w:rPr>
          <w:rFonts w:ascii="Times New Roman" w:hAnsi="Times New Roman" w:cs="Times New Roman" w:eastAsia="Times New Roman" w:hint="default"/>
        </w:rPr>
        <w:t>1,000</w:t>
      </w:r>
      <w:r>
        <w:rPr/>
        <w:t>万 元增至人民币</w:t>
      </w:r>
      <w:r>
        <w:rPr>
          <w:rFonts w:ascii="Times New Roman" w:hAnsi="Times New Roman" w:cs="Times New Roman" w:eastAsia="Times New Roman" w:hint="default"/>
        </w:rPr>
        <w:t>3,000</w:t>
      </w:r>
      <w:r>
        <w:rPr/>
        <w:t>万元。具体内容详见刊登在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日《证券时报》及巨潮资讯网</w:t>
      </w:r>
      <w:r>
        <w:rPr>
          <w:spacing w:val="-14"/>
        </w:rPr>
        <w:t> </w:t>
      </w:r>
      <w:r>
        <w:rPr>
          <w:rFonts w:ascii="Times New Roman" w:hAnsi="Times New Roman" w:cs="Times New Roman" w:eastAsia="Times New Roman" w:hint="default"/>
        </w:rPr>
        <w:t>(www.cninfo.com.cn)</w:t>
      </w:r>
      <w:r>
        <w:rPr/>
        <w:t>上的相关公 告。</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24" w:right="94"/>
        <w:jc w:val="left"/>
      </w:pPr>
      <w:r>
        <w:rPr/>
        <w:t>（一）行业发展趋势及市场竞争格局</w:t>
      </w:r>
    </w:p>
    <w:p>
      <w:pPr>
        <w:pStyle w:val="BodyText"/>
        <w:spacing w:line="240" w:lineRule="auto" w:before="117"/>
        <w:ind w:left="512" w:right="94"/>
        <w:jc w:val="left"/>
      </w:pPr>
      <w:r>
        <w:rPr>
          <w:rFonts w:ascii="Times New Roman" w:hAnsi="Times New Roman" w:cs="Times New Roman" w:eastAsia="Times New Roman" w:hint="default"/>
        </w:rPr>
        <w:t>1</w:t>
      </w:r>
      <w:r>
        <w:rPr/>
        <w:t>、行业发展趋势</w:t>
      </w:r>
    </w:p>
    <w:p>
      <w:pPr>
        <w:pStyle w:val="BodyText"/>
        <w:spacing w:line="340" w:lineRule="auto" w:before="101"/>
        <w:ind w:left="512" w:right="94" w:hanging="89"/>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1"/>
        </w:rPr>
        <w:t> </w:t>
      </w:r>
      <w:r>
        <w:rPr/>
        <w:t>市场发展趋势 在金融体制改革、利率市场化、互联网金融等因素的冲击下，银行业竞争压力增大，银行业开始全面推进利率市场化，</w:t>
      </w:r>
    </w:p>
    <w:p>
      <w:pPr>
        <w:spacing w:after="0" w:line="3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5"/>
        <w:jc w:val="both"/>
      </w:pPr>
      <w:r>
        <w:rPr>
          <w:spacing w:val="-2"/>
        </w:rPr>
        <w:t>加快规划业务流程重组及网点转型，因而带来智慧银行、智能网点的快速发展；同时，新兴支付技术冲击传统支付领域、国</w:t>
      </w:r>
      <w:r>
        <w:rPr>
          <w:spacing w:val="-67"/>
        </w:rPr>
        <w:t> </w:t>
      </w:r>
      <w:r>
        <w:rPr>
          <w:spacing w:val="-67"/>
        </w:rPr>
      </w:r>
      <w:r>
        <w:rPr/>
        <w:t>内</w:t>
      </w:r>
      <w:r>
        <w:rPr>
          <w:spacing w:val="-4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行业进入国产品牌主导的价格竞争阶段等，给传统</w:t>
      </w:r>
      <w:r>
        <w:rPr>
          <w:spacing w:val="-45"/>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制造业带来挑战。</w:t>
      </w:r>
    </w:p>
    <w:p>
      <w:pPr>
        <w:pStyle w:val="BodyText"/>
        <w:spacing w:line="307" w:lineRule="auto" w:before="40"/>
        <w:ind w:right="91" w:firstLine="360"/>
        <w:jc w:val="left"/>
      </w:pPr>
      <w:r>
        <w:rPr/>
        <w:t>根据英国零售银行研究和咨询公司</w:t>
      </w:r>
      <w:r>
        <w:rPr>
          <w:spacing w:val="-44"/>
        </w:rPr>
        <w:t> </w:t>
      </w:r>
      <w:r>
        <w:rPr>
          <w:rFonts w:ascii="Times New Roman" w:hAnsi="Times New Roman" w:cs="Times New Roman" w:eastAsia="Times New Roman" w:hint="default"/>
        </w:rPr>
        <w:t>RBR</w:t>
      </w:r>
      <w:r>
        <w:rPr>
          <w:rFonts w:ascii="Times New Roman" w:hAnsi="Times New Roman" w:cs="Times New Roman" w:eastAsia="Times New Roman" w:hint="default"/>
          <w:spacing w:val="1"/>
        </w:rPr>
        <w:t> </w:t>
      </w:r>
      <w:r>
        <w:rPr/>
        <w:t>在</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月发布的《</w:t>
      </w:r>
      <w:r>
        <w:rPr>
          <w:rFonts w:ascii="Times New Roman" w:hAnsi="Times New Roman" w:cs="Times New Roman" w:eastAsia="Times New Roman" w:hint="default"/>
          <w:spacing w:val="-3"/>
        </w:rPr>
        <w:t>2020</w:t>
      </w:r>
      <w:r>
        <w:rPr>
          <w:rFonts w:ascii="Times New Roman" w:hAnsi="Times New Roman" w:cs="Times New Roman" w:eastAsia="Times New Roman" w:hint="default"/>
          <w:spacing w:val="2"/>
        </w:rPr>
        <w:t> </w:t>
      </w:r>
      <w:r>
        <w:rPr/>
        <w:t>全球</w:t>
      </w:r>
      <w:r>
        <w:rPr>
          <w:spacing w:val="-4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spacing w:val="-4"/>
        </w:rPr>
        <w:t>市场及预测报告》显示，预计</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 全球</w:t>
      </w:r>
      <w:r>
        <w:rPr>
          <w:spacing w:val="-48"/>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保有量将超过</w:t>
      </w:r>
      <w:r>
        <w:rPr>
          <w:spacing w:val="-48"/>
        </w:rPr>
        <w:t> </w:t>
      </w:r>
      <w:r>
        <w:rPr>
          <w:rFonts w:ascii="宋体" w:hAnsi="宋体" w:cs="宋体" w:eastAsia="宋体" w:hint="default"/>
        </w:rPr>
        <w:t>400</w:t>
      </w:r>
      <w:r>
        <w:rPr>
          <w:rFonts w:ascii="宋体" w:hAnsi="宋体" w:cs="宋体" w:eastAsia="宋体" w:hint="default"/>
          <w:spacing w:val="-47"/>
        </w:rPr>
        <w:t> </w:t>
      </w:r>
      <w:r>
        <w:rPr/>
        <w:t>万台。尽管全球</w:t>
      </w:r>
      <w:r>
        <w:rPr>
          <w:spacing w:val="-48"/>
        </w:rPr>
        <w:t> </w:t>
      </w:r>
      <w:r>
        <w:rPr>
          <w:rFonts w:ascii="宋体" w:hAnsi="宋体" w:cs="宋体" w:eastAsia="宋体" w:hint="default"/>
        </w:rPr>
        <w:t>ATM</w:t>
      </w:r>
      <w:r>
        <w:rPr>
          <w:rFonts w:ascii="宋体" w:hAnsi="宋体" w:cs="宋体" w:eastAsia="宋体" w:hint="default"/>
          <w:spacing w:val="-47"/>
        </w:rPr>
        <w:t> </w:t>
      </w:r>
      <w:r>
        <w:rPr/>
        <w:t>市场受到电子支付的冲击，但在一些如中国等人口密集的新兴市场中，仍 呈现巨大的金融包容性，对现金的需求旺盛，主导着全球</w:t>
      </w:r>
      <w:r>
        <w:rPr>
          <w:spacing w:val="-54"/>
        </w:rPr>
        <w:t> </w:t>
      </w:r>
      <w:r>
        <w:rPr>
          <w:rFonts w:ascii="宋体" w:hAnsi="宋体" w:cs="宋体" w:eastAsia="宋体" w:hint="default"/>
        </w:rPr>
        <w:t>ATM</w:t>
      </w:r>
      <w:r>
        <w:rPr>
          <w:rFonts w:ascii="宋体" w:hAnsi="宋体" w:cs="宋体" w:eastAsia="宋体" w:hint="default"/>
          <w:spacing w:val="-53"/>
        </w:rPr>
        <w:t> </w:t>
      </w:r>
      <w:r>
        <w:rPr/>
        <w:t>市场的持续增长。根据全球</w:t>
      </w:r>
      <w:r>
        <w:rPr>
          <w:spacing w:val="-54"/>
        </w:rPr>
        <w:t> </w:t>
      </w:r>
      <w:r>
        <w:rPr>
          <w:rFonts w:ascii="宋体" w:hAnsi="宋体" w:cs="宋体" w:eastAsia="宋体" w:hint="default"/>
        </w:rPr>
        <w:t>ATM</w:t>
      </w:r>
      <w:r>
        <w:rPr>
          <w:rFonts w:ascii="宋体" w:hAnsi="宋体" w:cs="宋体" w:eastAsia="宋体" w:hint="default"/>
          <w:spacing w:val="-53"/>
        </w:rPr>
        <w:t> </w:t>
      </w:r>
      <w:r>
        <w:rPr/>
        <w:t>行业协会的预测，</w:t>
      </w:r>
      <w:r>
        <w:rPr>
          <w:rFonts w:ascii="宋体" w:hAnsi="宋体" w:cs="宋体" w:eastAsia="宋体" w:hint="default"/>
        </w:rPr>
        <w:t>2020</w:t>
      </w:r>
      <w:r>
        <w:rPr>
          <w:rFonts w:ascii="宋体" w:hAnsi="宋体" w:cs="宋体" w:eastAsia="宋体" w:hint="default"/>
          <w:spacing w:val="-53"/>
        </w:rPr>
        <w:t> </w:t>
      </w:r>
      <w:r>
        <w:rPr/>
        <w:t>年末， 中国将会有</w:t>
      </w:r>
      <w:r>
        <w:rPr>
          <w:spacing w:val="-46"/>
        </w:rPr>
        <w:t> </w:t>
      </w:r>
      <w:r>
        <w:rPr>
          <w:rFonts w:ascii="宋体" w:hAnsi="宋体" w:cs="宋体" w:eastAsia="宋体" w:hint="default"/>
        </w:rPr>
        <w:t>100</w:t>
      </w:r>
      <w:r>
        <w:rPr>
          <w:rFonts w:ascii="宋体" w:hAnsi="宋体" w:cs="宋体" w:eastAsia="宋体" w:hint="default"/>
          <w:spacing w:val="-45"/>
        </w:rPr>
        <w:t> </w:t>
      </w:r>
      <w:r>
        <w:rPr/>
        <w:t>万台</w:t>
      </w:r>
      <w:r>
        <w:rPr>
          <w:spacing w:val="-48"/>
        </w:rPr>
        <w:t> </w:t>
      </w:r>
      <w:r>
        <w:rPr>
          <w:rFonts w:ascii="宋体" w:hAnsi="宋体" w:cs="宋体" w:eastAsia="宋体" w:hint="default"/>
        </w:rPr>
        <w:t>ATM</w:t>
      </w:r>
      <w:r>
        <w:rPr/>
        <w:t>。</w:t>
      </w:r>
    </w:p>
    <w:p>
      <w:pPr>
        <w:pStyle w:val="BodyText"/>
        <w:spacing w:line="316" w:lineRule="auto" w:before="64"/>
        <w:ind w:right="191" w:firstLine="360"/>
        <w:jc w:val="both"/>
      </w:pPr>
      <w:r>
        <w:rPr/>
        <w:t>根据中国银联</w:t>
      </w:r>
      <w:r>
        <w:rPr>
          <w:spacing w:val="-46"/>
        </w:rPr>
        <w:t> </w:t>
      </w:r>
      <w:r>
        <w:rPr>
          <w:rFonts w:ascii="宋体" w:hAnsi="宋体" w:cs="宋体" w:eastAsia="宋体" w:hint="default"/>
        </w:rPr>
        <w:t>2016</w:t>
      </w:r>
      <w:r>
        <w:rPr>
          <w:rFonts w:ascii="宋体" w:hAnsi="宋体" w:cs="宋体" w:eastAsia="宋体" w:hint="default"/>
          <w:spacing w:val="-45"/>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月发布的最新数据显示，截至</w:t>
      </w:r>
      <w:r>
        <w:rPr>
          <w:spacing w:val="-46"/>
        </w:rPr>
        <w:t> </w:t>
      </w:r>
      <w:r>
        <w:rPr>
          <w:rFonts w:ascii="宋体" w:hAnsi="宋体" w:cs="宋体" w:eastAsia="宋体" w:hint="default"/>
        </w:rPr>
        <w:t>2015</w:t>
      </w:r>
      <w:r>
        <w:rPr>
          <w:rFonts w:ascii="宋体" w:hAnsi="宋体" w:cs="宋体" w:eastAsia="宋体" w:hint="default"/>
          <w:spacing w:val="-45"/>
        </w:rPr>
        <w:t> </w:t>
      </w:r>
      <w:r>
        <w:rPr/>
        <w:t>年底全国联网</w:t>
      </w:r>
      <w:r>
        <w:rPr>
          <w:spacing w:val="-46"/>
        </w:rPr>
        <w:t> </w:t>
      </w:r>
      <w:r>
        <w:rPr>
          <w:rFonts w:ascii="宋体" w:hAnsi="宋体" w:cs="宋体" w:eastAsia="宋体" w:hint="default"/>
        </w:rPr>
        <w:t>ATM</w:t>
      </w:r>
      <w:r>
        <w:rPr>
          <w:rFonts w:ascii="宋体" w:hAnsi="宋体" w:cs="宋体" w:eastAsia="宋体" w:hint="default"/>
          <w:spacing w:val="-45"/>
        </w:rPr>
        <w:t> </w:t>
      </w:r>
      <w:r>
        <w:rPr/>
        <w:t>设备已达到</w:t>
      </w:r>
      <w:r>
        <w:rPr>
          <w:spacing w:val="-48"/>
        </w:rPr>
        <w:t> </w:t>
      </w:r>
      <w:r>
        <w:rPr>
          <w:rFonts w:ascii="宋体" w:hAnsi="宋体" w:cs="宋体" w:eastAsia="宋体" w:hint="default"/>
        </w:rPr>
        <w:t>70</w:t>
      </w:r>
      <w:r>
        <w:rPr>
          <w:rFonts w:ascii="宋体" w:hAnsi="宋体" w:cs="宋体" w:eastAsia="宋体" w:hint="default"/>
          <w:spacing w:val="-47"/>
        </w:rPr>
        <w:t> </w:t>
      </w:r>
      <w:r>
        <w:rPr/>
        <w:t>多万台。据中国银行业协 会发布的《</w:t>
      </w:r>
      <w:r>
        <w:rPr>
          <w:rFonts w:ascii="宋体" w:hAnsi="宋体" w:cs="宋体" w:eastAsia="宋体" w:hint="default"/>
        </w:rPr>
        <w:t>2015</w:t>
      </w:r>
      <w:r>
        <w:rPr>
          <w:rFonts w:ascii="宋体" w:hAnsi="宋体" w:cs="宋体" w:eastAsia="宋体" w:hint="default"/>
          <w:spacing w:val="-44"/>
        </w:rPr>
        <w:t> </w:t>
      </w:r>
      <w:r>
        <w:rPr/>
        <w:t>年度中国银行业服务改进情况报告》的统计数据显示，</w:t>
      </w:r>
      <w:r>
        <w:rPr>
          <w:rFonts w:ascii="宋体" w:hAnsi="宋体" w:cs="宋体" w:eastAsia="宋体" w:hint="default"/>
        </w:rPr>
        <w:t>2015</w:t>
      </w:r>
      <w:r>
        <w:rPr>
          <w:rFonts w:ascii="宋体" w:hAnsi="宋体" w:cs="宋体" w:eastAsia="宋体" w:hint="default"/>
          <w:spacing w:val="-44"/>
        </w:rPr>
        <w:t> </w:t>
      </w:r>
      <w:r>
        <w:rPr/>
        <w:t>年中国金融自助设备新增</w:t>
      </w:r>
      <w:r>
        <w:rPr>
          <w:spacing w:val="-46"/>
        </w:rPr>
        <w:t> </w:t>
      </w:r>
      <w:r>
        <w:rPr>
          <w:rFonts w:ascii="宋体" w:hAnsi="宋体" w:cs="宋体" w:eastAsia="宋体" w:hint="default"/>
        </w:rPr>
        <w:t>10.13</w:t>
      </w:r>
      <w:r>
        <w:rPr>
          <w:rFonts w:ascii="宋体" w:hAnsi="宋体" w:cs="宋体" w:eastAsia="宋体" w:hint="default"/>
          <w:spacing w:val="-44"/>
        </w:rPr>
        <w:t> </w:t>
      </w:r>
      <w:r>
        <w:rPr/>
        <w:t>万台，同比增 长</w:t>
      </w:r>
      <w:r>
        <w:rPr>
          <w:spacing w:val="-47"/>
        </w:rPr>
        <w:t> </w:t>
      </w:r>
      <w:r>
        <w:rPr>
          <w:rFonts w:ascii="宋体" w:hAnsi="宋体" w:cs="宋体" w:eastAsia="宋体" w:hint="default"/>
        </w:rPr>
        <w:t>13.92%</w:t>
      </w:r>
      <w:r>
        <w:rPr/>
        <w:t>。近两年国内</w:t>
      </w:r>
      <w:r>
        <w:rPr>
          <w:spacing w:val="-47"/>
        </w:rPr>
        <w:t> </w:t>
      </w:r>
      <w:r>
        <w:rPr>
          <w:rFonts w:ascii="宋体" w:hAnsi="宋体" w:cs="宋体" w:eastAsia="宋体" w:hint="default"/>
        </w:rPr>
        <w:t>ATM</w:t>
      </w:r>
      <w:r>
        <w:rPr>
          <w:rFonts w:ascii="宋体" w:hAnsi="宋体" w:cs="宋体" w:eastAsia="宋体" w:hint="default"/>
          <w:spacing w:val="-46"/>
        </w:rPr>
        <w:t> </w:t>
      </w:r>
      <w:r>
        <w:rPr/>
        <w:t>市场增长呈现稳健势头，但相比</w:t>
      </w:r>
      <w:r>
        <w:rPr>
          <w:spacing w:val="-47"/>
        </w:rPr>
        <w:t> </w:t>
      </w:r>
      <w:r>
        <w:rPr>
          <w:rFonts w:ascii="宋体" w:hAnsi="宋体" w:cs="宋体" w:eastAsia="宋体" w:hint="default"/>
        </w:rPr>
        <w:t>2012</w:t>
      </w:r>
      <w:r>
        <w:rPr>
          <w:rFonts w:ascii="宋体" w:hAnsi="宋体" w:cs="宋体" w:eastAsia="宋体" w:hint="default"/>
          <w:spacing w:val="-46"/>
        </w:rPr>
        <w:t> </w:t>
      </w:r>
      <w:r>
        <w:rPr/>
        <w:t>年、</w:t>
      </w:r>
      <w:r>
        <w:rPr>
          <w:rFonts w:ascii="宋体" w:hAnsi="宋体" w:cs="宋体" w:eastAsia="宋体" w:hint="default"/>
        </w:rPr>
        <w:t>2013</w:t>
      </w:r>
      <w:r>
        <w:rPr>
          <w:rFonts w:ascii="宋体" w:hAnsi="宋体" w:cs="宋体" w:eastAsia="宋体" w:hint="default"/>
          <w:spacing w:val="-46"/>
        </w:rPr>
        <w:t> </w:t>
      </w:r>
      <w:r>
        <w:rPr/>
        <w:t>年每年约</w:t>
      </w:r>
      <w:r>
        <w:rPr>
          <w:spacing w:val="-47"/>
        </w:rPr>
        <w:t> </w:t>
      </w:r>
      <w:r>
        <w:rPr>
          <w:rFonts w:ascii="宋体" w:hAnsi="宋体" w:cs="宋体" w:eastAsia="宋体" w:hint="default"/>
        </w:rPr>
        <w:t>25%</w:t>
      </w:r>
      <w:r>
        <w:rPr/>
        <w:t>的增长率有所放缓。目前中国</w:t>
      </w:r>
      <w:r>
        <w:rPr>
          <w:spacing w:val="-47"/>
        </w:rPr>
        <w:t> </w:t>
      </w:r>
      <w:r>
        <w:rPr>
          <w:rFonts w:ascii="宋体" w:hAnsi="宋体" w:cs="宋体" w:eastAsia="宋体" w:hint="default"/>
        </w:rPr>
        <w:t>ATM</w:t>
      </w:r>
      <w:r>
        <w:rPr>
          <w:rFonts w:ascii="宋体" w:hAnsi="宋体" w:cs="宋体" w:eastAsia="宋体" w:hint="default"/>
          <w:spacing w:val="-2"/>
        </w:rPr>
        <w:t> </w:t>
      </w:r>
      <w:r>
        <w:rPr>
          <w:spacing w:val="-1"/>
        </w:rPr>
        <w:t>市场已进入平稳增长期，</w:t>
      </w:r>
      <w:r>
        <w:rPr>
          <w:rFonts w:ascii="宋体" w:hAnsi="宋体" w:cs="宋体" w:eastAsia="宋体" w:hint="default"/>
          <w:spacing w:val="-1"/>
        </w:rPr>
        <w:t>ATM</w:t>
      </w:r>
      <w:r>
        <w:rPr>
          <w:rFonts w:ascii="宋体" w:hAnsi="宋体" w:cs="宋体" w:eastAsia="宋体" w:hint="default"/>
          <w:spacing w:val="-36"/>
        </w:rPr>
        <w:t> </w:t>
      </w:r>
      <w:r>
        <w:rPr>
          <w:spacing w:val="-1"/>
        </w:rPr>
        <w:t>市场的增长主要来源于网点智能化改造、旧机换新、普惠金融的铺开等。在银行新增自助设备</w:t>
      </w:r>
      <w:r>
        <w:rPr>
          <w:spacing w:val="-87"/>
        </w:rPr>
        <w:t> </w:t>
      </w:r>
      <w:r>
        <w:rPr>
          <w:spacing w:val="-87"/>
        </w:rPr>
      </w:r>
      <w:r>
        <w:rPr/>
        <w:t>中，存取款一体机的需求进一步加大，带冠字号追踪技术的一体机已成为银行采购中的主流机型。</w:t>
      </w:r>
    </w:p>
    <w:p>
      <w:pPr>
        <w:pStyle w:val="BodyText"/>
        <w:spacing w:line="240" w:lineRule="auto" w:before="59"/>
        <w:ind w:left="423" w:right="94"/>
        <w:jc w:val="left"/>
      </w:pPr>
      <w:r>
        <w:rPr/>
        <w:t>（</w:t>
      </w:r>
      <w:r>
        <w:rPr>
          <w:rFonts w:ascii="宋体" w:hAnsi="宋体" w:cs="宋体" w:eastAsia="宋体" w:hint="default"/>
        </w:rPr>
        <w:t>2</w:t>
      </w:r>
      <w:r>
        <w:rPr/>
        <w:t>）轨道交通业发展趋势</w:t>
      </w:r>
    </w:p>
    <w:p>
      <w:pPr>
        <w:pStyle w:val="BodyText"/>
        <w:spacing w:line="240" w:lineRule="auto" w:before="117"/>
        <w:ind w:left="512" w:right="94"/>
        <w:jc w:val="left"/>
      </w:pPr>
      <w:r>
        <w:rPr/>
        <w:t>中国铁路总公司网站公布的数据显示</w:t>
      </w:r>
      <w:r>
        <w:rPr>
          <w:spacing w:val="-92"/>
        </w:rPr>
        <w:t>，</w:t>
      </w:r>
      <w:r>
        <w:rPr/>
        <w:t>“十二五”期间，全</w:t>
      </w:r>
      <w:r>
        <w:rPr>
          <w:spacing w:val="2"/>
        </w:rPr>
        <w:t>国</w:t>
      </w:r>
      <w:r>
        <w:rPr/>
        <w:t>铁路固定资产投资完成</w:t>
      </w:r>
      <w:r>
        <w:rPr>
          <w:spacing w:val="-42"/>
        </w:rPr>
        <w:t> </w:t>
      </w:r>
      <w:r>
        <w:rPr>
          <w:rFonts w:ascii="宋体" w:hAnsi="宋体" w:cs="宋体" w:eastAsia="宋体" w:hint="default"/>
          <w:spacing w:val="1"/>
        </w:rPr>
        <w:t>3</w:t>
      </w:r>
      <w:r>
        <w:rPr>
          <w:rFonts w:ascii="宋体" w:hAnsi="宋体" w:cs="宋体" w:eastAsia="宋体" w:hint="default"/>
          <w:spacing w:val="-2"/>
        </w:rPr>
        <w:t>.5</w:t>
      </w:r>
      <w:r>
        <w:rPr>
          <w:rFonts w:ascii="宋体" w:hAnsi="宋体" w:cs="宋体" w:eastAsia="宋体" w:hint="default"/>
        </w:rPr>
        <w:t>8</w:t>
      </w:r>
      <w:r>
        <w:rPr>
          <w:rFonts w:ascii="宋体" w:hAnsi="宋体" w:cs="宋体" w:eastAsia="宋体" w:hint="default"/>
          <w:spacing w:val="-41"/>
        </w:rPr>
        <w:t> </w:t>
      </w:r>
      <w:r>
        <w:rPr>
          <w:spacing w:val="-3"/>
        </w:rPr>
        <w:t>万</w:t>
      </w:r>
      <w:r>
        <w:rPr/>
        <w:t>亿元，新线投产</w:t>
      </w:r>
      <w:r>
        <w:rPr>
          <w:spacing w:val="-43"/>
        </w:rPr>
        <w:t> </w:t>
      </w:r>
      <w:r>
        <w:rPr>
          <w:rFonts w:ascii="宋体" w:hAnsi="宋体" w:cs="宋体" w:eastAsia="宋体" w:hint="default"/>
          <w:spacing w:val="1"/>
        </w:rPr>
        <w:t>3</w:t>
      </w:r>
      <w:r>
        <w:rPr>
          <w:rFonts w:ascii="宋体" w:hAnsi="宋体" w:cs="宋体" w:eastAsia="宋体" w:hint="default"/>
          <w:spacing w:val="-2"/>
        </w:rPr>
        <w:t>.0</w:t>
      </w:r>
      <w:r>
        <w:rPr>
          <w:rFonts w:ascii="宋体" w:hAnsi="宋体" w:cs="宋体" w:eastAsia="宋体" w:hint="default"/>
        </w:rPr>
        <w:t>5</w:t>
      </w:r>
      <w:r>
        <w:rPr>
          <w:rFonts w:ascii="宋体" w:hAnsi="宋体" w:cs="宋体" w:eastAsia="宋体" w:hint="default"/>
          <w:spacing w:val="-41"/>
        </w:rPr>
        <w:t> </w:t>
      </w:r>
      <w:r>
        <w:rPr/>
        <w:t>万公</w:t>
      </w:r>
    </w:p>
    <w:p>
      <w:pPr>
        <w:pStyle w:val="BodyText"/>
        <w:spacing w:line="240" w:lineRule="auto" w:before="76"/>
        <w:ind w:right="0"/>
        <w:jc w:val="both"/>
        <w:rPr>
          <w:rFonts w:ascii="宋体" w:hAnsi="宋体" w:cs="宋体" w:eastAsia="宋体" w:hint="default"/>
        </w:rPr>
      </w:pPr>
      <w:r>
        <w:rPr/>
        <w:t>里，是历史投资完成最好、投产新线最多的五年。其中，</w:t>
      </w:r>
      <w:r>
        <w:rPr>
          <w:rFonts w:ascii="宋体" w:hAnsi="宋体" w:cs="宋体" w:eastAsia="宋体" w:hint="default"/>
        </w:rPr>
        <w:t>2015</w:t>
      </w:r>
      <w:r>
        <w:rPr>
          <w:rFonts w:ascii="宋体" w:hAnsi="宋体" w:cs="宋体" w:eastAsia="宋体" w:hint="default"/>
          <w:spacing w:val="-62"/>
        </w:rPr>
        <w:t> </w:t>
      </w:r>
      <w:r>
        <w:rPr/>
        <w:t>年，全国铁路固定资产投资完成</w:t>
      </w:r>
      <w:r>
        <w:rPr>
          <w:spacing w:val="-63"/>
        </w:rPr>
        <w:t> </w:t>
      </w:r>
      <w:r>
        <w:rPr>
          <w:rFonts w:ascii="宋体" w:hAnsi="宋体" w:cs="宋体" w:eastAsia="宋体" w:hint="default"/>
        </w:rPr>
        <w:t>8,238</w:t>
      </w:r>
      <w:r>
        <w:rPr>
          <w:rFonts w:ascii="宋体" w:hAnsi="宋体" w:cs="宋体" w:eastAsia="宋体" w:hint="default"/>
          <w:spacing w:val="-62"/>
        </w:rPr>
        <w:t> </w:t>
      </w:r>
      <w:r>
        <w:rPr>
          <w:spacing w:val="-3"/>
        </w:rPr>
        <w:t>亿元；新线投产</w:t>
      </w:r>
      <w:r>
        <w:rPr>
          <w:spacing w:val="-63"/>
        </w:rPr>
        <w:t> </w:t>
      </w:r>
      <w:r>
        <w:rPr>
          <w:rFonts w:ascii="宋体" w:hAnsi="宋体" w:cs="宋体" w:eastAsia="宋体" w:hint="default"/>
        </w:rPr>
        <w:t>9,531</w:t>
      </w:r>
    </w:p>
    <w:p>
      <w:pPr>
        <w:pStyle w:val="BodyText"/>
        <w:spacing w:line="240" w:lineRule="auto" w:before="76"/>
        <w:ind w:right="0"/>
        <w:jc w:val="both"/>
        <w:rPr>
          <w:rFonts w:ascii="宋体" w:hAnsi="宋体" w:cs="宋体" w:eastAsia="宋体" w:hint="default"/>
        </w:rPr>
      </w:pPr>
      <w:r>
        <w:rPr/>
        <w:t>公里。截至</w:t>
      </w:r>
      <w:r>
        <w:rPr>
          <w:spacing w:val="-30"/>
        </w:rPr>
        <w:t> </w:t>
      </w:r>
      <w:r>
        <w:rPr>
          <w:rFonts w:ascii="宋体" w:hAnsi="宋体" w:cs="宋体" w:eastAsia="宋体" w:hint="default"/>
        </w:rPr>
        <w:t>2015</w:t>
      </w:r>
      <w:r>
        <w:rPr>
          <w:rFonts w:ascii="宋体" w:hAnsi="宋体" w:cs="宋体" w:eastAsia="宋体" w:hint="default"/>
          <w:spacing w:val="-29"/>
        </w:rPr>
        <w:t> </w:t>
      </w:r>
      <w:r>
        <w:rPr/>
        <w:t>年底，全国铁路营业里程达到</w:t>
      </w:r>
      <w:r>
        <w:rPr>
          <w:spacing w:val="-30"/>
        </w:rPr>
        <w:t> </w:t>
      </w:r>
      <w:r>
        <w:rPr>
          <w:rFonts w:ascii="宋体" w:hAnsi="宋体" w:cs="宋体" w:eastAsia="宋体" w:hint="default"/>
        </w:rPr>
        <w:t>12.1</w:t>
      </w:r>
      <w:r>
        <w:rPr>
          <w:rFonts w:ascii="宋体" w:hAnsi="宋体" w:cs="宋体" w:eastAsia="宋体" w:hint="default"/>
          <w:spacing w:val="-29"/>
        </w:rPr>
        <w:t> </w:t>
      </w:r>
      <w:r>
        <w:rPr/>
        <w:t>万公里，其中，高速铁路</w:t>
      </w:r>
      <w:r>
        <w:rPr>
          <w:spacing w:val="-30"/>
        </w:rPr>
        <w:t> </w:t>
      </w:r>
      <w:r>
        <w:rPr>
          <w:rFonts w:ascii="宋体" w:hAnsi="宋体" w:cs="宋体" w:eastAsia="宋体" w:hint="default"/>
        </w:rPr>
        <w:t>1.9</w:t>
      </w:r>
      <w:r>
        <w:rPr>
          <w:rFonts w:ascii="宋体" w:hAnsi="宋体" w:cs="宋体" w:eastAsia="宋体" w:hint="default"/>
          <w:spacing w:val="-29"/>
        </w:rPr>
        <w:t> </w:t>
      </w:r>
      <w:r>
        <w:rPr/>
        <w:t>万公里。根据国家发改委的数据，</w:t>
      </w:r>
      <w:r>
        <w:rPr>
          <w:rFonts w:ascii="宋体" w:hAnsi="宋体" w:cs="宋体" w:eastAsia="宋体" w:hint="default"/>
        </w:rPr>
        <w:t>2015</w:t>
      </w:r>
    </w:p>
    <w:p>
      <w:pPr>
        <w:pStyle w:val="BodyText"/>
        <w:spacing w:line="357" w:lineRule="auto" w:before="76"/>
        <w:ind w:left="512" w:right="94" w:hanging="360"/>
        <w:jc w:val="left"/>
      </w:pPr>
      <w:r>
        <w:rPr/>
        <w:t>年城市轨道交通新开工</w:t>
      </w:r>
      <w:r>
        <w:rPr>
          <w:spacing w:val="-46"/>
        </w:rPr>
        <w:t> </w:t>
      </w:r>
      <w:r>
        <w:rPr>
          <w:rFonts w:ascii="宋体" w:hAnsi="宋体" w:cs="宋体" w:eastAsia="宋体" w:hint="default"/>
        </w:rPr>
        <w:t>23</w:t>
      </w:r>
      <w:r>
        <w:rPr>
          <w:rFonts w:ascii="宋体" w:hAnsi="宋体" w:cs="宋体" w:eastAsia="宋体" w:hint="default"/>
          <w:spacing w:val="-45"/>
        </w:rPr>
        <w:t> </w:t>
      </w:r>
      <w:r>
        <w:rPr/>
        <w:t>条线路，累计完成投资约</w:t>
      </w:r>
      <w:r>
        <w:rPr>
          <w:spacing w:val="-46"/>
        </w:rPr>
        <w:t> </w:t>
      </w:r>
      <w:r>
        <w:rPr>
          <w:rFonts w:ascii="宋体" w:hAnsi="宋体" w:cs="宋体" w:eastAsia="宋体" w:hint="default"/>
        </w:rPr>
        <w:t>200</w:t>
      </w:r>
      <w:r>
        <w:rPr>
          <w:rFonts w:ascii="宋体" w:hAnsi="宋体" w:cs="宋体" w:eastAsia="宋体" w:hint="default"/>
          <w:spacing w:val="-45"/>
        </w:rPr>
        <w:t> </w:t>
      </w:r>
      <w:r>
        <w:rPr/>
        <w:t>亿元。在“十三五”期间，城市轨道交通建设将进一步加速。 </w:t>
      </w:r>
      <w:r>
        <w:rPr>
          <w:spacing w:val="-2"/>
        </w:rPr>
        <w:t>根据“十三五”规划纲要草案，中国将构建横贯东西、纵贯南北、内畅外通的综合运输大通道，加强进出疆、出入藏通</w:t>
      </w:r>
    </w:p>
    <w:p>
      <w:pPr>
        <w:pStyle w:val="BodyText"/>
        <w:spacing w:line="224" w:lineRule="exact"/>
        <w:ind w:right="0"/>
        <w:jc w:val="both"/>
      </w:pPr>
      <w:r>
        <w:rPr/>
        <w:t>道建设，构建西北、西南、东北对外交通走廊和海上丝绸之路走廊，打造高品质的快速网络，加快推进高速铁路成网。其中</w:t>
      </w:r>
    </w:p>
    <w:p>
      <w:pPr>
        <w:pStyle w:val="BodyText"/>
        <w:spacing w:line="316" w:lineRule="auto" w:before="76"/>
        <w:ind w:right="193"/>
        <w:jc w:val="both"/>
      </w:pPr>
      <w:r>
        <w:rPr>
          <w:spacing w:val="-2"/>
        </w:rPr>
        <w:t>在交通建设重点工程方面，“十三五”期间，基本贯通沿海高速铁路、沿海高速公路和沿江高速铁路，加快建设沿边公路，</w:t>
      </w:r>
      <w:r>
        <w:rPr>
          <w:spacing w:val="-65"/>
        </w:rPr>
        <w:t> </w:t>
      </w:r>
      <w:r>
        <w:rPr>
          <w:spacing w:val="-65"/>
        </w:rPr>
      </w:r>
      <w:r>
        <w:rPr>
          <w:spacing w:val="-2"/>
        </w:rPr>
        <w:t>建设和田至若羌铁路、东北沿边铁路和川藏铁路等沿边铁路。“十三五”期间将贯通哈尔滨至北京至香港</w:t>
      </w:r>
      <w:r>
        <w:rPr>
          <w:rFonts w:ascii="宋体" w:hAnsi="宋体" w:cs="宋体" w:eastAsia="宋体" w:hint="default"/>
          <w:spacing w:val="-2"/>
        </w:rPr>
        <w:t>(</w:t>
      </w:r>
      <w:r>
        <w:rPr>
          <w:spacing w:val="-2"/>
        </w:rPr>
        <w:t>澳门</w:t>
      </w:r>
      <w:r>
        <w:rPr>
          <w:rFonts w:ascii="宋体" w:hAnsi="宋体" w:cs="宋体" w:eastAsia="宋体" w:hint="default"/>
          <w:spacing w:val="-2"/>
        </w:rPr>
        <w:t>)</w:t>
      </w:r>
      <w:hyperlink r:id="rId14">
        <w:r>
          <w:rPr>
            <w:spacing w:val="-2"/>
          </w:rPr>
          <w:t>、连云港</w:t>
        </w:r>
      </w:hyperlink>
      <w:r>
        <w:rPr>
          <w:spacing w:val="-2"/>
        </w:rPr>
        <w:t>至</w:t>
      </w:r>
      <w:r>
        <w:rPr>
          <w:spacing w:val="-63"/>
        </w:rPr>
        <w:t> </w:t>
      </w:r>
      <w:r>
        <w:rPr>
          <w:spacing w:val="-63"/>
        </w:rPr>
      </w:r>
      <w:r>
        <w:rPr>
          <w:spacing w:val="-2"/>
        </w:rPr>
        <w:t>乌鲁木齐、上海至昆明、广州至昆明高速铁路通道，建设北京至香港</w:t>
      </w:r>
      <w:r>
        <w:rPr>
          <w:rFonts w:ascii="宋体" w:hAnsi="宋体" w:cs="宋体" w:eastAsia="宋体" w:hint="default"/>
          <w:spacing w:val="-2"/>
        </w:rPr>
        <w:t>(</w:t>
      </w:r>
      <w:r>
        <w:rPr>
          <w:spacing w:val="-2"/>
        </w:rPr>
        <w:t>台北</w:t>
      </w:r>
      <w:r>
        <w:rPr>
          <w:rFonts w:ascii="宋体" w:hAnsi="宋体" w:cs="宋体" w:eastAsia="宋体" w:hint="default"/>
          <w:spacing w:val="-2"/>
        </w:rPr>
        <w:t>)</w:t>
      </w:r>
      <w:r>
        <w:rPr>
          <w:spacing w:val="-2"/>
        </w:rPr>
        <w:t>、呼和浩特至南宁、北京至昆明、包头银川至海</w:t>
      </w:r>
      <w:r>
        <w:rPr>
          <w:spacing w:val="-67"/>
        </w:rPr>
        <w:t> </w:t>
      </w:r>
      <w:r>
        <w:rPr>
          <w:spacing w:val="-67"/>
        </w:rPr>
      </w:r>
      <w:r>
        <w:rPr>
          <w:spacing w:val="-2"/>
        </w:rPr>
        <w:t>口、</w:t>
      </w:r>
      <w:hyperlink r:id="rId15">
        <w:r>
          <w:rPr>
            <w:spacing w:val="-2"/>
          </w:rPr>
          <w:t>青岛</w:t>
        </w:r>
      </w:hyperlink>
      <w:r>
        <w:rPr>
          <w:spacing w:val="-2"/>
        </w:rPr>
        <w:t>至银川、兰州</w:t>
      </w:r>
      <w:r>
        <w:rPr>
          <w:rFonts w:ascii="宋体" w:hAnsi="宋体" w:cs="宋体" w:eastAsia="宋体" w:hint="default"/>
          <w:spacing w:val="-2"/>
        </w:rPr>
        <w:t>(</w:t>
      </w:r>
      <w:r>
        <w:rPr>
          <w:spacing w:val="-2"/>
        </w:rPr>
        <w:t>西宁</w:t>
      </w:r>
      <w:r>
        <w:rPr>
          <w:rFonts w:ascii="宋体" w:hAnsi="宋体" w:cs="宋体" w:eastAsia="宋体" w:hint="default"/>
          <w:spacing w:val="-2"/>
        </w:rPr>
        <w:t>)</w:t>
      </w:r>
      <w:r>
        <w:rPr>
          <w:spacing w:val="-2"/>
        </w:rPr>
        <w:t>至广州、北京至兰州、重庆至</w:t>
      </w:r>
      <w:hyperlink r:id="rId16">
        <w:r>
          <w:rPr>
            <w:spacing w:val="-2"/>
          </w:rPr>
          <w:t>厦门</w:t>
        </w:r>
      </w:hyperlink>
      <w:r>
        <w:rPr>
          <w:spacing w:val="-2"/>
        </w:rPr>
        <w:t>等高速铁路通道，拓展区域连接线。高速铁路营业里程达到</w:t>
      </w:r>
      <w:r>
        <w:rPr>
          <w:spacing w:val="-66"/>
        </w:rPr>
        <w:t> </w:t>
      </w:r>
      <w:r>
        <w:rPr>
          <w:spacing w:val="-66"/>
        </w:rPr>
      </w:r>
      <w:r>
        <w:rPr>
          <w:rFonts w:ascii="宋体" w:hAnsi="宋体" w:cs="宋体" w:eastAsia="宋体" w:hint="default"/>
        </w:rPr>
        <w:t>3</w:t>
      </w:r>
      <w:r>
        <w:rPr>
          <w:rFonts w:ascii="宋体" w:hAnsi="宋体" w:cs="宋体" w:eastAsia="宋体" w:hint="default"/>
          <w:spacing w:val="-46"/>
        </w:rPr>
        <w:t> </w:t>
      </w:r>
      <w:r>
        <w:rPr/>
        <w:t>万公里，覆盖</w:t>
      </w:r>
      <w:r>
        <w:rPr>
          <w:spacing w:val="-47"/>
        </w:rPr>
        <w:t> </w:t>
      </w:r>
      <w:r>
        <w:rPr>
          <w:rFonts w:ascii="宋体" w:hAnsi="宋体" w:cs="宋体" w:eastAsia="宋体" w:hint="default"/>
        </w:rPr>
        <w:t>80%</w:t>
      </w:r>
      <w:r>
        <w:rPr/>
        <w:t>以上的大城市。</w:t>
      </w:r>
    </w:p>
    <w:p>
      <w:pPr>
        <w:pStyle w:val="BodyText"/>
        <w:spacing w:line="240" w:lineRule="auto" w:before="59"/>
        <w:ind w:left="512" w:right="94"/>
        <w:jc w:val="left"/>
      </w:pPr>
      <w:r>
        <w:rPr/>
        <w:t>在“十三五”规划</w:t>
      </w:r>
      <w:r>
        <w:rPr>
          <w:spacing w:val="-92"/>
        </w:rPr>
        <w:t>、</w:t>
      </w:r>
      <w:r>
        <w:rPr/>
        <w:t>“一带一</w:t>
      </w:r>
      <w:r>
        <w:rPr>
          <w:spacing w:val="2"/>
        </w:rPr>
        <w:t>路</w:t>
      </w:r>
      <w:r>
        <w:rPr/>
        <w:t>”等利好政策的推动下，轨道交通产品将迎来广阔的发展空间和市场机遇。</w:t>
      </w:r>
    </w:p>
    <w:p>
      <w:pPr>
        <w:pStyle w:val="BodyText"/>
        <w:spacing w:line="357" w:lineRule="auto" w:before="117"/>
        <w:ind w:left="512" w:right="94" w:hanging="89"/>
        <w:jc w:val="left"/>
      </w:pPr>
      <w:r>
        <w:rPr/>
        <w:t>（</w:t>
      </w:r>
      <w:r>
        <w:rPr>
          <w:rFonts w:ascii="宋体" w:hAnsi="宋体" w:cs="宋体" w:eastAsia="宋体" w:hint="default"/>
        </w:rPr>
        <w:t>3</w:t>
      </w:r>
      <w:r>
        <w:rPr/>
        <w:t>）金融外包服务产业发展趋势 </w:t>
      </w:r>
      <w:r>
        <w:rPr>
          <w:spacing w:val="-2"/>
        </w:rPr>
        <w:t>随着银行运营成本压力的增大，智能设备布放量不断增多，为了提高核心竞争力，有效分配管理资源，将非核心的业务</w:t>
      </w:r>
    </w:p>
    <w:p>
      <w:pPr>
        <w:pStyle w:val="BodyText"/>
        <w:spacing w:line="237" w:lineRule="exact"/>
        <w:ind w:right="0"/>
        <w:jc w:val="both"/>
      </w:pPr>
      <w:r>
        <w:rPr/>
        <w:t>外包就成为银行不可避免的发展趋势。</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外包服务包括营运管理、运维管理、现金管理及安全管理等四个业务环节，根</w:t>
      </w:r>
    </w:p>
    <w:p>
      <w:pPr>
        <w:pStyle w:val="BodyText"/>
        <w:spacing w:line="307" w:lineRule="auto" w:before="62"/>
        <w:ind w:left="153" w:right="190" w:hanging="1"/>
        <w:jc w:val="both"/>
      </w:pPr>
      <w:r>
        <w:rPr>
          <w:spacing w:val="-5"/>
        </w:rPr>
        <w:t>据测算，银行将上述四个业务环节外包，一台</w:t>
      </w:r>
      <w:r>
        <w:rPr>
          <w:spacing w:val="-4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
        </w:rPr>
        <w:t> </w:t>
      </w:r>
      <w:r>
        <w:rPr/>
        <w:t>每年需要支付</w:t>
      </w:r>
      <w:r>
        <w:rPr>
          <w:spacing w:val="-44"/>
        </w:rPr>
        <w:t> </w:t>
      </w:r>
      <w:r>
        <w:rPr>
          <w:rFonts w:ascii="Times New Roman" w:hAnsi="Times New Roman" w:cs="Times New Roman" w:eastAsia="Times New Roman" w:hint="default"/>
        </w:rPr>
        <w:t>8-10</w:t>
      </w:r>
      <w:r>
        <w:rPr>
          <w:rFonts w:ascii="Times New Roman" w:hAnsi="Times New Roman" w:cs="Times New Roman" w:eastAsia="Times New Roman" w:hint="default"/>
          <w:spacing w:val="2"/>
        </w:rPr>
        <w:t> </w:t>
      </w:r>
      <w:r>
        <w:rPr>
          <w:spacing w:val="-6"/>
        </w:rPr>
        <w:t>万元的费用。假设</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年底国内联网</w:t>
      </w:r>
      <w:r>
        <w:rPr>
          <w:spacing w:val="-46"/>
        </w:rPr>
        <w:t> </w:t>
      </w:r>
      <w:r>
        <w:rPr>
          <w:rFonts w:ascii="Times New Roman" w:hAnsi="Times New Roman" w:cs="Times New Roman" w:eastAsia="Times New Roman" w:hint="default"/>
        </w:rPr>
        <w:t>70</w:t>
      </w:r>
      <w:r>
        <w:rPr>
          <w:rFonts w:ascii="Times New Roman" w:hAnsi="Times New Roman" w:cs="Times New Roman" w:eastAsia="Times New Roman" w:hint="default"/>
          <w:spacing w:val="2"/>
        </w:rPr>
        <w:t> </w:t>
      </w:r>
      <w:r>
        <w:rPr/>
        <w:t>多万台</w:t>
      </w:r>
      <w:r>
        <w:rPr>
          <w:spacing w:val="-44"/>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w w:val="99"/>
        </w:rPr>
        <w:t> </w:t>
      </w:r>
      <w:r>
        <w:rPr/>
        <w:t>将以上业务环节全部外包，我国</w:t>
      </w:r>
      <w:r>
        <w:rPr>
          <w:spacing w:val="-49"/>
        </w:rPr>
        <w:t>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3"/>
        </w:rPr>
        <w:t> </w:t>
      </w:r>
      <w:r>
        <w:rPr/>
        <w:t>外包服务市场每年将存在约</w:t>
      </w:r>
      <w:r>
        <w:rPr>
          <w:spacing w:val="-49"/>
        </w:rPr>
        <w:t> </w:t>
      </w:r>
      <w:r>
        <w:rPr>
          <w:rFonts w:ascii="Times New Roman" w:hAnsi="Times New Roman" w:cs="Times New Roman" w:eastAsia="Times New Roman" w:hint="default"/>
        </w:rPr>
        <w:t>700</w:t>
      </w:r>
      <w:r>
        <w:rPr>
          <w:rFonts w:ascii="Times New Roman" w:hAnsi="Times New Roman" w:cs="Times New Roman" w:eastAsia="Times New Roman" w:hint="default"/>
          <w:spacing w:val="-3"/>
        </w:rPr>
        <w:t> </w:t>
      </w:r>
      <w:r>
        <w:rPr/>
        <w:t>亿元的潜在市场空间。随着信息技术的深入发展，云 </w:t>
      </w:r>
      <w:r>
        <w:rPr>
          <w:spacing w:val="-2"/>
        </w:rPr>
        <w:t>计算、大数据、移动金融的发展和应用大大拓展了金融服务的广度和深度，改变了外包业务的结构，形成了由低端业务向高</w:t>
      </w:r>
      <w:r>
        <w:rPr>
          <w:spacing w:val="-65"/>
        </w:rPr>
        <w:t> </w:t>
      </w:r>
      <w:r>
        <w:rPr>
          <w:spacing w:val="-65"/>
        </w:rPr>
      </w:r>
      <w:r>
        <w:rPr/>
        <w:t>端、复杂、核心业务发展的趋势。</w:t>
      </w:r>
    </w:p>
    <w:p>
      <w:pPr>
        <w:pStyle w:val="BodyText"/>
        <w:spacing w:line="316" w:lineRule="auto" w:before="67"/>
        <w:ind w:left="153" w:right="192" w:firstLine="360"/>
        <w:jc w:val="both"/>
      </w:pPr>
      <w:r>
        <w:rPr/>
        <w:t>作为金融服务外包业务中起到闭环作用的押运业务，</w:t>
      </w:r>
      <w:r>
        <w:rPr>
          <w:rFonts w:ascii="宋体" w:hAnsi="宋体" w:cs="宋体" w:eastAsia="宋体" w:hint="default"/>
        </w:rPr>
        <w:t>2009</w:t>
      </w:r>
      <w:r>
        <w:rPr>
          <w:rFonts w:ascii="宋体" w:hAnsi="宋体" w:cs="宋体" w:eastAsia="宋体" w:hint="default"/>
          <w:spacing w:val="2"/>
        </w:rPr>
        <w:t> </w:t>
      </w:r>
      <w:r>
        <w:rPr/>
        <w:t>年国务院发布《保安服务管理条例》要求公安机关保安企业 脱钩改制。</w:t>
      </w:r>
      <w:r>
        <w:rPr>
          <w:rFonts w:ascii="宋体" w:hAnsi="宋体" w:cs="宋体" w:eastAsia="宋体" w:hint="default"/>
        </w:rPr>
        <w:t>2012</w:t>
      </w:r>
      <w:r>
        <w:rPr>
          <w:rFonts w:ascii="宋体" w:hAnsi="宋体" w:cs="宋体" w:eastAsia="宋体" w:hint="default"/>
          <w:spacing w:val="-35"/>
        </w:rPr>
        <w:t> </w:t>
      </w:r>
      <w:r>
        <w:rPr/>
        <w:t>年</w:t>
      </w:r>
      <w:r>
        <w:rPr>
          <w:spacing w:val="-39"/>
        </w:rPr>
        <w:t> </w:t>
      </w:r>
      <w:r>
        <w:rPr>
          <w:rFonts w:ascii="宋体" w:hAnsi="宋体" w:cs="宋体" w:eastAsia="宋体" w:hint="default"/>
        </w:rPr>
        <w:t>12</w:t>
      </w:r>
      <w:r>
        <w:rPr>
          <w:rFonts w:ascii="宋体" w:hAnsi="宋体" w:cs="宋体" w:eastAsia="宋体" w:hint="default"/>
          <w:spacing w:val="-35"/>
        </w:rPr>
        <w:t> </w:t>
      </w:r>
      <w:r>
        <w:rPr>
          <w:spacing w:val="-3"/>
        </w:rPr>
        <w:t>月公安部发布《关于加快推进公安机关保安企业脱钩改制工作的通知》，要求在</w:t>
      </w:r>
      <w:r>
        <w:rPr>
          <w:spacing w:val="-37"/>
        </w:rPr>
        <w:t> </w:t>
      </w:r>
      <w:r>
        <w:rPr>
          <w:rFonts w:ascii="宋体" w:hAnsi="宋体" w:cs="宋体" w:eastAsia="宋体" w:hint="default"/>
        </w:rPr>
        <w:t>2013</w:t>
      </w:r>
      <w:r>
        <w:rPr>
          <w:rFonts w:ascii="宋体" w:hAnsi="宋体" w:cs="宋体" w:eastAsia="宋体" w:hint="default"/>
          <w:spacing w:val="-35"/>
        </w:rPr>
        <w:t> </w:t>
      </w:r>
      <w:r>
        <w:rPr/>
        <w:t>年</w:t>
      </w:r>
      <w:r>
        <w:rPr>
          <w:spacing w:val="-37"/>
        </w:rPr>
        <w:t> </w:t>
      </w:r>
      <w:r>
        <w:rPr>
          <w:rFonts w:ascii="宋体" w:hAnsi="宋体" w:cs="宋体" w:eastAsia="宋体" w:hint="default"/>
          <w:spacing w:val="-1"/>
        </w:rPr>
        <w:t>12</w:t>
      </w:r>
      <w:r>
        <w:rPr>
          <w:rFonts w:ascii="宋体" w:hAnsi="宋体" w:cs="宋体" w:eastAsia="宋体" w:hint="default"/>
          <w:spacing w:val="-35"/>
        </w:rPr>
        <w:t> </w:t>
      </w:r>
      <w:r>
        <w:rPr>
          <w:spacing w:val="-1"/>
        </w:rPr>
        <w:t>月之前完</w:t>
      </w:r>
      <w:r>
        <w:rPr/>
        <w:t> 成改制，但是进展依旧缓慢。针对改制工作缓慢状况，</w:t>
      </w:r>
      <w:r>
        <w:rPr>
          <w:rFonts w:ascii="宋体" w:hAnsi="宋体" w:cs="宋体" w:eastAsia="宋体" w:hint="default"/>
        </w:rPr>
        <w:t>2014</w:t>
      </w:r>
      <w:r>
        <w:rPr>
          <w:rFonts w:ascii="宋体" w:hAnsi="宋体" w:cs="宋体" w:eastAsia="宋体" w:hint="default"/>
          <w:spacing w:val="5"/>
        </w:rPr>
        <w:t> </w:t>
      </w:r>
      <w:r>
        <w:rPr/>
        <w:t>年以来，公安部相继派出督导组，推动各地武装押运公司脱钩 改制工作。</w:t>
      </w:r>
      <w:r>
        <w:rPr>
          <w:rFonts w:ascii="宋体" w:hAnsi="宋体" w:cs="宋体" w:eastAsia="宋体" w:hint="default"/>
        </w:rPr>
        <w:t>2015</w:t>
      </w:r>
      <w:r>
        <w:rPr>
          <w:rFonts w:ascii="宋体" w:hAnsi="宋体" w:cs="宋体" w:eastAsia="宋体" w:hint="default"/>
          <w:spacing w:val="4"/>
        </w:rPr>
        <w:t> </w:t>
      </w:r>
      <w:r>
        <w:rPr/>
        <w:t>年保安企业脱钩改制明显加快，未来几年将会是公司加速收购武装押运公司，打造金融外包服务全产业链 的好契机。</w:t>
      </w:r>
    </w:p>
    <w:p>
      <w:pPr>
        <w:pStyle w:val="BodyText"/>
        <w:spacing w:line="240" w:lineRule="auto" w:before="59"/>
        <w:ind w:left="424" w:right="94"/>
        <w:jc w:val="left"/>
      </w:pPr>
      <w:r>
        <w:rPr/>
        <w:t>（</w:t>
      </w:r>
      <w:r>
        <w:rPr>
          <w:rFonts w:ascii="Times New Roman" w:hAnsi="Times New Roman" w:cs="Times New Roman" w:eastAsia="Times New Roman" w:hint="default"/>
        </w:rPr>
        <w:t>4</w:t>
      </w:r>
      <w:r>
        <w:rPr/>
        <w:t>）清分机市场发展趋势</w:t>
      </w:r>
    </w:p>
    <w:p>
      <w:pPr>
        <w:pStyle w:val="BodyText"/>
        <w:spacing w:line="307" w:lineRule="auto" w:before="101"/>
        <w:ind w:left="153" w:right="192"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年受新版人民币升级延迟采购、总行入围采购工作延迟、银行业利润收窄以及部分产品趋于饱和等因素的影响， </w:t>
      </w:r>
      <w:r>
        <w:rPr>
          <w:spacing w:val="-2"/>
        </w:rPr>
        <w:t>清分机市场整体采购规模有所下降，价格也有较大降幅。但随着人民银行发布《中国人民银行货币金银局关于进一步做好冠</w:t>
      </w:r>
      <w:r>
        <w:rPr>
          <w:spacing w:val="-66"/>
        </w:rPr>
        <w:t> </w:t>
      </w:r>
      <w:r>
        <w:rPr>
          <w:spacing w:val="-66"/>
        </w:rPr>
      </w:r>
      <w:r>
        <w:rPr>
          <w:spacing w:val="-8"/>
        </w:rPr>
        <w:t>字号码查询工作的通知》、《银发办〔</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225</w:t>
      </w:r>
      <w:r>
        <w:rPr>
          <w:rFonts w:ascii="Times New Roman" w:hAnsi="Times New Roman" w:cs="Times New Roman" w:eastAsia="Times New Roman" w:hint="default"/>
          <w:spacing w:val="29"/>
        </w:rPr>
        <w:t> </w:t>
      </w:r>
      <w:r>
        <w:rPr>
          <w:spacing w:val="-3"/>
        </w:rPr>
        <w:t>号文件对于残损新旧版人民币分类处理的要求》、人民银行开始探索现金物</w:t>
      </w:r>
      <w:r>
        <w:rPr>
          <w:spacing w:val="-87"/>
        </w:rPr>
        <w:t> </w:t>
      </w:r>
      <w:r>
        <w:rPr>
          <w:spacing w:val="-87"/>
        </w:rPr>
      </w:r>
      <w:r>
        <w:rPr/>
        <w:t>流试点等政策的全面贯彻和推进，以及</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年五大行可能进行新一轮的选型招标、多种类型的社会化外包服务机构在清分</w:t>
      </w:r>
    </w:p>
    <w:p>
      <w:pPr>
        <w:pStyle w:val="BodyText"/>
        <w:spacing w:line="240" w:lineRule="auto" w:before="7"/>
        <w:ind w:left="153" w:right="0"/>
        <w:jc w:val="both"/>
      </w:pPr>
      <w:r>
        <w:rPr/>
        <w:t>机和流水线等产品的需求快速增长等影响下，尤其是</w:t>
      </w:r>
      <w:r>
        <w:rPr>
          <w:spacing w:val="-42"/>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版百元新币发行后，银行恢复采购的重要影响下，预计清分机和流</w:t>
      </w:r>
    </w:p>
    <w:p>
      <w:pPr>
        <w:pStyle w:val="BodyText"/>
        <w:spacing w:line="240" w:lineRule="auto" w:before="62"/>
        <w:ind w:left="153" w:right="0"/>
        <w:jc w:val="both"/>
      </w:pPr>
      <w:r>
        <w:rPr/>
        <w:t>水线等产品在</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年将恢复之前的采购量和市场增速。</w:t>
      </w:r>
    </w:p>
    <w:p>
      <w:pPr>
        <w:spacing w:after="0" w:line="240"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512" w:right="94"/>
        <w:jc w:val="left"/>
      </w:pPr>
      <w:r>
        <w:rPr>
          <w:rFonts w:ascii="Times New Roman" w:hAnsi="Times New Roman" w:cs="Times New Roman" w:eastAsia="Times New Roman" w:hint="default"/>
        </w:rPr>
        <w:t>2</w:t>
      </w:r>
      <w:r>
        <w:rPr/>
        <w:t>、市场竞争格局</w:t>
      </w:r>
    </w:p>
    <w:p>
      <w:pPr>
        <w:pStyle w:val="BodyText"/>
        <w:spacing w:line="240" w:lineRule="auto" w:before="103"/>
        <w:ind w:left="423" w:right="94"/>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1"/>
        </w:rPr>
        <w:t> </w:t>
      </w:r>
      <w:r>
        <w:rPr/>
        <w:t>市场竞争格局</w:t>
      </w:r>
    </w:p>
    <w:p>
      <w:pPr>
        <w:pStyle w:val="BodyText"/>
        <w:spacing w:line="300" w:lineRule="auto" w:before="101"/>
        <w:ind w:right="191" w:firstLine="36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年国际</w:t>
      </w:r>
      <w:r>
        <w:rPr>
          <w:spacing w:val="-42"/>
        </w:rPr>
        <w:t> </w:t>
      </w:r>
      <w:r>
        <w:rPr>
          <w:rFonts w:ascii="Times New Roman" w:hAnsi="Times New Roman" w:cs="Times New Roman" w:eastAsia="Times New Roman" w:hint="default"/>
          <w:spacing w:val="-8"/>
          <w:w w:val="99"/>
        </w:rPr>
        <w:t>ATM</w:t>
      </w:r>
      <w:r>
        <w:rPr>
          <w:rFonts w:ascii="Times New Roman" w:hAnsi="Times New Roman" w:cs="Times New Roman" w:eastAsia="Times New Roman" w:hint="default"/>
          <w:spacing w:val="4"/>
          <w:w w:val="99"/>
        </w:rPr>
        <w:t> </w:t>
      </w:r>
      <w:r>
        <w:rPr/>
        <w:t>市场出现两宗大型并购，一是</w:t>
      </w:r>
      <w:r>
        <w:rPr>
          <w:spacing w:val="-42"/>
        </w:rPr>
        <w:t> </w:t>
      </w:r>
      <w:r>
        <w:rPr>
          <w:rFonts w:ascii="Times New Roman" w:hAnsi="Times New Roman" w:cs="Times New Roman" w:eastAsia="Times New Roman" w:hint="default"/>
          <w:spacing w:val="-1"/>
          <w:w w:val="99"/>
        </w:rPr>
        <w:t>Diebold</w:t>
      </w:r>
      <w:r>
        <w:rPr>
          <w:spacing w:val="-1"/>
          <w:w w:val="99"/>
        </w:rPr>
        <w:t>（迪堡）收购</w:t>
      </w:r>
      <w:r>
        <w:rPr>
          <w:spacing w:val="-42"/>
          <w:w w:val="99"/>
        </w:rPr>
        <w:t> </w:t>
      </w:r>
      <w:r>
        <w:rPr>
          <w:rFonts w:ascii="Times New Roman" w:hAnsi="Times New Roman" w:cs="Times New Roman" w:eastAsia="Times New Roman" w:hint="default"/>
          <w:spacing w:val="-2"/>
        </w:rPr>
        <w:t>Wincor</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5"/>
          <w:w w:val="99"/>
        </w:rPr>
        <w:t>Nixdorf</w:t>
      </w:r>
      <w:r>
        <w:rPr>
          <w:spacing w:val="-5"/>
          <w:w w:val="99"/>
        </w:rPr>
        <w:t>（德利多富），成为世界上最大的</w:t>
      </w:r>
      <w:r>
        <w:rPr/>
        <w:t> </w:t>
      </w:r>
      <w:r>
        <w:rPr>
          <w:rFonts w:ascii="Times New Roman" w:hAnsi="Times New Roman" w:cs="Times New Roman" w:eastAsia="Times New Roman" w:hint="default"/>
          <w:spacing w:val="-8"/>
        </w:rPr>
        <w:t>ATM </w:t>
      </w:r>
      <w:r>
        <w:rPr/>
        <w:t>机制造商；二是 </w:t>
      </w:r>
      <w:r>
        <w:rPr>
          <w:rFonts w:ascii="Times New Roman" w:hAnsi="Times New Roman" w:cs="Times New Roman" w:eastAsia="Times New Roman" w:hint="default"/>
        </w:rPr>
        <w:t>NCR </w:t>
      </w:r>
      <w:r>
        <w:rPr/>
        <w:t>获得黑石集团</w:t>
      </w:r>
      <w:r>
        <w:rPr>
          <w:rFonts w:ascii="Times New Roman" w:hAnsi="Times New Roman" w:cs="Times New Roman" w:eastAsia="Times New Roman" w:hint="default"/>
        </w:rPr>
        <w:t>(Blackstone)8.2 </w:t>
      </w:r>
      <w:r>
        <w:rPr/>
        <w:t>亿美元战略投资，将软件和服务整合为一，加速了 </w:t>
      </w:r>
      <w:r>
        <w:rPr>
          <w:rFonts w:ascii="Times New Roman" w:hAnsi="Times New Roman" w:cs="Times New Roman" w:eastAsia="Times New Roman" w:hint="default"/>
        </w:rPr>
        <w:t>NCR</w:t>
      </w:r>
      <w:r>
        <w:rPr>
          <w:rFonts w:ascii="Times New Roman" w:hAnsi="Times New Roman" w:cs="Times New Roman" w:eastAsia="Times New Roman" w:hint="default"/>
          <w:spacing w:val="-7"/>
        </w:rPr>
        <w:t> </w:t>
      </w:r>
      <w:r>
        <w:rPr/>
        <w:t>的转型。 </w:t>
      </w:r>
      <w:r>
        <w:rPr>
          <w:spacing w:val="-7"/>
        </w:rPr>
        <w:t>可见，国际市场的竞争更加集中，公司的主要竞争对手依然是</w:t>
      </w:r>
      <w:r>
        <w:rPr>
          <w:spacing w:val="-41"/>
        </w:rPr>
        <w:t> </w:t>
      </w:r>
      <w:r>
        <w:rPr>
          <w:rFonts w:ascii="Times New Roman" w:hAnsi="Times New Roman" w:cs="Times New Roman" w:eastAsia="Times New Roman" w:hint="default"/>
          <w:spacing w:val="-18"/>
          <w:w w:val="99"/>
        </w:rPr>
        <w:t>Diebold</w:t>
      </w:r>
      <w:r>
        <w:rPr>
          <w:spacing w:val="-18"/>
          <w:w w:val="99"/>
        </w:rPr>
        <w:t>、</w:t>
      </w:r>
      <w:r>
        <w:rPr>
          <w:rFonts w:ascii="Times New Roman" w:hAnsi="Times New Roman" w:cs="Times New Roman" w:eastAsia="Times New Roman" w:hint="default"/>
          <w:spacing w:val="-18"/>
          <w:w w:val="99"/>
        </w:rPr>
        <w:t>Hitach</w:t>
      </w:r>
      <w:r>
        <w:rPr>
          <w:spacing w:val="-18"/>
          <w:w w:val="99"/>
        </w:rPr>
        <w:t>（</w:t>
      </w:r>
      <w:r>
        <w:rPr>
          <w:rFonts w:ascii="Times New Roman" w:hAnsi="Times New Roman" w:cs="Times New Roman" w:eastAsia="Times New Roman" w:hint="default"/>
          <w:spacing w:val="-18"/>
          <w:w w:val="99"/>
        </w:rPr>
        <w:t>i</w:t>
      </w:r>
      <w:r>
        <w:rPr>
          <w:rFonts w:ascii="Times New Roman" w:hAnsi="Times New Roman" w:cs="Times New Roman" w:eastAsia="Times New Roman" w:hint="default"/>
          <w:spacing w:val="10"/>
          <w:w w:val="99"/>
        </w:rPr>
        <w:t> </w:t>
      </w:r>
      <w:r>
        <w:rPr>
          <w:spacing w:val="-17"/>
          <w:w w:val="99"/>
        </w:rPr>
        <w:t>日立）、</w:t>
      </w:r>
      <w:r>
        <w:rPr>
          <w:rFonts w:ascii="Times New Roman" w:hAnsi="Times New Roman" w:cs="Times New Roman" w:eastAsia="Times New Roman" w:hint="default"/>
          <w:spacing w:val="-17"/>
          <w:w w:val="99"/>
        </w:rPr>
        <w:t>NCR</w:t>
      </w:r>
      <w:r>
        <w:rPr>
          <w:spacing w:val="-17"/>
          <w:w w:val="99"/>
        </w:rPr>
        <w:t>、</w:t>
      </w:r>
      <w:r>
        <w:rPr>
          <w:rFonts w:ascii="Times New Roman" w:hAnsi="Times New Roman" w:cs="Times New Roman" w:eastAsia="Times New Roman" w:hint="default"/>
          <w:spacing w:val="-17"/>
          <w:w w:val="99"/>
        </w:rPr>
        <w:t>Nautilus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9"/>
          <w:w w:val="99"/>
        </w:rPr>
        <w:t>Hyosung</w:t>
      </w:r>
      <w:r>
        <w:rPr>
          <w:spacing w:val="-9"/>
          <w:w w:val="99"/>
        </w:rPr>
        <w:t>、</w:t>
      </w:r>
      <w:r>
        <w:rPr>
          <w:rFonts w:ascii="Times New Roman" w:hAnsi="Times New Roman" w:cs="Times New Roman" w:eastAsia="Times New Roman" w:hint="default"/>
          <w:spacing w:val="-9"/>
          <w:w w:val="99"/>
        </w:rPr>
        <w:t>OKI</w:t>
      </w:r>
      <w:r>
        <w:rPr>
          <w:rFonts w:ascii="Times New Roman" w:hAnsi="Times New Roman" w:cs="Times New Roman" w:eastAsia="Times New Roman" w:hint="default"/>
          <w:spacing w:val="10"/>
          <w:w w:val="99"/>
        </w:rPr>
        <w:t> </w:t>
      </w:r>
      <w:r>
        <w:rPr/>
        <w:t>和</w:t>
      </w:r>
      <w:r>
        <w:rPr>
          <w:spacing w:val="10"/>
        </w:rPr>
        <w:t> </w:t>
      </w:r>
      <w:r>
        <w:rPr>
          <w:rFonts w:ascii="Times New Roman" w:hAnsi="Times New Roman" w:cs="Times New Roman" w:eastAsia="Times New Roman" w:hint="default"/>
          <w:spacing w:val="-2"/>
        </w:rPr>
        <w:t>Wincor</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spacing w:val="-7"/>
          <w:w w:val="99"/>
        </w:rPr>
        <w:t>Nixdorf</w:t>
      </w:r>
      <w:r>
        <w:rPr>
          <w:spacing w:val="-7"/>
          <w:w w:val="99"/>
        </w:rPr>
        <w:t>（按字母顺序）。</w:t>
      </w:r>
    </w:p>
    <w:p>
      <w:pPr>
        <w:pStyle w:val="BodyText"/>
        <w:spacing w:line="300" w:lineRule="auto" w:before="53"/>
        <w:ind w:right="99" w:firstLine="360"/>
        <w:jc w:val="left"/>
      </w:pPr>
      <w:r>
        <w:rPr/>
        <w:t>目前，中国作为全球第一大 </w:t>
      </w:r>
      <w:r>
        <w:rPr>
          <w:rFonts w:ascii="Times New Roman" w:hAnsi="Times New Roman" w:cs="Times New Roman" w:eastAsia="Times New Roman" w:hint="default"/>
          <w:spacing w:val="-7"/>
        </w:rPr>
        <w:t>ATM</w:t>
      </w:r>
      <w:r>
        <w:rPr>
          <w:rFonts w:ascii="Times New Roman" w:hAnsi="Times New Roman" w:cs="Times New Roman" w:eastAsia="Times New Roman" w:hint="default"/>
          <w:spacing w:val="-23"/>
        </w:rPr>
        <w:t> </w:t>
      </w:r>
      <w:r>
        <w:rPr>
          <w:spacing w:val="-3"/>
        </w:rPr>
        <w:t>市场，主要的设备供应商有：广电运通、</w:t>
      </w:r>
      <w:r>
        <w:rPr>
          <w:rFonts w:ascii="Times New Roman" w:hAnsi="Times New Roman" w:cs="Times New Roman" w:eastAsia="Times New Roman" w:hint="default"/>
          <w:spacing w:val="-3"/>
        </w:rPr>
        <w:t>Hitachi</w:t>
      </w:r>
      <w:r>
        <w:rPr>
          <w:spacing w:val="-3"/>
        </w:rPr>
        <w:t>、怡化、御银股份、恒银、东方通信、</w:t>
      </w:r>
      <w:r>
        <w:rPr/>
        <w:t> </w:t>
      </w:r>
      <w:r>
        <w:rPr>
          <w:rFonts w:ascii="Times New Roman" w:hAnsi="Times New Roman" w:cs="Times New Roman" w:eastAsia="Times New Roman" w:hint="default"/>
        </w:rPr>
        <w:t>OKI</w:t>
      </w:r>
      <w:r>
        <w:rPr/>
        <w:t>、</w:t>
      </w:r>
      <w:r>
        <w:rPr>
          <w:rFonts w:ascii="Times New Roman" w:hAnsi="Times New Roman" w:cs="Times New Roman" w:eastAsia="Times New Roman" w:hint="default"/>
        </w:rPr>
        <w:t>Diebold</w:t>
      </w:r>
      <w:r>
        <w:rPr/>
        <w:t>、</w:t>
      </w:r>
      <w:r>
        <w:rPr>
          <w:rFonts w:ascii="Times New Roman" w:hAnsi="Times New Roman" w:cs="Times New Roman" w:eastAsia="Times New Roman" w:hint="default"/>
        </w:rPr>
        <w:t>NCR</w:t>
      </w:r>
      <w:r>
        <w:rPr>
          <w:rFonts w:ascii="Times New Roman" w:hAnsi="Times New Roman" w:cs="Times New Roman" w:eastAsia="Times New Roman" w:hint="default"/>
          <w:spacing w:val="-15"/>
        </w:rPr>
        <w:t> </w:t>
      </w:r>
      <w:r>
        <w:rPr/>
        <w:t>与</w:t>
      </w:r>
      <w:r>
        <w:rPr>
          <w:spacing w:val="-60"/>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16"/>
        </w:rPr>
        <w:t> </w:t>
      </w:r>
      <w:r>
        <w:rPr>
          <w:rFonts w:ascii="Times New Roman" w:hAnsi="Times New Roman" w:cs="Times New Roman" w:eastAsia="Times New Roman" w:hint="default"/>
        </w:rPr>
        <w:t>Nixdorf</w:t>
      </w:r>
      <w:r>
        <w:rPr/>
        <w:t>；其中，广电运通、</w:t>
      </w:r>
      <w:r>
        <w:rPr>
          <w:rFonts w:ascii="Times New Roman" w:hAnsi="Times New Roman" w:cs="Times New Roman" w:eastAsia="Times New Roman" w:hint="default"/>
        </w:rPr>
        <w:t>Hitachi</w:t>
      </w:r>
      <w:r>
        <w:rPr/>
        <w:t>、怡化三家总销售份额在</w:t>
      </w:r>
      <w:r>
        <w:rPr>
          <w:spacing w:val="-60"/>
        </w:rPr>
        <w:t> </w:t>
      </w:r>
      <w:r>
        <w:rPr>
          <w:rFonts w:ascii="Times New Roman" w:hAnsi="Times New Roman" w:cs="Times New Roman" w:eastAsia="Times New Roman" w:hint="default"/>
        </w:rPr>
        <w:t>50%</w:t>
      </w:r>
      <w:r>
        <w:rPr/>
        <w:t>以上。受国家在关键领域信 息技术安全可控的要求，国外厂商在中国市场均出现销量下滑：欧美品牌（</w:t>
      </w:r>
      <w:r>
        <w:rPr>
          <w:rFonts w:ascii="Times New Roman" w:hAnsi="Times New Roman" w:cs="Times New Roman" w:eastAsia="Times New Roman" w:hint="default"/>
        </w:rPr>
        <w:t>NCR</w:t>
      </w:r>
      <w:r>
        <w:rPr/>
        <w:t>、迪堡、德利多富）的销量近三年出现明</w:t>
      </w:r>
      <w:r>
        <w:rPr>
          <w:spacing w:val="-15"/>
        </w:rPr>
        <w:t> </w:t>
      </w:r>
      <w:r>
        <w:rPr>
          <w:spacing w:val="-15"/>
        </w:rPr>
      </w:r>
      <w:r>
        <w:rPr/>
        <w:t>显持续下滑；日系品牌（日立、</w:t>
      </w:r>
      <w:r>
        <w:rPr>
          <w:rFonts w:ascii="Times New Roman" w:hAnsi="Times New Roman" w:cs="Times New Roman" w:eastAsia="Times New Roman" w:hint="default"/>
        </w:rPr>
        <w:t>OKI</w:t>
      </w:r>
      <w:r>
        <w:rPr/>
        <w:t>）在</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年销量均出现轻微下滑。</w:t>
      </w:r>
    </w:p>
    <w:p>
      <w:pPr>
        <w:pStyle w:val="BodyText"/>
        <w:spacing w:line="300" w:lineRule="auto" w:before="53"/>
        <w:ind w:right="86" w:firstLine="360"/>
        <w:jc w:val="left"/>
      </w:pPr>
      <w:r>
        <w:rPr>
          <w:spacing w:val="-3"/>
        </w:rPr>
        <w:t>公司作为国内最大的民族品牌厂商，是国内唯一一家掌握循环机核心技术的厂家，带头起草了中国</w:t>
      </w:r>
      <w:r>
        <w:rPr>
          <w:spacing w:val="-42"/>
        </w:rPr>
        <w:t> </w:t>
      </w:r>
      <w:r>
        <w:rPr>
          <w:rFonts w:ascii="Times New Roman" w:hAnsi="Times New Roman" w:cs="Times New Roman" w:eastAsia="Times New Roman" w:hint="default"/>
        </w:rPr>
        <w:t>VTM</w:t>
      </w:r>
      <w:r>
        <w:rPr>
          <w:rFonts w:ascii="Times New Roman" w:hAnsi="Times New Roman" w:cs="Times New Roman" w:eastAsia="Times New Roman" w:hint="default"/>
          <w:spacing w:val="4"/>
        </w:rPr>
        <w:t> </w:t>
      </w:r>
      <w:r>
        <w:rPr/>
        <w:t>国家标准体系、 牵头制定了四项生物特征识别国家标准，技术与成本优势明显。 </w:t>
      </w:r>
      <w:r>
        <w:rPr>
          <w:rFonts w:ascii="Times New Roman" w:hAnsi="Times New Roman" w:cs="Times New Roman" w:eastAsia="Times New Roman" w:hint="default"/>
        </w:rPr>
        <w:t>2015 </w:t>
      </w:r>
      <w:r>
        <w:rPr/>
        <w:t>年，公司在国内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2"/>
        </w:rPr>
        <w:t> </w:t>
      </w:r>
      <w:r>
        <w:rPr/>
        <w:t>市场继续保持领先地位，市场 销售量连续第八年位居第一。</w:t>
      </w:r>
    </w:p>
    <w:p>
      <w:pPr>
        <w:pStyle w:val="BodyText"/>
        <w:spacing w:line="340" w:lineRule="auto" w:before="70"/>
        <w:ind w:left="513" w:right="94" w:hanging="89"/>
        <w:jc w:val="left"/>
      </w:pPr>
      <w:r>
        <w:rPr/>
        <w:t>（</w:t>
      </w:r>
      <w:r>
        <w:rPr>
          <w:rFonts w:ascii="Times New Roman" w:hAnsi="Times New Roman" w:cs="Times New Roman" w:eastAsia="Times New Roman" w:hint="default"/>
        </w:rPr>
        <w:t>2</w:t>
      </w:r>
      <w:r>
        <w:rPr/>
        <w:t>）轨道交通市场竞争格局 </w:t>
      </w:r>
      <w:r>
        <w:rPr>
          <w:spacing w:val="-2"/>
        </w:rPr>
        <w:t>我国城市轨道交通的投资主体是各个城市的地方政府，行政上互不隶属，对于当地城市轨道交通建设都拥有充分的自主</w:t>
      </w:r>
    </w:p>
    <w:p>
      <w:pPr>
        <w:pStyle w:val="BodyText"/>
        <w:spacing w:line="309" w:lineRule="auto"/>
        <w:ind w:left="153" w:right="189"/>
        <w:jc w:val="both"/>
      </w:pPr>
      <w:r>
        <w:rPr>
          <w:spacing w:val="-2"/>
        </w:rPr>
        <w:t>权，这就使得参与该行业竞争的商家很多，除广电运通外，还包括上海的邮通、华虹计通、华铭、华腾；南京熊猫、北京方</w:t>
      </w:r>
      <w:r>
        <w:rPr>
          <w:spacing w:val="-65"/>
        </w:rPr>
        <w:t> </w:t>
      </w:r>
      <w:r>
        <w:rPr>
          <w:spacing w:val="-65"/>
        </w:rPr>
      </w:r>
      <w:r>
        <w:rPr>
          <w:spacing w:val="-2"/>
        </w:rPr>
        <w:t>正、中国软件、浙大网新、深圳现代、三星数据、</w:t>
      </w:r>
      <w:r>
        <w:rPr>
          <w:rFonts w:ascii="Times New Roman" w:hAnsi="Times New Roman" w:cs="Times New Roman" w:eastAsia="Times New Roman" w:hint="default"/>
          <w:spacing w:val="-2"/>
        </w:rPr>
        <w:t>MEI</w:t>
      </w:r>
      <w:r>
        <w:rPr>
          <w:spacing w:val="-2"/>
        </w:rPr>
        <w:t>、捷得、富士通等，其中模块销售方面，广电运通主要的竞争对手是</w:t>
      </w:r>
      <w:r>
        <w:rPr>
          <w:spacing w:val="-37"/>
        </w:rPr>
        <w:t> </w:t>
      </w:r>
      <w:r>
        <w:rPr>
          <w:spacing w:val="-37"/>
        </w:rPr>
      </w:r>
      <w:r>
        <w:rPr>
          <w:rFonts w:ascii="Times New Roman" w:hAnsi="Times New Roman" w:cs="Times New Roman" w:eastAsia="Times New Roman" w:hint="default"/>
        </w:rPr>
        <w:t>MEI</w:t>
      </w:r>
      <w:r>
        <w:rPr/>
        <w:t>、捷得、富士通、高见泽、欧姆龙等外资企业。在高铁领域，</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年，公司继续保持在高铁自动售票机市场上的领先</w:t>
      </w:r>
      <w:r>
        <w:rPr>
          <w:spacing w:val="-86"/>
        </w:rPr>
        <w:t> </w:t>
      </w:r>
      <w:r>
        <w:rPr>
          <w:spacing w:val="-86"/>
        </w:rPr>
      </w:r>
      <w:r>
        <w:rPr>
          <w:spacing w:val="-2"/>
        </w:rPr>
        <w:t>地位，形成垄断核心模块的局面，竞争厂商主要是新北洋。随着公司纸币识别模块、找零模块及票卡模块等核心技术在市场</w:t>
      </w:r>
      <w:r>
        <w:rPr>
          <w:spacing w:val="-64"/>
        </w:rPr>
        <w:t> </w:t>
      </w:r>
      <w:r>
        <w:rPr>
          <w:spacing w:val="-64"/>
        </w:rPr>
      </w:r>
      <w:r>
        <w:rPr/>
        <w:t>上的推广使用，公司在轨道交通行业的地位和实力得到不断提升。</w:t>
      </w:r>
    </w:p>
    <w:p>
      <w:pPr>
        <w:pStyle w:val="BodyText"/>
        <w:spacing w:line="338" w:lineRule="auto" w:before="65"/>
        <w:ind w:left="513" w:right="94" w:hanging="89"/>
        <w:jc w:val="left"/>
      </w:pPr>
      <w:r>
        <w:rPr/>
        <w:t>（</w:t>
      </w:r>
      <w:r>
        <w:rPr>
          <w:rFonts w:ascii="Times New Roman" w:hAnsi="Times New Roman" w:cs="Times New Roman" w:eastAsia="Times New Roman" w:hint="default"/>
        </w:rPr>
        <w:t>3</w:t>
      </w:r>
      <w:r>
        <w:rPr/>
        <w:t>）金融外包服务市场竞争格局 </w:t>
      </w:r>
      <w:r>
        <w:rPr>
          <w:spacing w:val="-2"/>
        </w:rPr>
        <w:t>随着银行加快规划业务流程重组及网点转型，银行对外包服务，尤其是对现金管理的思维发生变化</w:t>
      </w:r>
      <w:r>
        <w:rPr>
          <w:rFonts w:ascii="宋体" w:hAnsi="宋体" w:cs="宋体" w:eastAsia="宋体" w:hint="default"/>
          <w:spacing w:val="-2"/>
        </w:rPr>
        <w:t>——</w:t>
      </w:r>
      <w:r>
        <w:rPr>
          <w:spacing w:val="-2"/>
        </w:rPr>
        <w:t>包括传统现金流</w:t>
      </w:r>
    </w:p>
    <w:p>
      <w:pPr>
        <w:pStyle w:val="BodyText"/>
        <w:spacing w:line="309" w:lineRule="auto" w:before="2"/>
        <w:ind w:left="153" w:right="190"/>
        <w:jc w:val="both"/>
      </w:pPr>
      <w:r>
        <w:rPr>
          <w:spacing w:val="-2"/>
        </w:rPr>
        <w:t>通管理手段的变革，及对现金管理安全管控的要求提高。国内服务商正在努力提高技术水平与安全管控水平，专业金融外包</w:t>
      </w:r>
      <w:r>
        <w:rPr>
          <w:spacing w:val="-63"/>
        </w:rPr>
        <w:t> </w:t>
      </w:r>
      <w:r>
        <w:rPr>
          <w:spacing w:val="-63"/>
        </w:rPr>
      </w:r>
      <w:r>
        <w:rPr/>
        <w:t>服务商已经有了较高的成熟度。目前，</w:t>
      </w:r>
      <w:r>
        <w:rPr>
          <w:rFonts w:ascii="Times New Roman" w:hAnsi="Times New Roman" w:cs="Times New Roman" w:eastAsia="Times New Roman" w:hint="default"/>
        </w:rPr>
        <w:t>ATM</w:t>
      </w:r>
      <w:r>
        <w:rPr>
          <w:rFonts w:ascii="Times New Roman" w:hAnsi="Times New Roman" w:cs="Times New Roman" w:eastAsia="Times New Roman" w:hint="default"/>
          <w:spacing w:val="14"/>
        </w:rPr>
        <w:t> </w:t>
      </w:r>
      <w:r>
        <w:rPr/>
        <w:t>行业外包服务商除公司全资子公司广州银通及其下属子公司、控股子公司广州 穗通外，还有中信外包、银联商务、三泰电子、深圳威豹、</w:t>
      </w:r>
      <w:r>
        <w:rPr>
          <w:rFonts w:ascii="Times New Roman" w:hAnsi="Times New Roman" w:cs="Times New Roman" w:eastAsia="Times New Roman" w:hint="default"/>
        </w:rPr>
        <w:t>Diebold</w:t>
      </w:r>
      <w:r>
        <w:rPr/>
        <w:t>、合荣欣业等。作为在金融外包服务业务中起到闭环作</w:t>
      </w:r>
      <w:r>
        <w:rPr>
          <w:spacing w:val="-45"/>
        </w:rPr>
        <w:t> </w:t>
      </w:r>
      <w:r>
        <w:rPr>
          <w:spacing w:val="-45"/>
        </w:rPr>
      </w:r>
      <w:r>
        <w:rPr>
          <w:spacing w:val="-1"/>
        </w:rPr>
        <w:t>用的武装押运业务，随着保安企业脱钩改制的加速，公司也在加速收购武装押运公司，在收购市场上，</w:t>
      </w:r>
      <w:r>
        <w:rPr>
          <w:rFonts w:ascii="宋体" w:hAnsi="宋体" w:cs="宋体" w:eastAsia="宋体" w:hint="default"/>
          <w:spacing w:val="-1"/>
        </w:rPr>
        <w:t>ATM</w:t>
      </w:r>
      <w:r>
        <w:rPr>
          <w:rFonts w:ascii="宋体" w:hAnsi="宋体" w:cs="宋体" w:eastAsia="宋体" w:hint="default"/>
          <w:spacing w:val="-36"/>
        </w:rPr>
        <w:t> </w:t>
      </w:r>
      <w:r>
        <w:rPr>
          <w:spacing w:val="-1"/>
        </w:rPr>
        <w:t>行业外包服务商</w:t>
      </w:r>
      <w:r>
        <w:rPr>
          <w:spacing w:val="-88"/>
        </w:rPr>
        <w:t> </w:t>
      </w:r>
      <w:r>
        <w:rPr>
          <w:spacing w:val="-88"/>
        </w:rPr>
      </w:r>
      <w:r>
        <w:rPr/>
        <w:t>大多不符合收购武装押运公司的政策要求，公司的竞争对手主要为各地地方国有企业。</w:t>
      </w:r>
    </w:p>
    <w:p>
      <w:pPr>
        <w:pStyle w:val="BodyText"/>
        <w:spacing w:line="240" w:lineRule="auto" w:before="65"/>
        <w:ind w:left="424" w:right="94"/>
        <w:jc w:val="left"/>
      </w:pPr>
      <w:r>
        <w:rPr/>
        <w:t>（</w:t>
      </w:r>
      <w:r>
        <w:rPr>
          <w:rFonts w:ascii="Times New Roman" w:hAnsi="Times New Roman" w:cs="Times New Roman" w:eastAsia="Times New Roman" w:hint="default"/>
        </w:rPr>
        <w:t>4</w:t>
      </w:r>
      <w:r>
        <w:rPr/>
        <w:t>）清分机市场竞争格局</w:t>
      </w:r>
    </w:p>
    <w:p>
      <w:pPr>
        <w:pStyle w:val="BodyText"/>
        <w:spacing w:line="312" w:lineRule="auto" w:before="103"/>
        <w:ind w:left="153" w:right="192" w:firstLine="360"/>
        <w:jc w:val="both"/>
      </w:pPr>
      <w:r>
        <w:rPr/>
        <w:t>受制于客观环境，清分机市场</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年整体采购量有所下降，市场价格也有较大降幅，主要厂商的业绩和利润受到不同 </w:t>
      </w:r>
      <w:r>
        <w:rPr>
          <w:spacing w:val="-2"/>
        </w:rPr>
        <w:t>程度的影响，日本光荣等国外厂商的市场份额持续下降。国内市场竞争厂商主要有：聚龙股份、中钞信达、上海古鳌、松花</w:t>
      </w:r>
      <w:r>
        <w:rPr>
          <w:spacing w:val="-70"/>
        </w:rPr>
        <w:t> </w:t>
      </w:r>
      <w:r>
        <w:rPr>
          <w:spacing w:val="-70"/>
        </w:rPr>
      </w:r>
      <w:r>
        <w:rPr>
          <w:spacing w:val="-2"/>
        </w:rPr>
        <w:t>江、鞍山搏纵、同方清芝、速比得等。中智融通作为广电运通的全资子公司和清分机业务开展平台，依托母公司的市场在位</w:t>
      </w:r>
      <w:r>
        <w:rPr>
          <w:spacing w:val="-65"/>
        </w:rPr>
        <w:t> </w:t>
      </w:r>
      <w:r>
        <w:rPr>
          <w:spacing w:val="-65"/>
        </w:rPr>
      </w:r>
      <w:r>
        <w:rPr/>
        <w:t>优势，技术研发和售后服务等优势，不断提升市场份额。</w:t>
      </w:r>
    </w:p>
    <w:p>
      <w:pPr>
        <w:pStyle w:val="BodyText"/>
        <w:spacing w:line="240" w:lineRule="auto" w:before="61"/>
        <w:ind w:left="424" w:right="94"/>
        <w:jc w:val="left"/>
      </w:pPr>
      <w:r>
        <w:rPr/>
        <w:t>（二）公司的发展规划</w:t>
      </w:r>
    </w:p>
    <w:p>
      <w:pPr>
        <w:pStyle w:val="BodyText"/>
        <w:spacing w:line="316" w:lineRule="auto" w:before="117"/>
        <w:ind w:left="153" w:right="93" w:firstLine="360"/>
        <w:jc w:val="left"/>
      </w:pPr>
      <w:r>
        <w:rPr/>
        <w:t>公司将继续坚持</w:t>
      </w:r>
      <w:r>
        <w:rPr>
          <w:spacing w:val="3"/>
        </w:rPr>
        <w:t> </w:t>
      </w:r>
      <w:r>
        <w:rPr>
          <w:rFonts w:ascii="宋体" w:hAnsi="宋体" w:cs="宋体" w:eastAsia="宋体" w:hint="default"/>
          <w:spacing w:val="-4"/>
        </w:rPr>
        <w:t>“</w:t>
      </w:r>
      <w:r>
        <w:rPr>
          <w:spacing w:val="-4"/>
        </w:rPr>
        <w:t>高端制造业</w:t>
      </w:r>
      <w:r>
        <w:rPr>
          <w:rFonts w:ascii="宋体" w:hAnsi="宋体" w:cs="宋体" w:eastAsia="宋体" w:hint="default"/>
          <w:spacing w:val="-4"/>
        </w:rPr>
        <w:t>”</w:t>
      </w:r>
      <w:r>
        <w:rPr>
          <w:spacing w:val="-4"/>
        </w:rPr>
        <w:t>与</w:t>
      </w:r>
      <w:r>
        <w:rPr>
          <w:rFonts w:ascii="宋体" w:hAnsi="宋体" w:cs="宋体" w:eastAsia="宋体" w:hint="default"/>
          <w:spacing w:val="-4"/>
        </w:rPr>
        <w:t>“</w:t>
      </w:r>
      <w:r>
        <w:rPr>
          <w:spacing w:val="-4"/>
        </w:rPr>
        <w:t>高端服务业</w:t>
      </w:r>
      <w:r>
        <w:rPr>
          <w:rFonts w:ascii="宋体" w:hAnsi="宋体" w:cs="宋体" w:eastAsia="宋体" w:hint="default"/>
          <w:spacing w:val="-4"/>
        </w:rPr>
        <w:t>”</w:t>
      </w:r>
      <w:r>
        <w:rPr>
          <w:spacing w:val="-4"/>
        </w:rPr>
        <w:t>双轮驱动的战略定位，以市场为导向，夯实核心竞争优势，围绕“行</w:t>
      </w:r>
      <w:r>
        <w:rPr/>
        <w:t> 业同心多元化”发展战略，深入挖掘银行业务价值链，自主技术积累和资本并购手段并举，持续培育新兴业务，形成稳健、 </w:t>
      </w:r>
      <w:r>
        <w:rPr>
          <w:spacing w:val="-2"/>
        </w:rPr>
        <w:t>长远的发展格局，逐步将公司打造为</w:t>
      </w:r>
      <w:r>
        <w:rPr>
          <w:rFonts w:ascii="宋体" w:hAnsi="宋体" w:cs="宋体" w:eastAsia="宋体" w:hint="default"/>
          <w:spacing w:val="-2"/>
        </w:rPr>
        <w:t>“</w:t>
      </w:r>
      <w:r>
        <w:rPr>
          <w:spacing w:val="-2"/>
        </w:rPr>
        <w:t>高端制造业</w:t>
      </w:r>
      <w:r>
        <w:rPr>
          <w:rFonts w:ascii="宋体" w:hAnsi="宋体" w:cs="宋体" w:eastAsia="宋体" w:hint="default"/>
          <w:spacing w:val="-2"/>
        </w:rPr>
        <w:t>”</w:t>
      </w:r>
      <w:r>
        <w:rPr>
          <w:spacing w:val="-2"/>
        </w:rPr>
        <w:t>与</w:t>
      </w:r>
      <w:r>
        <w:rPr>
          <w:rFonts w:ascii="宋体" w:hAnsi="宋体" w:cs="宋体" w:eastAsia="宋体" w:hint="default"/>
          <w:spacing w:val="-2"/>
        </w:rPr>
        <w:t>“</w:t>
      </w:r>
      <w:r>
        <w:rPr>
          <w:spacing w:val="-2"/>
        </w:rPr>
        <w:t>高端服务业</w:t>
      </w:r>
      <w:r>
        <w:rPr>
          <w:rFonts w:ascii="宋体" w:hAnsi="宋体" w:cs="宋体" w:eastAsia="宋体" w:hint="default"/>
          <w:spacing w:val="-2"/>
        </w:rPr>
        <w:t>”</w:t>
      </w:r>
      <w:r>
        <w:rPr>
          <w:spacing w:val="-2"/>
        </w:rPr>
        <w:t>并重发展的集自主研发、生产、销售及服务为一体的</w:t>
      </w:r>
      <w:r>
        <w:rPr>
          <w:spacing w:val="-66"/>
        </w:rPr>
        <w:t> </w:t>
      </w:r>
      <w:r>
        <w:rPr>
          <w:spacing w:val="-66"/>
        </w:rPr>
      </w:r>
      <w:r>
        <w:rPr/>
        <w:t>创新型高科技企业，向着“成为全球货币处理设备及系统解决方案第一品牌”的愿景迈进。</w:t>
      </w:r>
    </w:p>
    <w:p>
      <w:pPr>
        <w:pStyle w:val="BodyText"/>
        <w:spacing w:line="240" w:lineRule="auto" w:before="59"/>
        <w:ind w:left="424" w:right="94"/>
        <w:jc w:val="left"/>
      </w:pPr>
      <w:r>
        <w:rPr/>
        <w:t>（三）</w:t>
      </w:r>
      <w:r>
        <w:rPr>
          <w:rFonts w:ascii="Times New Roman" w:hAnsi="Times New Roman" w:cs="Times New Roman" w:eastAsia="Times New Roman" w:hint="default"/>
        </w:rPr>
        <w:t>2016</w:t>
      </w:r>
      <w:r>
        <w:rPr/>
        <w:t>年经营计划</w:t>
      </w:r>
    </w:p>
    <w:p>
      <w:pPr>
        <w:pStyle w:val="BodyText"/>
        <w:spacing w:line="314" w:lineRule="auto" w:before="101"/>
        <w:ind w:left="153" w:right="192" w:firstLine="360"/>
        <w:jc w:val="both"/>
      </w:pPr>
      <w:r>
        <w:rPr>
          <w:rFonts w:ascii="Times New Roman" w:hAnsi="Times New Roman" w:cs="Times New Roman" w:eastAsia="Times New Roman" w:hint="default"/>
          <w:spacing w:val="-2"/>
        </w:rPr>
        <w:t>2016</w:t>
      </w:r>
      <w:r>
        <w:rPr>
          <w:spacing w:val="-2"/>
        </w:rPr>
        <w:t>年是国家“十三五”规划开局之年，国家各项新的投资、建设项目将在这一年起步，开启新一轮发展机遇。银行业</w:t>
      </w:r>
      <w:r>
        <w:rPr/>
        <w:t> </w:t>
      </w:r>
      <w:r>
        <w:rPr>
          <w:spacing w:val="-2"/>
        </w:rPr>
        <w:t>开始全面推进利率市场化，加快规划业务流程重组及网点转型。公司将围绕“创新变革·产融互动，构建持续领先格局”的</w:t>
      </w:r>
      <w:r>
        <w:rPr>
          <w:spacing w:val="-70"/>
        </w:rPr>
        <w:t> </w:t>
      </w:r>
      <w:r>
        <w:rPr>
          <w:spacing w:val="-70"/>
        </w:rPr>
      </w:r>
      <w:r>
        <w:rPr>
          <w:spacing w:val="-2"/>
        </w:rPr>
        <w:t>发展主题，一方面以“行业同心多元化”战略为牵引，对传统主业坚持清晰的战略布局，发挥核心竞争力与成本优势，提升</w:t>
      </w:r>
      <w:r>
        <w:rPr>
          <w:spacing w:val="-68"/>
        </w:rPr>
        <w:t> </w:t>
      </w:r>
      <w:r>
        <w:rPr>
          <w:spacing w:val="-68"/>
        </w:rPr>
      </w:r>
      <w:r>
        <w:rPr>
          <w:spacing w:val="-2"/>
        </w:rPr>
        <w:t>市场份额，持续巩固行业领先地位；另一方面，洞察外界环境变化与行业变革，以金融服务需求为导向，将跨界创新与变革</w:t>
      </w:r>
      <w:r>
        <w:rPr>
          <w:spacing w:val="-68"/>
        </w:rPr>
        <w:t> </w:t>
      </w:r>
      <w:r>
        <w:rPr>
          <w:spacing w:val="-68"/>
        </w:rPr>
      </w:r>
      <w:r>
        <w:rPr>
          <w:spacing w:val="-2"/>
        </w:rPr>
        <w:t>的意识融入企业发展的基因中，通过资本运作、并购、投资孵化创新项目等形式，实现产业链全面扩张与资本有效增值。在</w:t>
      </w:r>
    </w:p>
    <w:p>
      <w:pPr>
        <w:spacing w:after="0" w:line="314" w:lineRule="auto"/>
        <w:jc w:val="both"/>
        <w:sectPr>
          <w:footerReference w:type="default" r:id="rId17"/>
          <w:pgSz w:w="11910" w:h="16840"/>
          <w:pgMar w:footer="982" w:header="877" w:top="1100" w:bottom="1180" w:left="980" w:right="940"/>
          <w:pgNumType w:start="31"/>
        </w:sectPr>
      </w:pPr>
    </w:p>
    <w:p>
      <w:pPr>
        <w:spacing w:line="240" w:lineRule="auto" w:before="11"/>
        <w:rPr>
          <w:rFonts w:ascii="宋体" w:hAnsi="宋体" w:cs="宋体" w:eastAsia="宋体" w:hint="default"/>
          <w:sz w:val="21"/>
          <w:szCs w:val="21"/>
        </w:rPr>
      </w:pPr>
    </w:p>
    <w:p>
      <w:pPr>
        <w:pStyle w:val="BodyText"/>
        <w:spacing w:line="316" w:lineRule="auto" w:before="44"/>
        <w:ind w:right="111"/>
        <w:jc w:val="both"/>
      </w:pPr>
      <w:r>
        <w:rPr/>
        <w:t>未来的发展方向上，广电运通将逐步探索大数据、物联网、云计算、人工智能的商用与产业化，不断创新公司的商业模式， 实现企业的进一步升级，稳步转向内涵式增长与外延式扩张相结合的体系。</w:t>
      </w:r>
    </w:p>
    <w:p>
      <w:pPr>
        <w:pStyle w:val="BodyText"/>
        <w:spacing w:line="240" w:lineRule="auto" w:before="59"/>
        <w:ind w:left="512" w:right="94"/>
        <w:jc w:val="left"/>
      </w:pPr>
      <w:r>
        <w:rPr/>
        <w:t>重点做好以下几个方面的工作：</w:t>
      </w:r>
    </w:p>
    <w:p>
      <w:pPr>
        <w:pStyle w:val="BodyText"/>
        <w:spacing w:line="240" w:lineRule="auto" w:before="115"/>
        <w:ind w:left="512" w:right="94"/>
        <w:jc w:val="left"/>
      </w:pPr>
      <w:r>
        <w:rPr>
          <w:rFonts w:ascii="Times New Roman" w:hAnsi="Times New Roman" w:cs="Times New Roman" w:eastAsia="Times New Roman" w:hint="default"/>
        </w:rPr>
        <w:t>1</w:t>
      </w:r>
      <w:r>
        <w:rPr/>
        <w:t>、制造业</w:t>
      </w:r>
    </w:p>
    <w:p>
      <w:pPr>
        <w:pStyle w:val="BodyText"/>
        <w:spacing w:line="340" w:lineRule="auto" w:before="103"/>
        <w:ind w:left="512" w:right="94" w:hanging="89"/>
        <w:jc w:val="left"/>
      </w:pPr>
      <w:r>
        <w:rPr/>
        <w:t>（</w:t>
      </w:r>
      <w:r>
        <w:rPr>
          <w:rFonts w:ascii="Times New Roman" w:hAnsi="Times New Roman" w:cs="Times New Roman" w:eastAsia="Times New Roman" w:hint="default"/>
        </w:rPr>
        <w:t>1</w:t>
      </w:r>
      <w:r>
        <w:rPr/>
        <w:t>）打造最优直销体系，持续巩固国内领先优势 </w:t>
      </w:r>
      <w:r>
        <w:rPr>
          <w:spacing w:val="-2"/>
        </w:rPr>
        <w:t>在国产厂商逐渐成长为竞争主体，竞争手段多样性和不确定性增强，产品价格竞争激烈的背景下，在银行业加快规划业</w:t>
      </w:r>
    </w:p>
    <w:p>
      <w:pPr>
        <w:pStyle w:val="BodyText"/>
        <w:spacing w:line="309" w:lineRule="auto"/>
        <w:ind w:right="189"/>
        <w:jc w:val="both"/>
      </w:pPr>
      <w:r>
        <w:rPr>
          <w:spacing w:val="-2"/>
        </w:rPr>
        <w:t>务流程重组及网点转型的市场环境下，公司将把握好国外品牌退出、国家自主可控技术要求等机遇，结合技术标准建设、战</w:t>
      </w:r>
      <w:r>
        <w:rPr>
          <w:spacing w:val="-64"/>
        </w:rPr>
        <w:t> </w:t>
      </w:r>
      <w:r>
        <w:rPr>
          <w:spacing w:val="-64"/>
        </w:rPr>
      </w:r>
      <w:r>
        <w:rPr/>
        <w:t>略合作推进等手段，进一步消灭空白市场；直面红海市场，继续以主动营销策略，强势提升</w:t>
      </w:r>
      <w:r>
        <w:rPr>
          <w:rFonts w:ascii="Times New Roman" w:hAnsi="Times New Roman" w:cs="Times New Roman" w:eastAsia="Times New Roman" w:hint="default"/>
        </w:rPr>
        <w:t>ATM</w:t>
      </w:r>
      <w:r>
        <w:rPr/>
        <w:t>市场占有率，扩大规模优</w:t>
      </w:r>
      <w:r>
        <w:rPr>
          <w:spacing w:val="-45"/>
        </w:rPr>
        <w:t> </w:t>
      </w:r>
      <w:r>
        <w:rPr>
          <w:spacing w:val="-45"/>
        </w:rPr>
      </w:r>
      <w:r>
        <w:rPr>
          <w:spacing w:val="-2"/>
        </w:rPr>
        <w:t>势；加大网点转型项目推广力度，积极应对银行变革，打造公司新的利润增长点；推进整体解决方案营销，打造全面解决方</w:t>
      </w:r>
      <w:r>
        <w:rPr>
          <w:spacing w:val="-67"/>
        </w:rPr>
        <w:t> </w:t>
      </w:r>
      <w:r>
        <w:rPr>
          <w:spacing w:val="-67"/>
        </w:rPr>
      </w:r>
      <w:r>
        <w:rPr/>
        <w:t>案影响力和差异化竞争优势，带动</w:t>
      </w:r>
      <w:r>
        <w:rPr>
          <w:rFonts w:ascii="Times New Roman" w:hAnsi="Times New Roman" w:cs="Times New Roman" w:eastAsia="Times New Roman" w:hint="default"/>
        </w:rPr>
        <w:t>VTM</w:t>
      </w:r>
      <w:r>
        <w:rPr/>
        <w:t>、</w:t>
      </w:r>
      <w:r>
        <w:rPr>
          <w:rFonts w:ascii="Times New Roman" w:hAnsi="Times New Roman" w:cs="Times New Roman" w:eastAsia="Times New Roman" w:hint="default"/>
        </w:rPr>
        <w:t>i58</w:t>
      </w:r>
      <w:r>
        <w:rPr/>
        <w:t>、智能柜台、</w:t>
      </w:r>
      <w:r>
        <w:rPr>
          <w:rFonts w:ascii="Times New Roman" w:hAnsi="Times New Roman" w:cs="Times New Roman" w:eastAsia="Times New Roman" w:hint="default"/>
        </w:rPr>
        <w:t>P</w:t>
      </w:r>
      <w:r>
        <w:rPr/>
        <w:t>系列等新产品推广；完善直销体系建设，持续加强人才引进及</w:t>
      </w:r>
      <w:r>
        <w:rPr>
          <w:spacing w:val="-17"/>
        </w:rPr>
        <w:t> </w:t>
      </w:r>
      <w:r>
        <w:rPr>
          <w:spacing w:val="-17"/>
        </w:rPr>
      </w:r>
      <w:r>
        <w:rPr/>
        <w:t>团队培养、提升队伍方案营销能力；优化考核激励机制，持续降低销售费用支出比例。</w:t>
      </w:r>
    </w:p>
    <w:p>
      <w:pPr>
        <w:pStyle w:val="BodyText"/>
        <w:spacing w:line="340" w:lineRule="auto" w:before="62"/>
        <w:ind w:left="512" w:right="94" w:hanging="89"/>
        <w:jc w:val="left"/>
      </w:pPr>
      <w:r>
        <w:rPr/>
        <w:t>（</w:t>
      </w:r>
      <w:r>
        <w:rPr>
          <w:rFonts w:ascii="Times New Roman" w:hAnsi="Times New Roman" w:cs="Times New Roman" w:eastAsia="Times New Roman" w:hint="default"/>
        </w:rPr>
        <w:t>2</w:t>
      </w:r>
      <w:r>
        <w:rPr/>
        <w:t>）重点建设区域运作体系，推动海外业务稳健增长 </w:t>
      </w:r>
      <w:r>
        <w:rPr>
          <w:spacing w:val="-2"/>
        </w:rPr>
        <w:t>以“点面结合，精耕细作；拓宽思维，勇创新高”的国际市场总体思路，重点建设区域运作体系，大力加强本地化服务</w:t>
      </w:r>
    </w:p>
    <w:p>
      <w:pPr>
        <w:pStyle w:val="BodyText"/>
        <w:spacing w:line="312" w:lineRule="auto"/>
        <w:ind w:right="94"/>
        <w:jc w:val="left"/>
      </w:pPr>
      <w:r>
        <w:rPr>
          <w:spacing w:val="-4"/>
        </w:rPr>
        <w:t>建设、服务支持平台建设与服务管理平台建设，推动海外业务稳健增长；建设产研销紧密协作机制，提升海外项目响应能力，</w:t>
      </w:r>
      <w:r>
        <w:rPr>
          <w:spacing w:val="-46"/>
        </w:rPr>
        <w:t> </w:t>
      </w:r>
      <w:r>
        <w:rPr>
          <w:spacing w:val="-46"/>
        </w:rPr>
      </w:r>
      <w:r>
        <w:rPr/>
        <w:t>围绕重点区域部署资源、深入拓展，主推</w:t>
      </w:r>
      <w:r>
        <w:rPr>
          <w:rFonts w:ascii="Times New Roman" w:hAnsi="Times New Roman" w:cs="Times New Roman" w:eastAsia="Times New Roman" w:hint="default"/>
        </w:rPr>
        <w:t>H22N</w:t>
      </w:r>
      <w:r>
        <w:rPr/>
        <w:t>、</w:t>
      </w:r>
      <w:r>
        <w:rPr>
          <w:rFonts w:ascii="Times New Roman" w:hAnsi="Times New Roman" w:cs="Times New Roman" w:eastAsia="Times New Roman" w:hint="default"/>
        </w:rPr>
        <w:t>H68N</w:t>
      </w:r>
      <w:r>
        <w:rPr/>
        <w:t>、</w:t>
      </w:r>
      <w:r>
        <w:rPr>
          <w:rFonts w:ascii="Times New Roman" w:hAnsi="Times New Roman" w:cs="Times New Roman" w:eastAsia="Times New Roman" w:hint="default"/>
        </w:rPr>
        <w:t>VTM</w:t>
      </w:r>
      <w:r>
        <w:rPr/>
        <w:t>、清分机、</w:t>
      </w:r>
      <w:r>
        <w:rPr>
          <w:rFonts w:ascii="Times New Roman" w:hAnsi="Times New Roman" w:cs="Times New Roman" w:eastAsia="Times New Roman" w:hint="default"/>
        </w:rPr>
        <w:t>P</w:t>
      </w:r>
      <w:r>
        <w:rPr/>
        <w:t>系列等产品；结合区域业务开拓，推进本地化团 </w:t>
      </w:r>
      <w:r>
        <w:rPr>
          <w:spacing w:val="-4"/>
        </w:rPr>
        <w:t>队建设，逐步实现销售本地化、市场推广本地化和服务支持本地化；建设总部业务、服务管理平台，形成对区域的高效支撑，</w:t>
      </w:r>
      <w:r>
        <w:rPr>
          <w:spacing w:val="-45"/>
        </w:rPr>
        <w:t> </w:t>
      </w:r>
      <w:r>
        <w:rPr>
          <w:spacing w:val="-45"/>
        </w:rPr>
      </w:r>
      <w:r>
        <w:rPr/>
        <w:t>提升对区域的服务支持与监督管控能力。</w:t>
      </w:r>
    </w:p>
    <w:p>
      <w:pPr>
        <w:pStyle w:val="BodyText"/>
        <w:spacing w:line="338" w:lineRule="auto" w:before="63"/>
        <w:ind w:left="512" w:right="94" w:hanging="89"/>
        <w:jc w:val="left"/>
      </w:pPr>
      <w:r>
        <w:rPr/>
        <w:t>（</w:t>
      </w:r>
      <w:r>
        <w:rPr>
          <w:rFonts w:ascii="Times New Roman" w:hAnsi="Times New Roman" w:cs="Times New Roman" w:eastAsia="Times New Roman" w:hint="default"/>
        </w:rPr>
        <w:t>3</w:t>
      </w:r>
      <w:r>
        <w:rPr/>
        <w:t>）积极把握行业机遇，推动</w:t>
      </w:r>
      <w:r>
        <w:rPr>
          <w:rFonts w:ascii="Times New Roman" w:hAnsi="Times New Roman" w:cs="Times New Roman" w:eastAsia="Times New Roman" w:hint="default"/>
        </w:rPr>
        <w:t>AFC</w:t>
      </w:r>
      <w:r>
        <w:rPr/>
        <w:t>业务再上台阶 </w:t>
      </w:r>
      <w:r>
        <w:rPr>
          <w:spacing w:val="-2"/>
        </w:rPr>
        <w:t>巩固既有集成商合作，积极拓展城际合作伙伴，增强高铁业务主动权；贴紧“中字头”企业，开拓海外新市场。扩大终</w:t>
      </w:r>
    </w:p>
    <w:p>
      <w:pPr>
        <w:pStyle w:val="BodyText"/>
        <w:spacing w:line="307" w:lineRule="auto" w:before="2"/>
        <w:ind w:right="190"/>
        <w:jc w:val="both"/>
      </w:pPr>
      <w:r>
        <w:rPr>
          <w:spacing w:val="-2"/>
        </w:rPr>
        <w:t>端模块业务布局，主攻金融、医疗、电力、通信、交通、旅游、停车场等行业；发掘旅游、文化行业“升级”需求，创新商</w:t>
      </w:r>
      <w:r>
        <w:rPr>
          <w:spacing w:val="-74"/>
        </w:rPr>
        <w:t> </w:t>
      </w:r>
      <w:r>
        <w:rPr>
          <w:spacing w:val="-74"/>
        </w:rPr>
      </w:r>
      <w:r>
        <w:rPr>
          <w:spacing w:val="-2"/>
        </w:rPr>
        <w:t>业合作模式，积极把握景点、影院、酒店等行业系统集成项目机会。持续完善</w:t>
      </w:r>
      <w:r>
        <w:rPr>
          <w:rFonts w:ascii="Times New Roman" w:hAnsi="Times New Roman" w:cs="Times New Roman" w:eastAsia="Times New Roman" w:hint="default"/>
          <w:spacing w:val="-2"/>
        </w:rPr>
        <w:t>AFC</w:t>
      </w:r>
      <w:r>
        <w:rPr>
          <w:spacing w:val="-2"/>
        </w:rPr>
        <w:t>模块和整机产品线，继续推进</w:t>
      </w:r>
      <w:r>
        <w:rPr>
          <w:rFonts w:ascii="Times New Roman" w:hAnsi="Times New Roman" w:cs="Times New Roman" w:eastAsia="Times New Roman" w:hint="default"/>
          <w:spacing w:val="-2"/>
        </w:rPr>
        <w:t>AFC</w:t>
      </w:r>
      <w:r>
        <w:rPr>
          <w:spacing w:val="-2"/>
        </w:rPr>
        <w:t>降成本</w:t>
      </w:r>
      <w:r>
        <w:rPr>
          <w:spacing w:val="-46"/>
        </w:rPr>
        <w:t> </w:t>
      </w:r>
      <w:r>
        <w:rPr>
          <w:spacing w:val="-46"/>
        </w:rPr>
      </w:r>
      <w:r>
        <w:rPr/>
        <w:t>工作；深耕、拓展地铁“根据地”市场，积极把握存量设备改造机遇，重点做好广州、西安、深圳等维保项目，树立</w:t>
      </w:r>
      <w:r>
        <w:rPr>
          <w:rFonts w:ascii="Times New Roman" w:hAnsi="Times New Roman" w:cs="Times New Roman" w:eastAsia="Times New Roman" w:hint="default"/>
        </w:rPr>
        <w:t>AFC </w:t>
      </w:r>
      <w:r>
        <w:rPr/>
        <w:t>服务外包项目示范效应；完善自主经营体系，探索激励体制</w:t>
      </w:r>
      <w:r>
        <w:rPr>
          <w:rFonts w:ascii="Times New Roman" w:hAnsi="Times New Roman" w:cs="Times New Roman" w:eastAsia="Times New Roman" w:hint="default"/>
        </w:rPr>
        <w:t>/</w:t>
      </w:r>
      <w:r>
        <w:rPr/>
        <w:t>机制创新，具备条件时推进资本运作。</w:t>
      </w:r>
    </w:p>
    <w:p>
      <w:pPr>
        <w:pStyle w:val="BodyText"/>
        <w:spacing w:line="340" w:lineRule="auto" w:before="48"/>
        <w:ind w:left="513" w:right="94" w:hanging="89"/>
        <w:jc w:val="left"/>
      </w:pPr>
      <w:r>
        <w:rPr/>
        <w:t>（</w:t>
      </w:r>
      <w:r>
        <w:rPr>
          <w:rFonts w:ascii="Times New Roman" w:hAnsi="Times New Roman" w:cs="Times New Roman" w:eastAsia="Times New Roman" w:hint="default"/>
        </w:rPr>
        <w:t>4</w:t>
      </w:r>
      <w:r>
        <w:rPr/>
        <w:t>）重点突破大行，全面提升清分机业务的市场竞争力 </w:t>
      </w:r>
      <w:r>
        <w:rPr>
          <w:spacing w:val="-4"/>
        </w:rPr>
        <w:t>以总行入围为主要工作目标，积极把握大行的入围节点和突破机会。在地方性商业银行市场，坚持直销为主、代理为辅，</w:t>
      </w:r>
    </w:p>
    <w:p>
      <w:pPr>
        <w:pStyle w:val="BodyText"/>
        <w:spacing w:line="240" w:lineRule="auto"/>
        <w:ind w:left="153" w:right="0"/>
        <w:jc w:val="both"/>
      </w:pPr>
      <w:r>
        <w:rPr/>
        <w:t>重点确保省级农信选型入围；加强流水线、塑封机、外币清分机以及整体解决方案的推广工作。</w:t>
      </w:r>
    </w:p>
    <w:p>
      <w:pPr>
        <w:pStyle w:val="BodyText"/>
        <w:spacing w:line="340" w:lineRule="auto" w:before="115"/>
        <w:ind w:left="513" w:right="93" w:hanging="89"/>
        <w:jc w:val="left"/>
      </w:pPr>
      <w:r>
        <w:rPr/>
        <w:t>（</w:t>
      </w:r>
      <w:r>
        <w:rPr>
          <w:rFonts w:ascii="Times New Roman" w:hAnsi="Times New Roman" w:cs="Times New Roman" w:eastAsia="Times New Roman" w:hint="default"/>
        </w:rPr>
        <w:t>5</w:t>
      </w:r>
      <w:r>
        <w:rPr/>
        <w:t>）结合体制、机制创新，打造创新孵化平台 以“预研一代、开发一代、推广一代”的思路，推进技术创新体系建设，</w:t>
      </w:r>
      <w:r>
        <w:rPr>
          <w:rFonts w:ascii="Times New Roman" w:hAnsi="Times New Roman" w:cs="Times New Roman" w:eastAsia="Times New Roman" w:hint="default"/>
        </w:rPr>
        <w:t>2016</w:t>
      </w:r>
      <w:r>
        <w:rPr/>
        <w:t>年将立足自主研发，广泛开展技术合作，</w:t>
      </w:r>
    </w:p>
    <w:p>
      <w:pPr>
        <w:pStyle w:val="BodyText"/>
        <w:spacing w:line="228" w:lineRule="exact"/>
        <w:ind w:left="153" w:right="0"/>
        <w:jc w:val="both"/>
      </w:pPr>
      <w:r>
        <w:rPr/>
        <w:t>在以下领域深耕布局：①面对商业银行网点转型需求及社区银行、助农金融的发展趋势，围绕</w:t>
      </w:r>
      <w:r>
        <w:rPr>
          <w:rFonts w:ascii="Times New Roman" w:hAnsi="Times New Roman" w:cs="Times New Roman" w:eastAsia="Times New Roman" w:hint="default"/>
        </w:rPr>
        <w:t>VTM</w:t>
      </w:r>
      <w:r>
        <w:rPr/>
        <w:t>、</w:t>
      </w:r>
      <w:r>
        <w:rPr>
          <w:rFonts w:ascii="Times New Roman" w:hAnsi="Times New Roman" w:cs="Times New Roman" w:eastAsia="Times New Roman" w:hint="default"/>
        </w:rPr>
        <w:t>STM</w:t>
      </w:r>
      <w:r>
        <w:rPr/>
        <w:t>、</w:t>
      </w:r>
      <w:r>
        <w:rPr>
          <w:rFonts w:ascii="Times New Roman" w:hAnsi="Times New Roman" w:cs="Times New Roman" w:eastAsia="Times New Roman" w:hint="default"/>
        </w:rPr>
        <w:t>i58</w:t>
      </w:r>
      <w:r>
        <w:rPr/>
        <w:t>现金循环机</w:t>
      </w:r>
    </w:p>
    <w:p>
      <w:pPr>
        <w:pStyle w:val="BodyText"/>
        <w:spacing w:line="316" w:lineRule="auto" w:before="62"/>
        <w:ind w:left="153" w:right="93"/>
        <w:jc w:val="left"/>
      </w:pPr>
      <w:r>
        <w:rPr>
          <w:spacing w:val="-2"/>
        </w:rPr>
        <w:t>等新一代产品，全面规划系统解决方案，打造新型网点，助力商业银行管理模式、服务方式、营销模式的变化和调整；②在</w:t>
      </w:r>
      <w:r>
        <w:rPr>
          <w:spacing w:val="-67"/>
        </w:rPr>
        <w:t> </w:t>
      </w:r>
      <w:r>
        <w:rPr>
          <w:spacing w:val="-67"/>
        </w:rPr>
      </w:r>
      <w:r>
        <w:rPr/>
        <w:t>信息安全领域，一方面加强对安全可控自主操作系统及自主芯片的应用技术研发和市场推广，另一方面围绕身份认证安全， </w:t>
      </w:r>
      <w:r>
        <w:rPr>
          <w:spacing w:val="-2"/>
        </w:rPr>
        <w:t>加强对生物特征识别技术（如人脸、指静脉及掌静脉、虹膜等识别技术）的研发和布局；③结合银行对大数据的应用，研发</w:t>
      </w:r>
      <w:r>
        <w:rPr>
          <w:spacing w:val="-67"/>
        </w:rPr>
        <w:t> </w:t>
      </w:r>
      <w:r>
        <w:rPr>
          <w:spacing w:val="-67"/>
        </w:rPr>
      </w:r>
      <w:r>
        <w:rPr>
          <w:spacing w:val="-2"/>
        </w:rPr>
        <w:t>安全可靠金融云平台并建设数据中心，为金融机构提供运营外包业务；④持续完善软件产品解决方案，重点提升稳定性、安</w:t>
      </w:r>
      <w:r>
        <w:rPr>
          <w:spacing w:val="-64"/>
        </w:rPr>
        <w:t> </w:t>
      </w:r>
      <w:r>
        <w:rPr>
          <w:spacing w:val="-64"/>
        </w:rPr>
      </w:r>
      <w:r>
        <w:rPr/>
        <w:t>全性和便利性。</w:t>
      </w:r>
    </w:p>
    <w:p>
      <w:pPr>
        <w:pStyle w:val="BodyText"/>
        <w:spacing w:line="338" w:lineRule="auto" w:before="59"/>
        <w:ind w:left="513" w:right="94" w:hanging="89"/>
        <w:jc w:val="left"/>
      </w:pPr>
      <w:r>
        <w:rPr/>
        <w:t>（</w:t>
      </w:r>
      <w:r>
        <w:rPr>
          <w:rFonts w:ascii="Times New Roman" w:hAnsi="Times New Roman" w:cs="Times New Roman" w:eastAsia="Times New Roman" w:hint="default"/>
        </w:rPr>
        <w:t>6</w:t>
      </w:r>
      <w:r>
        <w:rPr/>
        <w:t>）以提升产品综合竞争力为目标，推进精益“智”造 </w:t>
      </w:r>
      <w:r>
        <w:rPr>
          <w:spacing w:val="-2"/>
        </w:rPr>
        <w:t>强化量产产品研发与营销、服务一线的互动协作机制，提供及时有效的支撑。基础技术与应用技术并重，加强技术及其</w:t>
      </w:r>
    </w:p>
    <w:p>
      <w:pPr>
        <w:pStyle w:val="BodyText"/>
        <w:spacing w:line="309" w:lineRule="auto" w:before="2"/>
        <w:ind w:left="153" w:right="192"/>
        <w:jc w:val="both"/>
      </w:pPr>
      <w:r>
        <w:rPr>
          <w:spacing w:val="-2"/>
        </w:rPr>
        <w:t>产品化考核，尝试“产品线承包制”提升研发效能。深化</w:t>
      </w:r>
      <w:r>
        <w:rPr>
          <w:rFonts w:ascii="Times New Roman" w:hAnsi="Times New Roman" w:cs="Times New Roman" w:eastAsia="Times New Roman" w:hint="default"/>
          <w:spacing w:val="-2"/>
        </w:rPr>
        <w:t>IE</w:t>
      </w:r>
      <w:r>
        <w:rPr>
          <w:spacing w:val="-2"/>
        </w:rPr>
        <w:t>规划，加强计划与市场互动制衡机制，推动制造与市场成品库存</w:t>
      </w:r>
      <w:r>
        <w:rPr>
          <w:spacing w:val="-57"/>
        </w:rPr>
        <w:t> </w:t>
      </w:r>
      <w:r>
        <w:rPr>
          <w:spacing w:val="-57"/>
        </w:rPr>
      </w:r>
      <w:r>
        <w:rPr>
          <w:spacing w:val="-2"/>
        </w:rPr>
        <w:t>周转率共同考核；在成本下降的综合目标下，探讨新成本核算机制。聚焦问题追溯，推进质量信息系统建设；转变物料质量</w:t>
      </w:r>
      <w:r>
        <w:rPr>
          <w:spacing w:val="-67"/>
        </w:rPr>
        <w:t> </w:t>
      </w:r>
      <w:r>
        <w:rPr>
          <w:spacing w:val="-67"/>
        </w:rPr>
      </w:r>
      <w:r>
        <w:rPr/>
        <w:t>控制模式，提高生产质量控制的专业性和统一性，加强客诉处理的及时性和有效性。</w:t>
      </w:r>
    </w:p>
    <w:p>
      <w:pPr>
        <w:pStyle w:val="BodyText"/>
        <w:spacing w:line="240" w:lineRule="auto" w:before="65"/>
        <w:ind w:left="513" w:right="94"/>
        <w:jc w:val="left"/>
      </w:pPr>
      <w:r>
        <w:rPr>
          <w:rFonts w:ascii="Times New Roman" w:hAnsi="Times New Roman" w:cs="Times New Roman" w:eastAsia="Times New Roman" w:hint="default"/>
        </w:rPr>
        <w:t>2</w:t>
      </w:r>
      <w:r>
        <w:rPr/>
        <w:t>、服务业</w:t>
      </w:r>
    </w:p>
    <w:p>
      <w:pPr>
        <w:pStyle w:val="BodyText"/>
        <w:spacing w:line="240" w:lineRule="auto" w:before="103"/>
        <w:ind w:left="424" w:right="94"/>
        <w:jc w:val="left"/>
      </w:pPr>
      <w:r>
        <w:rPr/>
        <w:t>（</w:t>
      </w:r>
      <w:r>
        <w:rPr>
          <w:rFonts w:ascii="Times New Roman" w:hAnsi="Times New Roman" w:cs="Times New Roman" w:eastAsia="Times New Roman" w:hint="default"/>
        </w:rPr>
        <w:t>1</w:t>
      </w:r>
      <w:r>
        <w:rPr/>
        <w:t>）金融维保业务：夯实维保基础，以精细管理提升服务规模效益</w:t>
      </w:r>
    </w:p>
    <w:p>
      <w:pPr>
        <w:pStyle w:val="BodyText"/>
        <w:spacing w:line="240" w:lineRule="auto" w:before="101"/>
        <w:ind w:left="513" w:right="0"/>
        <w:jc w:val="left"/>
      </w:pPr>
      <w:r>
        <w:rPr/>
        <w:t>继续重点布局</w:t>
      </w:r>
      <w:r>
        <w:rPr>
          <w:rFonts w:ascii="Times New Roman" w:hAnsi="Times New Roman" w:cs="Times New Roman" w:eastAsia="Times New Roman" w:hint="default"/>
        </w:rPr>
        <w:t>P-AOC</w:t>
      </w:r>
      <w:r>
        <w:rPr/>
        <w:t>，以精细化管理巩固维保基础，以服务创新增加客户粘性，着重保障各银行市场开机率指标。实行</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3"/>
        <w:jc w:val="both"/>
      </w:pPr>
      <w:r>
        <w:rPr>
          <w:spacing w:val="-2"/>
        </w:rPr>
        <w:t>设备责任到人、成本与个人收入挂钩，实现多劳多得、提升效能、降低成本；策划、搭建“微创新平台”、“执行力管理平</w:t>
      </w:r>
      <w:r>
        <w:rPr>
          <w:spacing w:val="-71"/>
        </w:rPr>
        <w:t> </w:t>
      </w:r>
      <w:r>
        <w:rPr>
          <w:spacing w:val="-71"/>
        </w:rPr>
      </w:r>
      <w:r>
        <w:rPr>
          <w:spacing w:val="-2"/>
        </w:rPr>
        <w:t>台”、“制度建设平台”，深化岗位价值测评，促进全员创新和提升管理绩效。积极应对总行集采、区域打包、引进第三方</w:t>
      </w:r>
      <w:r>
        <w:rPr>
          <w:spacing w:val="-70"/>
        </w:rPr>
        <w:t> </w:t>
      </w:r>
      <w:r>
        <w:rPr>
          <w:spacing w:val="-70"/>
        </w:rPr>
      </w:r>
      <w:r>
        <w:rPr/>
        <w:t>等政策变化，持续保障人员、备件投入，开拓多品牌重点客户、重点品牌、重点市场。</w:t>
      </w:r>
    </w:p>
    <w:p>
      <w:pPr>
        <w:pStyle w:val="BodyText"/>
        <w:spacing w:line="338" w:lineRule="auto" w:before="59"/>
        <w:ind w:left="512" w:right="94" w:hanging="89"/>
        <w:jc w:val="left"/>
      </w:pPr>
      <w:r>
        <w:rPr/>
        <w:t>（</w:t>
      </w:r>
      <w:r>
        <w:rPr>
          <w:rFonts w:ascii="Times New Roman" w:hAnsi="Times New Roman" w:cs="Times New Roman" w:eastAsia="Times New Roman" w:hint="default"/>
        </w:rPr>
        <w:t>2</w:t>
      </w:r>
      <w:r>
        <w:rPr/>
        <w:t>）金融外包业务：全力加速并购扩张，推进服务产业整合升级 加大资源投入，提升并购方案多样化策划能力，千方百计推进押运公司收购；建立示范样板项目，加强省会城市拓展，</w:t>
      </w:r>
    </w:p>
    <w:p>
      <w:pPr>
        <w:pStyle w:val="BodyText"/>
        <w:spacing w:line="316" w:lineRule="auto" w:before="2"/>
        <w:ind w:right="94"/>
        <w:jc w:val="left"/>
      </w:pPr>
      <w:r>
        <w:rPr/>
        <w:t>大力推进押运公司收购工作。推动押运公司开拓外包业务，试点现金管理业务和押运业务整合，快速促进业务链延伸增值。 </w:t>
      </w:r>
      <w:r>
        <w:rPr>
          <w:spacing w:val="-2"/>
        </w:rPr>
        <w:t>强化押运项目并购与管理队伍建设，推进押运业务信息化建设，完善集团化管控体系建设与日常经营监督。依托广州市场优</w:t>
      </w:r>
      <w:r>
        <w:rPr>
          <w:spacing w:val="-63"/>
        </w:rPr>
        <w:t> </w:t>
      </w:r>
      <w:r>
        <w:rPr>
          <w:spacing w:val="-63"/>
        </w:rPr>
      </w:r>
      <w:r>
        <w:rPr/>
        <w:t>势地位，广州穗通深化现金服务、安防服务两大平台建设，夯实运营集约化管理，推进全业务链布局。</w:t>
      </w:r>
    </w:p>
    <w:p>
      <w:pPr>
        <w:pStyle w:val="BodyText"/>
        <w:spacing w:line="340" w:lineRule="auto" w:before="59"/>
        <w:ind w:left="512" w:right="94" w:hanging="89"/>
        <w:jc w:val="left"/>
      </w:pPr>
      <w:r>
        <w:rPr/>
        <w:t>（</w:t>
      </w:r>
      <w:r>
        <w:rPr>
          <w:rFonts w:ascii="Times New Roman" w:hAnsi="Times New Roman" w:cs="Times New Roman" w:eastAsia="Times New Roman" w:hint="default"/>
        </w:rPr>
        <w:t>3</w:t>
      </w:r>
      <w:r>
        <w:rPr/>
        <w:t>）运通信息：创新经营思维，提升交付能力，加速</w:t>
      </w:r>
      <w:r>
        <w:rPr>
          <w:rFonts w:ascii="Times New Roman" w:hAnsi="Times New Roman" w:cs="Times New Roman" w:eastAsia="Times New Roman" w:hint="default"/>
        </w:rPr>
        <w:t>IT</w:t>
      </w:r>
      <w:r>
        <w:rPr/>
        <w:t>外包规模扩张 </w:t>
      </w:r>
      <w:r>
        <w:rPr>
          <w:spacing w:val="-2"/>
        </w:rPr>
        <w:t>以扎实做好传统</w:t>
      </w:r>
      <w:r>
        <w:rPr>
          <w:rFonts w:ascii="Times New Roman" w:hAnsi="Times New Roman" w:cs="Times New Roman" w:eastAsia="Times New Roman" w:hint="default"/>
          <w:spacing w:val="-2"/>
        </w:rPr>
        <w:t>ATM</w:t>
      </w:r>
      <w:r>
        <w:rPr>
          <w:spacing w:val="-2"/>
        </w:rPr>
        <w:t>业务为基础，积极拓展互联网相关的</w:t>
      </w:r>
      <w:r>
        <w:rPr>
          <w:rFonts w:ascii="Times New Roman" w:hAnsi="Times New Roman" w:cs="Times New Roman" w:eastAsia="Times New Roman" w:hint="default"/>
          <w:spacing w:val="-2"/>
        </w:rPr>
        <w:t>E</w:t>
      </w:r>
      <w:r>
        <w:rPr>
          <w:spacing w:val="-2"/>
        </w:rPr>
        <w:t>社区、电商平台、广告媒体发布等新业务。夯实项目管理基</w:t>
      </w:r>
    </w:p>
    <w:p>
      <w:pPr>
        <w:pStyle w:val="BodyText"/>
        <w:spacing w:line="215" w:lineRule="exact"/>
        <w:ind w:right="0"/>
        <w:jc w:val="both"/>
      </w:pPr>
      <w:r>
        <w:rPr/>
        <w:t>础，以提升交付能力、打造服务口碑为重点，构筑软件外包服务核心竞争力；拓宽经营思路，推进资本手段应用，依托并购</w:t>
      </w:r>
    </w:p>
    <w:p>
      <w:pPr>
        <w:pStyle w:val="BodyText"/>
        <w:spacing w:line="240" w:lineRule="auto" w:before="76"/>
        <w:ind w:right="0"/>
        <w:jc w:val="both"/>
      </w:pPr>
      <w:r>
        <w:rPr/>
        <w:t>快速提升外包业务规模。</w:t>
      </w:r>
    </w:p>
    <w:p>
      <w:pPr>
        <w:pStyle w:val="BodyText"/>
        <w:spacing w:line="340" w:lineRule="auto" w:before="115"/>
        <w:ind w:left="513" w:right="94" w:hanging="89"/>
        <w:jc w:val="left"/>
      </w:pPr>
      <w:r>
        <w:rPr/>
        <w:t>（</w:t>
      </w:r>
      <w:r>
        <w:rPr>
          <w:rFonts w:ascii="Times New Roman" w:hAnsi="Times New Roman" w:cs="Times New Roman" w:eastAsia="Times New Roman" w:hint="default"/>
        </w:rPr>
        <w:t>4</w:t>
      </w:r>
      <w:r>
        <w:rPr/>
        <w:t>）广电汇通：创新商业模式，拓展设备布放，实现经营业绩突破 </w:t>
      </w:r>
      <w:r>
        <w:rPr>
          <w:spacing w:val="-2"/>
        </w:rPr>
        <w:t>重点推进</w:t>
      </w:r>
      <w:r>
        <w:rPr>
          <w:rFonts w:ascii="Times New Roman" w:hAnsi="Times New Roman" w:cs="Times New Roman" w:eastAsia="Times New Roman" w:hint="default"/>
          <w:spacing w:val="-2"/>
        </w:rPr>
        <w:t>JETCO</w:t>
      </w:r>
      <w:r>
        <w:rPr>
          <w:spacing w:val="-2"/>
        </w:rPr>
        <w:t>、华瑞银行全外包项目，落实香港项目公司建设，争取尽早实现项目运营；积极推动与互联网银行、民</w:t>
      </w:r>
    </w:p>
    <w:p>
      <w:pPr>
        <w:pStyle w:val="BodyText"/>
        <w:spacing w:line="228" w:lineRule="exact"/>
        <w:ind w:left="153" w:right="0"/>
        <w:jc w:val="both"/>
      </w:pPr>
      <w:r>
        <w:rPr>
          <w:spacing w:val="-2"/>
        </w:rPr>
        <w:t>营银行、商业连锁等机构线上线下合作，实现共享</w:t>
      </w:r>
      <w:r>
        <w:rPr>
          <w:rFonts w:ascii="Times New Roman" w:hAnsi="Times New Roman" w:cs="Times New Roman" w:eastAsia="Times New Roman" w:hint="default"/>
          <w:spacing w:val="-2"/>
        </w:rPr>
        <w:t>ATM</w:t>
      </w:r>
      <w:r>
        <w:rPr>
          <w:spacing w:val="-2"/>
        </w:rPr>
        <w:t>渠道突破，探索合作盈利模式。重点搭建多银行</w:t>
      </w:r>
      <w:r>
        <w:rPr>
          <w:rFonts w:ascii="Times New Roman" w:hAnsi="Times New Roman" w:cs="Times New Roman" w:eastAsia="Times New Roman" w:hint="default"/>
          <w:spacing w:val="-2"/>
        </w:rPr>
        <w:t>ATM</w:t>
      </w:r>
      <w:r>
        <w:rPr>
          <w:spacing w:val="-2"/>
        </w:rPr>
        <w:t>共享技术平台，</w:t>
      </w:r>
    </w:p>
    <w:p>
      <w:pPr>
        <w:pStyle w:val="BodyText"/>
        <w:spacing w:line="240" w:lineRule="auto" w:before="62"/>
        <w:ind w:left="153" w:right="0"/>
        <w:jc w:val="both"/>
      </w:pPr>
      <w:r>
        <w:rPr/>
        <w:t>推进金融云平台建设，完善、优化运营管理体系。</w:t>
      </w:r>
    </w:p>
    <w:p>
      <w:pPr>
        <w:pStyle w:val="BodyText"/>
        <w:spacing w:line="338" w:lineRule="auto" w:before="117"/>
        <w:ind w:left="513" w:right="183" w:hanging="89"/>
        <w:jc w:val="left"/>
      </w:pPr>
      <w:r>
        <w:rPr/>
        <w:t>（</w:t>
      </w:r>
      <w:r>
        <w:rPr>
          <w:rFonts w:ascii="Times New Roman" w:hAnsi="Times New Roman" w:cs="Times New Roman" w:eastAsia="Times New Roman" w:hint="default"/>
        </w:rPr>
        <w:t>5</w:t>
      </w:r>
      <w:r>
        <w:rPr/>
        <w:t>）环保业务：把握机遇、重点突破，力争扭亏为盈 完善招商策略，积极把握环保法规落地对电镀行业整合的推动作用，做好重点区域招商工作，争取</w:t>
      </w:r>
      <w:r>
        <w:rPr>
          <w:rFonts w:ascii="Times New Roman" w:hAnsi="Times New Roman" w:cs="Times New Roman" w:eastAsia="Times New Roman" w:hint="default"/>
        </w:rPr>
        <w:t>2016</w:t>
      </w:r>
      <w:r>
        <w:rPr/>
        <w:t>年完成</w:t>
      </w:r>
      <w:r>
        <w:rPr>
          <w:rFonts w:ascii="Times New Roman" w:hAnsi="Times New Roman" w:cs="Times New Roman" w:eastAsia="Times New Roman" w:hint="default"/>
        </w:rPr>
        <w:t>3</w:t>
      </w:r>
      <w:r>
        <w:rPr/>
        <w:t>个单元</w:t>
      </w:r>
    </w:p>
    <w:p>
      <w:pPr>
        <w:pStyle w:val="BodyText"/>
        <w:spacing w:line="230" w:lineRule="exact"/>
        <w:ind w:left="153" w:right="0"/>
        <w:jc w:val="both"/>
      </w:pPr>
      <w:r>
        <w:rPr/>
        <w:t>销售、</w:t>
      </w:r>
      <w:r>
        <w:rPr>
          <w:rFonts w:ascii="Times New Roman" w:hAnsi="Times New Roman" w:cs="Times New Roman" w:eastAsia="Times New Roman" w:hint="default"/>
        </w:rPr>
        <w:t>2</w:t>
      </w:r>
      <w:r>
        <w:rPr/>
        <w:t>个单元租赁。持续挖掘技改项目运营优化潜力，持续改善高浓度废水处理工艺技术，进一步降低废水处理成本。</w:t>
      </w:r>
    </w:p>
    <w:p>
      <w:pPr>
        <w:pStyle w:val="BodyText"/>
        <w:spacing w:line="240" w:lineRule="auto" w:before="103"/>
        <w:ind w:left="513" w:right="94"/>
        <w:jc w:val="left"/>
      </w:pPr>
      <w:r>
        <w:rPr>
          <w:rFonts w:ascii="Times New Roman" w:hAnsi="Times New Roman" w:cs="Times New Roman" w:eastAsia="Times New Roman" w:hint="default"/>
        </w:rPr>
        <w:t>3</w:t>
      </w:r>
      <w:r>
        <w:rPr/>
        <w:t>、软实力建设</w:t>
      </w:r>
    </w:p>
    <w:p>
      <w:pPr>
        <w:pStyle w:val="BodyText"/>
        <w:spacing w:line="338" w:lineRule="auto" w:before="103"/>
        <w:ind w:left="513" w:right="94" w:hanging="89"/>
        <w:jc w:val="left"/>
      </w:pPr>
      <w:r>
        <w:rPr/>
        <w:t>（</w:t>
      </w:r>
      <w:r>
        <w:rPr>
          <w:rFonts w:ascii="Times New Roman" w:hAnsi="Times New Roman" w:cs="Times New Roman" w:eastAsia="Times New Roman" w:hint="default"/>
        </w:rPr>
        <w:t>1</w:t>
      </w:r>
      <w:r>
        <w:rPr/>
        <w:t>）全面深化集团化管控体系建设 </w:t>
      </w:r>
      <w:r>
        <w:rPr>
          <w:spacing w:val="-2"/>
        </w:rPr>
        <w:t>围绕集团化管理分工，细化总部服务、管理、监督职能，系统推进企管、财务、人力资源、公关、法务、审计、证券等</w:t>
      </w:r>
    </w:p>
    <w:p>
      <w:pPr>
        <w:pStyle w:val="BodyText"/>
        <w:spacing w:line="316" w:lineRule="auto" w:before="2"/>
        <w:ind w:left="153" w:right="194"/>
        <w:jc w:val="both"/>
      </w:pPr>
      <w:r>
        <w:rPr>
          <w:spacing w:val="-2"/>
        </w:rPr>
        <w:t>各子体系建设。持续打造战略研讨会、季度分析会、产销研协作协调会议等系列管理平台，进一步提升针对性、有效性并精</w:t>
      </w:r>
      <w:r>
        <w:rPr>
          <w:spacing w:val="-67"/>
        </w:rPr>
        <w:t> </w:t>
      </w:r>
      <w:r>
        <w:rPr>
          <w:spacing w:val="-67"/>
        </w:rPr>
      </w:r>
      <w:r>
        <w:rPr>
          <w:spacing w:val="-2"/>
        </w:rPr>
        <w:t>品化。加强集团化财务管控，细化子公司财务负责人岗位职责，推进合并报表平台建设，研究建立集团资金管控中心；提升</w:t>
      </w:r>
      <w:r>
        <w:rPr>
          <w:spacing w:val="-67"/>
        </w:rPr>
        <w:t> </w:t>
      </w:r>
      <w:r>
        <w:rPr>
          <w:spacing w:val="-67"/>
        </w:rPr>
      </w:r>
      <w:r>
        <w:rPr/>
        <w:t>审计综合应对能力，规避审计风险。</w:t>
      </w:r>
    </w:p>
    <w:p>
      <w:pPr>
        <w:pStyle w:val="BodyText"/>
        <w:spacing w:line="340" w:lineRule="auto" w:before="59"/>
        <w:ind w:left="513" w:right="94" w:hanging="89"/>
        <w:jc w:val="left"/>
      </w:pPr>
      <w:r>
        <w:rPr/>
        <w:t>（</w:t>
      </w:r>
      <w:r>
        <w:rPr>
          <w:rFonts w:ascii="Times New Roman" w:hAnsi="Times New Roman" w:cs="Times New Roman" w:eastAsia="Times New Roman" w:hint="default"/>
        </w:rPr>
        <w:t>2</w:t>
      </w:r>
      <w:r>
        <w:rPr/>
        <w:t>）围绕产业布局，推进人才战略实施 </w:t>
      </w:r>
      <w:r>
        <w:rPr>
          <w:spacing w:val="-4"/>
        </w:rPr>
        <w:t>加强关键岗位人才引进，招聘渠道拓展、高端人才精准定位等方式并举，重点引进中高端复合型人才、海外本地化人才、</w:t>
      </w:r>
    </w:p>
    <w:p>
      <w:pPr>
        <w:pStyle w:val="BodyText"/>
        <w:spacing w:line="316" w:lineRule="auto"/>
        <w:ind w:left="153" w:right="190"/>
        <w:jc w:val="both"/>
      </w:pPr>
      <w:r>
        <w:rPr>
          <w:spacing w:val="-2"/>
        </w:rPr>
        <w:t>投资专业化人才。发挥员工持股计划激励机制，以市场化为原则，鼓励二级企业探索更具竞争力的创新机制。加强总部人力</w:t>
      </w:r>
      <w:r>
        <w:rPr>
          <w:spacing w:val="-65"/>
        </w:rPr>
        <w:t> </w:t>
      </w:r>
      <w:r>
        <w:rPr>
          <w:spacing w:val="-65"/>
        </w:rPr>
      </w:r>
      <w:r>
        <w:rPr>
          <w:spacing w:val="-2"/>
        </w:rPr>
        <w:t>资源管理专业技能，建立人力资源集团化信息管理平台；组织落实干部管理办法，梳理中层干部任职资格标准，完善后备干</w:t>
      </w:r>
      <w:r>
        <w:rPr>
          <w:spacing w:val="-65"/>
        </w:rPr>
        <w:t> </w:t>
      </w:r>
      <w:r>
        <w:rPr>
          <w:spacing w:val="-65"/>
        </w:rPr>
      </w:r>
      <w:r>
        <w:rPr/>
        <w:t>部培养机制。</w:t>
      </w:r>
    </w:p>
    <w:p>
      <w:pPr>
        <w:pStyle w:val="BodyText"/>
        <w:spacing w:line="340" w:lineRule="auto" w:before="57"/>
        <w:ind w:left="513" w:right="94" w:hanging="89"/>
        <w:jc w:val="left"/>
      </w:pPr>
      <w:r>
        <w:rPr/>
        <w:t>（</w:t>
      </w:r>
      <w:r>
        <w:rPr>
          <w:rFonts w:ascii="Times New Roman" w:hAnsi="Times New Roman" w:cs="Times New Roman" w:eastAsia="Times New Roman" w:hint="default"/>
        </w:rPr>
        <w:t>3</w:t>
      </w:r>
      <w:r>
        <w:rPr/>
        <w:t>）持续提升品牌影响力 </w:t>
      </w:r>
      <w:r>
        <w:rPr>
          <w:spacing w:val="-4"/>
        </w:rPr>
        <w:t>建立、完善自媒体矩阵，深度运营杂志、内参、《沟通》等媒体传播平台，巩固与行业媒体、权威的公众媒体合作关系，</w:t>
      </w:r>
    </w:p>
    <w:p>
      <w:pPr>
        <w:pStyle w:val="BodyText"/>
        <w:spacing w:line="316" w:lineRule="auto"/>
        <w:ind w:left="153" w:right="194"/>
        <w:jc w:val="both"/>
      </w:pPr>
      <w:r>
        <w:rPr>
          <w:spacing w:val="-2"/>
        </w:rPr>
        <w:t>提升广电运通（集团）综合国际品牌地位。策划、组织好以核心文化理念导入为焦点的系列企业文化活动，增强员工的认同</w:t>
      </w:r>
      <w:r>
        <w:rPr>
          <w:spacing w:val="-67"/>
        </w:rPr>
        <w:t> </w:t>
      </w:r>
      <w:r>
        <w:rPr>
          <w:spacing w:val="-67"/>
        </w:rPr>
      </w:r>
      <w:r>
        <w:rPr/>
        <w:t>感、归属感和自豪感，促进新加盟成员对广电运通品牌与文化的认同。</w:t>
      </w:r>
    </w:p>
    <w:p>
      <w:pPr>
        <w:pStyle w:val="BodyText"/>
        <w:spacing w:line="240" w:lineRule="auto" w:before="59"/>
        <w:ind w:left="425" w:right="94"/>
        <w:jc w:val="left"/>
      </w:pPr>
      <w:r>
        <w:rPr/>
        <w:t>（四）资金需求及使用计划</w:t>
      </w:r>
    </w:p>
    <w:p>
      <w:pPr>
        <w:pStyle w:val="BodyText"/>
        <w:spacing w:line="312" w:lineRule="auto" w:before="115"/>
        <w:ind w:left="153" w:right="94" w:firstLine="360"/>
        <w:jc w:val="left"/>
      </w:pPr>
      <w:r>
        <w:rPr>
          <w:rFonts w:ascii="Times New Roman" w:hAnsi="Times New Roman" w:cs="Times New Roman" w:eastAsia="Times New Roman" w:hint="default"/>
          <w:spacing w:val="-4"/>
        </w:rPr>
        <w:t>2016</w:t>
      </w:r>
      <w:r>
        <w:rPr>
          <w:spacing w:val="-4"/>
        </w:rPr>
        <w:t>年是公司“十三五”开局之年，公司一方面将继续围绕“行业同心多元化”战略，对传统主业坚持清晰的战略布局，</w:t>
      </w:r>
      <w:r>
        <w:rPr/>
        <w:t> </w:t>
      </w:r>
      <w:r>
        <w:rPr>
          <w:spacing w:val="-2"/>
        </w:rPr>
        <w:t>发挥核心竞争力与成本优势，提升市场份额，持续巩固行业领先地位；另一方面，洞察外界环境变化与行业变革，以金融服</w:t>
      </w:r>
      <w:r>
        <w:rPr>
          <w:spacing w:val="-67"/>
        </w:rPr>
        <w:t> </w:t>
      </w:r>
      <w:r>
        <w:rPr>
          <w:spacing w:val="-67"/>
        </w:rPr>
      </w:r>
      <w:r>
        <w:rPr>
          <w:spacing w:val="-2"/>
        </w:rPr>
        <w:t>务需求为导向，将跨界创新与变革的意识融入企业发展的基因中，通过资本运作、并购、投资孵化创新项目等形式，实现产</w:t>
      </w:r>
      <w:r>
        <w:rPr>
          <w:spacing w:val="-65"/>
        </w:rPr>
        <w:t> </w:t>
      </w:r>
      <w:r>
        <w:rPr>
          <w:spacing w:val="-65"/>
        </w:rPr>
      </w:r>
      <w:r>
        <w:rPr>
          <w:spacing w:val="-2"/>
        </w:rPr>
        <w:t>业链全面扩张与资本有效增值。随着新项目的投入、产业链的整合、投资并购及及布局金融外包服务网络、收购武装押运公</w:t>
      </w:r>
      <w:r>
        <w:rPr>
          <w:spacing w:val="-64"/>
        </w:rPr>
        <w:t> </w:t>
      </w:r>
      <w:r>
        <w:rPr>
          <w:spacing w:val="-64"/>
        </w:rPr>
      </w:r>
      <w:r>
        <w:rPr>
          <w:spacing w:val="-4"/>
        </w:rPr>
        <w:t>司等项目的开展，公司对资金的需求有所增加。目前公司资产结构稳健、偿债能力较强、信贷资信良好，各种融资渠道畅通，</w:t>
      </w:r>
      <w:r>
        <w:rPr>
          <w:spacing w:val="-43"/>
        </w:rPr>
        <w:t> </w:t>
      </w:r>
      <w:r>
        <w:rPr>
          <w:spacing w:val="-43"/>
        </w:rPr>
      </w:r>
      <w:r>
        <w:rPr/>
        <w:t>再加上公司</w:t>
      </w:r>
      <w:r>
        <w:rPr>
          <w:rFonts w:ascii="Times New Roman" w:hAnsi="Times New Roman" w:cs="Times New Roman" w:eastAsia="Times New Roman" w:hint="default"/>
        </w:rPr>
        <w:t>2015</w:t>
      </w:r>
      <w:r>
        <w:rPr/>
        <w:t>年非公开发行股票事项业已完成，公司</w:t>
      </w:r>
      <w:r>
        <w:rPr>
          <w:rFonts w:ascii="Times New Roman" w:hAnsi="Times New Roman" w:cs="Times New Roman" w:eastAsia="Times New Roman" w:hint="default"/>
        </w:rPr>
        <w:t>311,552.98</w:t>
      </w:r>
      <w:r>
        <w:rPr/>
        <w:t>万元募集资金净额已到账，公司及各子公司发展的资金来</w:t>
      </w:r>
      <w:r>
        <w:rPr>
          <w:spacing w:val="-85"/>
        </w:rPr>
        <w:t> </w:t>
      </w:r>
      <w:r>
        <w:rPr>
          <w:spacing w:val="-85"/>
        </w:rPr>
      </w:r>
      <w:r>
        <w:rPr/>
        <w:t>源有充足的保障。</w:t>
      </w:r>
    </w:p>
    <w:p>
      <w:pPr>
        <w:spacing w:after="0" w:line="312"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423" w:right="0"/>
        <w:jc w:val="left"/>
      </w:pPr>
      <w:bookmarkStart w:name="十、接待调研、沟通、采访等活动" w:id="57"/>
      <w:bookmarkEnd w:id="57"/>
      <w:r>
        <w:rPr/>
      </w:r>
      <w:bookmarkStart w:name="1、报告期内接待调研、沟通、采访等活动登记表" w:id="58"/>
      <w:bookmarkEnd w:id="58"/>
      <w:r>
        <w:rPr/>
      </w:r>
      <w:r>
        <w:rPr/>
        <w:t>（五）公司面临的风险及应对措施</w:t>
      </w:r>
    </w:p>
    <w:p>
      <w:pPr>
        <w:pStyle w:val="BodyText"/>
        <w:spacing w:line="338" w:lineRule="auto" w:before="117"/>
        <w:ind w:left="512" w:right="0"/>
        <w:jc w:val="left"/>
      </w:pPr>
      <w:r>
        <w:rPr>
          <w:rFonts w:ascii="Times New Roman" w:hAnsi="Times New Roman" w:cs="Times New Roman" w:eastAsia="Times New Roman" w:hint="default"/>
        </w:rPr>
        <w:t>1</w:t>
      </w:r>
      <w:r>
        <w:rPr/>
        <w:t>、产品价格下行的风险 </w:t>
      </w:r>
      <w:r>
        <w:rPr>
          <w:rFonts w:ascii="Times New Roman" w:hAnsi="Times New Roman" w:cs="Times New Roman" w:eastAsia="Times New Roman" w:hint="default"/>
          <w:spacing w:val="-1"/>
        </w:rPr>
        <w:t>ATM</w:t>
      </w:r>
      <w:r>
        <w:rPr>
          <w:spacing w:val="-1"/>
        </w:rPr>
        <w:t>行业市场竞争日趋激烈，</w:t>
      </w:r>
      <w:r>
        <w:rPr>
          <w:rFonts w:ascii="Times New Roman" w:hAnsi="Times New Roman" w:cs="Times New Roman" w:eastAsia="Times New Roman" w:hint="default"/>
          <w:spacing w:val="-1"/>
        </w:rPr>
        <w:t>ATM</w:t>
      </w:r>
      <w:r>
        <w:rPr>
          <w:spacing w:val="-1"/>
        </w:rPr>
        <w:t>、清分机、</w:t>
      </w:r>
      <w:r>
        <w:rPr>
          <w:rFonts w:ascii="Times New Roman" w:hAnsi="Times New Roman" w:cs="Times New Roman" w:eastAsia="Times New Roman" w:hint="default"/>
          <w:spacing w:val="-1"/>
        </w:rPr>
        <w:t>VTM</w:t>
      </w:r>
      <w:r>
        <w:rPr>
          <w:spacing w:val="-1"/>
        </w:rPr>
        <w:t>等主流产品价格不断下滑，国产厂商逐渐成长为竞争主体，市场竞</w:t>
      </w:r>
    </w:p>
    <w:p>
      <w:pPr>
        <w:pStyle w:val="BodyText"/>
        <w:spacing w:line="217" w:lineRule="exact"/>
        <w:ind w:right="0"/>
        <w:jc w:val="left"/>
      </w:pPr>
      <w:r>
        <w:rPr/>
        <w:t>争手段多样性和不确定性增强，产品价格竞争激烈，部分竞争对手已出现利润下滑迹象。</w:t>
      </w:r>
    </w:p>
    <w:p>
      <w:pPr>
        <w:pStyle w:val="BodyText"/>
        <w:spacing w:line="316" w:lineRule="auto" w:before="117"/>
        <w:ind w:right="315" w:firstLine="360"/>
        <w:jc w:val="both"/>
      </w:pPr>
      <w:r>
        <w:rPr>
          <w:spacing w:val="-2"/>
        </w:rPr>
        <w:t>为此，公司将把握好国外品牌退出、国家自主可控技术要求等机遇，结合技术标准建设、战略合作推进等手段，努力占</w:t>
      </w:r>
      <w:r>
        <w:rPr/>
        <w:t> </w:t>
      </w:r>
      <w:r>
        <w:rPr>
          <w:spacing w:val="-2"/>
        </w:rPr>
        <w:t>据空白市场，提升市场占有率，扩大规模优势；在产品生产工艺和成本控制方面进行改善，优化工艺流程，提高生产效率和</w:t>
      </w:r>
      <w:r>
        <w:rPr>
          <w:spacing w:val="-67"/>
        </w:rPr>
        <w:t> </w:t>
      </w:r>
      <w:r>
        <w:rPr>
          <w:spacing w:val="-67"/>
        </w:rPr>
      </w:r>
      <w:r>
        <w:rPr>
          <w:spacing w:val="-2"/>
        </w:rPr>
        <w:t>产品合格率，同时完善直销体系建设，持续降低销售费用支出比例，最终有效降低成本；推进整体解决方案营销，打造全面</w:t>
      </w:r>
      <w:r>
        <w:rPr>
          <w:spacing w:val="-67"/>
        </w:rPr>
        <w:t> </w:t>
      </w:r>
      <w:r>
        <w:rPr>
          <w:spacing w:val="-67"/>
        </w:rPr>
      </w:r>
      <w:r>
        <w:rPr/>
        <w:t>解决方案影响力和差异化竞争优势。</w:t>
      </w:r>
    </w:p>
    <w:p>
      <w:pPr>
        <w:pStyle w:val="BodyText"/>
        <w:spacing w:line="338" w:lineRule="auto" w:before="59"/>
        <w:ind w:left="512" w:right="0"/>
        <w:jc w:val="left"/>
      </w:pPr>
      <w:r>
        <w:rPr>
          <w:rFonts w:ascii="Times New Roman" w:hAnsi="Times New Roman" w:cs="Times New Roman" w:eastAsia="Times New Roman" w:hint="default"/>
        </w:rPr>
        <w:t>2</w:t>
      </w:r>
      <w:r>
        <w:rPr/>
        <w:t>、开展</w:t>
      </w:r>
      <w:r>
        <w:rPr>
          <w:rFonts w:ascii="Times New Roman" w:hAnsi="Times New Roman" w:cs="Times New Roman" w:eastAsia="Times New Roman" w:hint="default"/>
        </w:rPr>
        <w:t>ATM</w:t>
      </w:r>
      <w:r>
        <w:rPr/>
        <w:t>外包服务的运营风险 公司未来拟大力开展</w:t>
      </w:r>
      <w:r>
        <w:rPr>
          <w:rFonts w:ascii="Times New Roman" w:hAnsi="Times New Roman" w:cs="Times New Roman" w:eastAsia="Times New Roman" w:hint="default"/>
        </w:rPr>
        <w:t>ATM</w:t>
      </w:r>
      <w:r>
        <w:rPr/>
        <w:t>外包服务中的现金管理业务，主要包括武装押运、清机加钞、现金清分、现金预测、金库管</w:t>
      </w:r>
    </w:p>
    <w:p>
      <w:pPr>
        <w:pStyle w:val="BodyText"/>
        <w:spacing w:line="217" w:lineRule="exact"/>
        <w:ind w:right="0"/>
        <w:jc w:val="left"/>
      </w:pPr>
      <w:r>
        <w:rPr/>
        <w:t>理等过程，现金由于其特殊性，可能出现意外损失，即使公司已经为相关业务购买了一定额度的保险，仍有可能出现公司赔</w:t>
      </w:r>
    </w:p>
    <w:p>
      <w:pPr>
        <w:pStyle w:val="BodyText"/>
        <w:spacing w:line="360" w:lineRule="auto" w:before="76"/>
        <w:ind w:left="512" w:right="0" w:hanging="360"/>
        <w:jc w:val="left"/>
      </w:pPr>
      <w:r>
        <w:rPr/>
        <w:t>付客户现金损失的风险。 </w:t>
      </w:r>
      <w:r>
        <w:rPr>
          <w:spacing w:val="-2"/>
        </w:rPr>
        <w:t>其中，武装押运的持枪经营具有特殊性，枪支在对犯罪份子产生巨大的震慑作用的同时亦可能因为管理不当导致巨大的</w:t>
      </w:r>
    </w:p>
    <w:p>
      <w:pPr>
        <w:pStyle w:val="BodyText"/>
        <w:spacing w:line="222" w:lineRule="exact"/>
        <w:ind w:right="0"/>
        <w:jc w:val="left"/>
      </w:pPr>
      <w:r>
        <w:rPr/>
        <w:t>危害性，存在一定的运营风险。由此，公司制定了严格的管理制度并运用信息技术手段规范枪支的使用，同时，增强管理团</w:t>
      </w:r>
    </w:p>
    <w:p>
      <w:pPr>
        <w:pStyle w:val="BodyText"/>
        <w:spacing w:line="240" w:lineRule="auto" w:before="76"/>
        <w:ind w:right="0"/>
        <w:jc w:val="left"/>
      </w:pPr>
      <w:r>
        <w:rPr/>
        <w:t>队的枪支管理意识，维持管理团队稳定，加强管理输出，使得武装押运公司顺利运转。</w:t>
      </w:r>
    </w:p>
    <w:p>
      <w:pPr>
        <w:pStyle w:val="BodyText"/>
        <w:spacing w:line="240" w:lineRule="auto" w:before="117"/>
        <w:ind w:left="512" w:right="0"/>
        <w:jc w:val="left"/>
      </w:pPr>
      <w:r>
        <w:rPr>
          <w:rFonts w:ascii="Times New Roman" w:hAnsi="Times New Roman" w:cs="Times New Roman" w:eastAsia="Times New Roman" w:hint="default"/>
        </w:rPr>
        <w:t>3</w:t>
      </w:r>
      <w:r>
        <w:rPr/>
        <w:t>、投资风险</w:t>
      </w:r>
    </w:p>
    <w:p>
      <w:pPr>
        <w:pStyle w:val="BodyText"/>
        <w:spacing w:line="316" w:lineRule="auto" w:before="101"/>
        <w:ind w:right="213" w:firstLine="362"/>
        <w:jc w:val="left"/>
      </w:pPr>
      <w:r>
        <w:rPr/>
        <w:t>根据</w:t>
      </w:r>
      <w:r>
        <w:rPr>
          <w:spacing w:val="9"/>
        </w:rPr>
        <w:t> </w:t>
      </w:r>
      <w:r>
        <w:rPr>
          <w:spacing w:val="-2"/>
        </w:rPr>
        <w:t>“实业与资本双轮驱动”的发展理念，紧紧围绕行业同心多元化，洞察外界环境变化与行业变革，紧盯金融机具、</w:t>
      </w:r>
      <w:r>
        <w:rPr/>
        <w:t> </w:t>
      </w:r>
      <w:r>
        <w:rPr>
          <w:spacing w:val="-2"/>
        </w:rPr>
        <w:t>金融外包服务、软件与信息技术、生物识别、金融安防、信息安全、金融大数据、云计算等国家政策鼓励发展的战略新兴产</w:t>
      </w:r>
      <w:r>
        <w:rPr>
          <w:spacing w:val="-68"/>
        </w:rPr>
        <w:t> </w:t>
      </w:r>
      <w:r>
        <w:rPr>
          <w:spacing w:val="-68"/>
        </w:rPr>
      </w:r>
      <w:r>
        <w:rPr>
          <w:spacing w:val="-2"/>
        </w:rPr>
        <w:t>业，将跨界创新与变革的意识融入企业发展的基因中，通过资本运作、并购、投资孵化创新项目等形式，实现产业链全面扩</w:t>
      </w:r>
      <w:r>
        <w:rPr>
          <w:spacing w:val="-67"/>
        </w:rPr>
        <w:t> </w:t>
      </w:r>
      <w:r>
        <w:rPr>
          <w:spacing w:val="-67"/>
        </w:rPr>
      </w:r>
      <w:r>
        <w:rPr/>
        <w:t>张与资本有效增值。公司在投资过程中将面临宏观经济波动影响、收益不及预期、未来团队整合及运营管理等风险。</w:t>
      </w:r>
    </w:p>
    <w:p>
      <w:pPr>
        <w:pStyle w:val="BodyText"/>
        <w:spacing w:line="316" w:lineRule="auto" w:before="59"/>
        <w:ind w:right="0" w:firstLine="360"/>
        <w:jc w:val="left"/>
      </w:pPr>
      <w:r>
        <w:rPr>
          <w:spacing w:val="-2"/>
        </w:rPr>
        <w:t>为此，公司一方面将加强市场分析和调研，严格执行《对外投资管理办法》、《风险投资管理制度》，必要时聘请外部</w:t>
      </w:r>
      <w:r>
        <w:rPr/>
        <w:t> </w:t>
      </w:r>
      <w:r>
        <w:rPr>
          <w:spacing w:val="-2"/>
        </w:rPr>
        <w:t>具有丰富投资实战管理经验的人员为公司对外投资提供咨询服务，努力降低投资风险。另一方面，公司将最大限度保留原管</w:t>
      </w:r>
      <w:r>
        <w:rPr>
          <w:spacing w:val="-66"/>
        </w:rPr>
        <w:t> </w:t>
      </w:r>
      <w:r>
        <w:rPr>
          <w:spacing w:val="-66"/>
        </w:rPr>
      </w:r>
      <w:r>
        <w:rPr>
          <w:spacing w:val="-4"/>
        </w:rPr>
        <w:t>理团队，利用原管理团队对项目进行日常管理，并保持与当地政府、客户之间良好的关系，使投资完成后的公司能平稳过渡、</w:t>
      </w:r>
      <w:r>
        <w:rPr>
          <w:spacing w:val="-46"/>
        </w:rPr>
        <w:t> </w:t>
      </w:r>
      <w:r>
        <w:rPr>
          <w:spacing w:val="-46"/>
        </w:rPr>
      </w:r>
      <w:r>
        <w:rPr/>
        <w:t>顺利运转。</w:t>
      </w:r>
    </w:p>
    <w:p>
      <w:pPr>
        <w:pStyle w:val="BodyText"/>
        <w:spacing w:line="338" w:lineRule="auto" w:before="59"/>
        <w:ind w:left="512" w:right="0"/>
        <w:jc w:val="left"/>
      </w:pPr>
      <w:r>
        <w:rPr>
          <w:rFonts w:ascii="Times New Roman" w:hAnsi="Times New Roman" w:cs="Times New Roman" w:eastAsia="Times New Roman" w:hint="default"/>
        </w:rPr>
        <w:t>4</w:t>
      </w:r>
      <w:r>
        <w:rPr/>
        <w:t>、经营规模迅速扩张导致的管理风险 </w:t>
      </w:r>
      <w:r>
        <w:rPr>
          <w:spacing w:val="-2"/>
        </w:rPr>
        <w:t>随着公司金融外包服务网络布局的逐步开展，公司资产规模、经营规模、人员规模将迅速扩大，下设的分、子、孙公司</w:t>
      </w:r>
    </w:p>
    <w:p>
      <w:pPr>
        <w:pStyle w:val="BodyText"/>
        <w:spacing w:line="360" w:lineRule="auto" w:before="2"/>
        <w:ind w:left="512" w:right="0" w:hanging="360"/>
        <w:jc w:val="left"/>
      </w:pPr>
      <w:r>
        <w:rPr/>
        <w:t>增多且分布分散，公司经营管理的复杂程度大大提高，面临着管理风险。 </w:t>
      </w:r>
      <w:r>
        <w:rPr>
          <w:spacing w:val="-2"/>
        </w:rPr>
        <w:t>为此，公司围绕集团化管理分工，细化总部服务、管理、监督职能，系统推进企管、财务、人力资源、公关、法务、审</w:t>
      </w:r>
    </w:p>
    <w:p>
      <w:pPr>
        <w:pStyle w:val="BodyText"/>
        <w:spacing w:line="222" w:lineRule="exact"/>
        <w:ind w:right="0"/>
        <w:jc w:val="left"/>
      </w:pPr>
      <w:r>
        <w:rPr/>
        <w:t>计、证券等各子体系建设，进一步细化和完善分、子、孙公司的经营管理体系；加强集团化财务管控，细化子公司财务负责</w:t>
      </w:r>
    </w:p>
    <w:p>
      <w:pPr>
        <w:pStyle w:val="BodyText"/>
        <w:spacing w:line="316" w:lineRule="auto" w:before="76"/>
        <w:ind w:right="0"/>
        <w:jc w:val="left"/>
      </w:pPr>
      <w:r>
        <w:rPr>
          <w:spacing w:val="-2"/>
        </w:rPr>
        <w:t>人岗位职责，推进合并报表平台建设，研究建立集团资金管控中心，提升审计综合应对能力；同时加强企业文化建设，提高</w:t>
      </w:r>
      <w:r>
        <w:rPr>
          <w:spacing w:val="-67"/>
        </w:rPr>
        <w:t> </w:t>
      </w:r>
      <w:r>
        <w:rPr>
          <w:spacing w:val="-67"/>
        </w:rPr>
      </w:r>
      <w:r>
        <w:rPr/>
        <w:t>全体人员的企业认同感和归属感，努力降低管理风险。</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44"/>
        <w:ind w:left="0" w:right="109"/>
        <w:jc w:val="right"/>
      </w:pPr>
      <w:r>
        <w:rPr/>
        <w:pict>
          <v:shape style="position:absolute;margin-left:56.400002pt;margin-top:-76.088287pt;width:489.75pt;height:9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850"/>
                    <w:gridCol w:w="566"/>
                    <w:gridCol w:w="6946"/>
                  </w:tblGrid>
                  <w:tr>
                    <w:trPr>
                      <w:trHeight w:val="1106"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接待 对象 类型</w:t>
                        </w:r>
                      </w:p>
                    </w:tc>
                    <w:tc>
                      <w:tcPr>
                        <w:tcW w:w="6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）《广电运通：</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日投资者关系活动记录表》</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p>
              </w:txbxContent>
            </v:textbox>
            <w10:wrap type="none"/>
          </v:shape>
        </w:pict>
      </w:r>
      <w:r>
        <w:rPr/>
        <w:t>》</w:t>
      </w:r>
    </w:p>
    <w:p>
      <w:pPr>
        <w:spacing w:after="0" w:line="240" w:lineRule="auto"/>
        <w:jc w:val="right"/>
        <w:sectPr>
          <w:pgSz w:w="11910" w:h="16840"/>
          <w:pgMar w:header="877" w:footer="982" w:top="1100" w:bottom="1180" w:left="980" w:right="820"/>
        </w:sectPr>
      </w:pPr>
    </w:p>
    <w:p>
      <w:pPr>
        <w:spacing w:line="240" w:lineRule="auto" w:before="6"/>
        <w:rPr>
          <w:rFonts w:ascii="Times New Roman" w:hAnsi="Times New Roman" w:cs="Times New Roman" w:eastAsia="Times New Roman" w:hint="default"/>
          <w:sz w:val="27"/>
          <w:szCs w:val="27"/>
        </w:rPr>
      </w:pPr>
    </w:p>
    <w:p>
      <w:pPr>
        <w:spacing w:line="4843"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492.5pt;height:242.2pt;mso-position-horizontal-relative:char;mso-position-vertical-relative:line" coordorigin="0,0" coordsize="9850,4844">
            <v:group style="position:absolute;left:10;top:10;width:1409;height:2" coordorigin="10,10" coordsize="1409,2">
              <v:shape style="position:absolute;left:10;top:10;width:1409;height:2" coordorigin="10,10" coordsize="1409,0" path="m10,10l1418,10e" filled="false" stroked="true" strokeweight=".48pt" strokecolor="#000000">
                <v:path arrowok="t"/>
              </v:shape>
            </v:group>
            <v:group style="position:absolute;left:1428;top:10;width:840;height:2" coordorigin="1428,10" coordsize="840,2">
              <v:shape style="position:absolute;left:1428;top:10;width:840;height:2" coordorigin="1428,10" coordsize="840,0" path="m1428,10l2268,10e" filled="false" stroked="true" strokeweight=".48pt" strokecolor="#000000">
                <v:path arrowok="t"/>
              </v:shape>
            </v:group>
            <v:group style="position:absolute;left:2278;top:10;width:557;height:2" coordorigin="2278,10" coordsize="557,2">
              <v:shape style="position:absolute;left:2278;top:10;width:557;height:2" coordorigin="2278,10" coordsize="557,0" path="m2278,10l2834,10e" filled="false" stroked="true" strokeweight=".48pt" strokecolor="#000000">
                <v:path arrowok="t"/>
              </v:shape>
            </v:group>
            <v:group style="position:absolute;left:2844;top:10;width:6936;height:2" coordorigin="2844,10" coordsize="6936,2">
              <v:shape style="position:absolute;left:2844;top:10;width:6936;height:2" coordorigin="2844,10" coordsize="6936,0" path="m2844,10l9780,10e" filled="false" stroked="true" strokeweight=".48pt" strokecolor="#000000">
                <v:path arrowok="t"/>
              </v:shape>
            </v:group>
            <v:group style="position:absolute;left:10;top:410;width:1409;height:2" coordorigin="10,410" coordsize="1409,2">
              <v:shape style="position:absolute;left:10;top:410;width:1409;height:2" coordorigin="10,410" coordsize="1409,0" path="m10,410l1418,410e" filled="false" stroked="true" strokeweight=".48pt" strokecolor="#000000">
                <v:path arrowok="t"/>
              </v:shape>
            </v:group>
            <v:group style="position:absolute;left:1428;top:410;width:840;height:2" coordorigin="1428,410" coordsize="840,2">
              <v:shape style="position:absolute;left:1428;top:410;width:840;height:2" coordorigin="1428,410" coordsize="840,0" path="m1428,410l2268,410e" filled="false" stroked="true" strokeweight=".48pt" strokecolor="#000000">
                <v:path arrowok="t"/>
              </v:shape>
            </v:group>
            <v:group style="position:absolute;left:2278;top:410;width:557;height:2" coordorigin="2278,410" coordsize="557,2">
              <v:shape style="position:absolute;left:2278;top:410;width:557;height:2" coordorigin="2278,410" coordsize="557,0" path="m2278,410l2834,410e" filled="false" stroked="true" strokeweight=".48pt" strokecolor="#000000">
                <v:path arrowok="t"/>
              </v:shape>
            </v:group>
            <v:group style="position:absolute;left:2844;top:410;width:6936;height:2" coordorigin="2844,410" coordsize="6936,2">
              <v:shape style="position:absolute;left:2844;top:410;width:6936;height:2" coordorigin="2844,410" coordsize="6936,0" path="m2844,410l9780,410e" filled="false" stroked="true" strokeweight=".48pt" strokecolor="#000000">
                <v:path arrowok="t"/>
              </v:shape>
            </v:group>
            <v:group style="position:absolute;left:10;top:814;width:1409;height:2" coordorigin="10,814" coordsize="1409,2">
              <v:shape style="position:absolute;left:10;top:814;width:1409;height:2" coordorigin="10,814" coordsize="1409,0" path="m10,814l1418,814e" filled="false" stroked="true" strokeweight=".48pt" strokecolor="#000000">
                <v:path arrowok="t"/>
              </v:shape>
            </v:group>
            <v:group style="position:absolute;left:1428;top:814;width:840;height:2" coordorigin="1428,814" coordsize="840,2">
              <v:shape style="position:absolute;left:1428;top:814;width:840;height:2" coordorigin="1428,814" coordsize="840,0" path="m1428,814l2268,814e" filled="false" stroked="true" strokeweight=".48pt" strokecolor="#000000">
                <v:path arrowok="t"/>
              </v:shape>
            </v:group>
            <v:group style="position:absolute;left:2278;top:814;width:557;height:2" coordorigin="2278,814" coordsize="557,2">
              <v:shape style="position:absolute;left:2278;top:814;width:557;height:2" coordorigin="2278,814" coordsize="557,0" path="m2278,814l2834,814e" filled="false" stroked="true" strokeweight=".48pt" strokecolor="#000000">
                <v:path arrowok="t"/>
              </v:shape>
            </v:group>
            <v:group style="position:absolute;left:2844;top:814;width:6936;height:2" coordorigin="2844,814" coordsize="6936,2">
              <v:shape style="position:absolute;left:2844;top:814;width:6936;height:2" coordorigin="2844,814" coordsize="6936,0" path="m2844,814l9780,814e" filled="false" stroked="true" strokeweight=".48pt" strokecolor="#000000">
                <v:path arrowok="t"/>
              </v:shape>
            </v:group>
            <v:group style="position:absolute;left:10;top:1214;width:1409;height:2" coordorigin="10,1214" coordsize="1409,2">
              <v:shape style="position:absolute;left:10;top:1214;width:1409;height:2" coordorigin="10,1214" coordsize="1409,0" path="m10,1214l1418,1214e" filled="false" stroked="true" strokeweight=".48pt" strokecolor="#000000">
                <v:path arrowok="t"/>
              </v:shape>
            </v:group>
            <v:group style="position:absolute;left:1428;top:1214;width:840;height:2" coordorigin="1428,1214" coordsize="840,2">
              <v:shape style="position:absolute;left:1428;top:1214;width:840;height:2" coordorigin="1428,1214" coordsize="840,0" path="m1428,1214l2268,1214e" filled="false" stroked="true" strokeweight=".48pt" strokecolor="#000000">
                <v:path arrowok="t"/>
              </v:shape>
            </v:group>
            <v:group style="position:absolute;left:2278;top:1214;width:557;height:2" coordorigin="2278,1214" coordsize="557,2">
              <v:shape style="position:absolute;left:2278;top:1214;width:557;height:2" coordorigin="2278,1214" coordsize="557,0" path="m2278,1214l2834,1214e" filled="false" stroked="true" strokeweight=".48pt" strokecolor="#000000">
                <v:path arrowok="t"/>
              </v:shape>
            </v:group>
            <v:group style="position:absolute;left:2844;top:1214;width:6936;height:2" coordorigin="2844,1214" coordsize="6936,2">
              <v:shape style="position:absolute;left:2844;top:1214;width:6936;height:2" coordorigin="2844,1214" coordsize="6936,0" path="m2844,1214l9780,1214e" filled="false" stroked="true" strokeweight=".48pt" strokecolor="#000000">
                <v:path arrowok="t"/>
              </v:shape>
            </v:group>
            <v:group style="position:absolute;left:10;top:1618;width:1409;height:2" coordorigin="10,1618" coordsize="1409,2">
              <v:shape style="position:absolute;left:10;top:1618;width:1409;height:2" coordorigin="10,1618" coordsize="1409,0" path="m10,1618l1418,1618e" filled="false" stroked="true" strokeweight=".48pt" strokecolor="#000000">
                <v:path arrowok="t"/>
              </v:shape>
            </v:group>
            <v:group style="position:absolute;left:1428;top:1618;width:840;height:2" coordorigin="1428,1618" coordsize="840,2">
              <v:shape style="position:absolute;left:1428;top:1618;width:840;height:2" coordorigin="1428,1618" coordsize="840,0" path="m1428,1618l2268,1618e" filled="false" stroked="true" strokeweight=".48pt" strokecolor="#000000">
                <v:path arrowok="t"/>
              </v:shape>
            </v:group>
            <v:group style="position:absolute;left:2278;top:1618;width:557;height:2" coordorigin="2278,1618" coordsize="557,2">
              <v:shape style="position:absolute;left:2278;top:1618;width:557;height:2" coordorigin="2278,1618" coordsize="557,0" path="m2278,1618l2834,1618e" filled="false" stroked="true" strokeweight=".48pt" strokecolor="#000000">
                <v:path arrowok="t"/>
              </v:shape>
            </v:group>
            <v:group style="position:absolute;left:2844;top:1618;width:6936;height:2" coordorigin="2844,1618" coordsize="6936,2">
              <v:shape style="position:absolute;left:2844;top:1618;width:6936;height:2" coordorigin="2844,1618" coordsize="6936,0" path="m2844,1618l9780,1618e" filled="false" stroked="true" strokeweight=".48pt" strokecolor="#000000">
                <v:path arrowok="t"/>
              </v:shape>
            </v:group>
            <v:group style="position:absolute;left:10;top:2018;width:1409;height:2" coordorigin="10,2018" coordsize="1409,2">
              <v:shape style="position:absolute;left:10;top:2018;width:1409;height:2" coordorigin="10,2018" coordsize="1409,0" path="m10,2018l1418,2018e" filled="false" stroked="true" strokeweight=".48pt" strokecolor="#000000">
                <v:path arrowok="t"/>
              </v:shape>
            </v:group>
            <v:group style="position:absolute;left:1428;top:2018;width:840;height:2" coordorigin="1428,2018" coordsize="840,2">
              <v:shape style="position:absolute;left:1428;top:2018;width:840;height:2" coordorigin="1428,2018" coordsize="840,0" path="m1428,2018l2268,2018e" filled="false" stroked="true" strokeweight=".48pt" strokecolor="#000000">
                <v:path arrowok="t"/>
              </v:shape>
            </v:group>
            <v:group style="position:absolute;left:2278;top:2018;width:557;height:2" coordorigin="2278,2018" coordsize="557,2">
              <v:shape style="position:absolute;left:2278;top:2018;width:557;height:2" coordorigin="2278,2018" coordsize="557,0" path="m2278,2018l2834,2018e" filled="false" stroked="true" strokeweight=".48pt" strokecolor="#000000">
                <v:path arrowok="t"/>
              </v:shape>
            </v:group>
            <v:group style="position:absolute;left:2844;top:2018;width:6936;height:2" coordorigin="2844,2018" coordsize="6936,2">
              <v:shape style="position:absolute;left:2844;top:2018;width:6936;height:2" coordorigin="2844,2018" coordsize="6936,0" path="m2844,2018l9780,2018e" filled="false" stroked="true" strokeweight=".48pt" strokecolor="#000000">
                <v:path arrowok="t"/>
              </v:shape>
            </v:group>
            <v:group style="position:absolute;left:10;top:2422;width:1409;height:2" coordorigin="10,2422" coordsize="1409,2">
              <v:shape style="position:absolute;left:10;top:2422;width:1409;height:2" coordorigin="10,2422" coordsize="1409,0" path="m10,2422l1418,2422e" filled="false" stroked="true" strokeweight=".48pt" strokecolor="#000000">
                <v:path arrowok="t"/>
              </v:shape>
            </v:group>
            <v:group style="position:absolute;left:1428;top:2422;width:840;height:2" coordorigin="1428,2422" coordsize="840,2">
              <v:shape style="position:absolute;left:1428;top:2422;width:840;height:2" coordorigin="1428,2422" coordsize="840,0" path="m1428,2422l2268,2422e" filled="false" stroked="true" strokeweight=".48pt" strokecolor="#000000">
                <v:path arrowok="t"/>
              </v:shape>
            </v:group>
            <v:group style="position:absolute;left:2278;top:2422;width:557;height:2" coordorigin="2278,2422" coordsize="557,2">
              <v:shape style="position:absolute;left:2278;top:2422;width:557;height:2" coordorigin="2278,2422" coordsize="557,0" path="m2278,2422l2834,2422e" filled="false" stroked="true" strokeweight=".48pt" strokecolor="#000000">
                <v:path arrowok="t"/>
              </v:shape>
            </v:group>
            <v:group style="position:absolute;left:2844;top:2422;width:6936;height:2" coordorigin="2844,2422" coordsize="6936,2">
              <v:shape style="position:absolute;left:2844;top:2422;width:6936;height:2" coordorigin="2844,2422" coordsize="6936,0" path="m2844,2422l9780,2422e" filled="false" stroked="true" strokeweight=".48pt" strokecolor="#000000">
                <v:path arrowok="t"/>
              </v:shape>
            </v:group>
            <v:group style="position:absolute;left:10;top:2822;width:1409;height:2" coordorigin="10,2822" coordsize="1409,2">
              <v:shape style="position:absolute;left:10;top:2822;width:1409;height:2" coordorigin="10,2822" coordsize="1409,0" path="m10,2822l1418,2822e" filled="false" stroked="true" strokeweight=".48pt" strokecolor="#000000">
                <v:path arrowok="t"/>
              </v:shape>
            </v:group>
            <v:group style="position:absolute;left:1428;top:2822;width:840;height:2" coordorigin="1428,2822" coordsize="840,2">
              <v:shape style="position:absolute;left:1428;top:2822;width:840;height:2" coordorigin="1428,2822" coordsize="840,0" path="m1428,2822l2268,2822e" filled="false" stroked="true" strokeweight=".48pt" strokecolor="#000000">
                <v:path arrowok="t"/>
              </v:shape>
            </v:group>
            <v:group style="position:absolute;left:2278;top:2822;width:557;height:2" coordorigin="2278,2822" coordsize="557,2">
              <v:shape style="position:absolute;left:2278;top:2822;width:557;height:2" coordorigin="2278,2822" coordsize="557,0" path="m2278,2822l2834,2822e" filled="false" stroked="true" strokeweight=".48pt" strokecolor="#000000">
                <v:path arrowok="t"/>
              </v:shape>
            </v:group>
            <v:group style="position:absolute;left:2844;top:2822;width:6936;height:2" coordorigin="2844,2822" coordsize="6936,2">
              <v:shape style="position:absolute;left:2844;top:2822;width:6936;height:2" coordorigin="2844,2822" coordsize="6936,0" path="m2844,2822l9780,2822e" filled="false" stroked="true" strokeweight=".48pt" strokecolor="#000000">
                <v:path arrowok="t"/>
              </v:shape>
            </v:group>
            <v:group style="position:absolute;left:10;top:3226;width:1409;height:2" coordorigin="10,3226" coordsize="1409,2">
              <v:shape style="position:absolute;left:10;top:3226;width:1409;height:2" coordorigin="10,3226" coordsize="1409,0" path="m10,3226l1418,3226e" filled="false" stroked="true" strokeweight=".48pt" strokecolor="#000000">
                <v:path arrowok="t"/>
              </v:shape>
            </v:group>
            <v:group style="position:absolute;left:1428;top:3226;width:840;height:2" coordorigin="1428,3226" coordsize="840,2">
              <v:shape style="position:absolute;left:1428;top:3226;width:840;height:2" coordorigin="1428,3226" coordsize="840,0" path="m1428,3226l2268,3226e" filled="false" stroked="true" strokeweight=".48pt" strokecolor="#000000">
                <v:path arrowok="t"/>
              </v:shape>
            </v:group>
            <v:group style="position:absolute;left:2278;top:3226;width:557;height:2" coordorigin="2278,3226" coordsize="557,2">
              <v:shape style="position:absolute;left:2278;top:3226;width:557;height:2" coordorigin="2278,3226" coordsize="557,0" path="m2278,3226l2834,3226e" filled="false" stroked="true" strokeweight=".48pt" strokecolor="#000000">
                <v:path arrowok="t"/>
              </v:shape>
            </v:group>
            <v:group style="position:absolute;left:2844;top:3226;width:6936;height:2" coordorigin="2844,3226" coordsize="6936,2">
              <v:shape style="position:absolute;left:2844;top:3226;width:6936;height:2" coordorigin="2844,3226" coordsize="6936,0" path="m2844,3226l9780,3226e" filled="false" stroked="true" strokeweight=".48pt" strokecolor="#000000">
                <v:path arrowok="t"/>
              </v:shape>
            </v:group>
            <v:group style="position:absolute;left:10;top:3626;width:1409;height:2" coordorigin="10,3626" coordsize="1409,2">
              <v:shape style="position:absolute;left:10;top:3626;width:1409;height:2" coordorigin="10,3626" coordsize="1409,0" path="m10,3626l1418,3626e" filled="false" stroked="true" strokeweight=".48pt" strokecolor="#000000">
                <v:path arrowok="t"/>
              </v:shape>
            </v:group>
            <v:group style="position:absolute;left:1428;top:3626;width:840;height:2" coordorigin="1428,3626" coordsize="840,2">
              <v:shape style="position:absolute;left:1428;top:3626;width:840;height:2" coordorigin="1428,3626" coordsize="840,0" path="m1428,3626l2268,3626e" filled="false" stroked="true" strokeweight=".48pt" strokecolor="#000000">
                <v:path arrowok="t"/>
              </v:shape>
            </v:group>
            <v:group style="position:absolute;left:2278;top:3626;width:557;height:2" coordorigin="2278,3626" coordsize="557,2">
              <v:shape style="position:absolute;left:2278;top:3626;width:557;height:2" coordorigin="2278,3626" coordsize="557,0" path="m2278,3626l2834,3626e" filled="false" stroked="true" strokeweight=".48pt" strokecolor="#000000">
                <v:path arrowok="t"/>
              </v:shape>
            </v:group>
            <v:group style="position:absolute;left:2844;top:3626;width:6936;height:2" coordorigin="2844,3626" coordsize="6936,2">
              <v:shape style="position:absolute;left:2844;top:3626;width:6936;height:2" coordorigin="2844,3626" coordsize="6936,0" path="m2844,3626l9780,3626e" filled="false" stroked="true" strokeweight=".48pt" strokecolor="#000000">
                <v:path arrowok="t"/>
              </v:shape>
            </v:group>
            <v:group style="position:absolute;left:10;top:4030;width:1409;height:2" coordorigin="10,4030" coordsize="1409,2">
              <v:shape style="position:absolute;left:10;top:4030;width:1409;height:2" coordorigin="10,4030" coordsize="1409,0" path="m10,4030l1418,4030e" filled="false" stroked="true" strokeweight=".48pt" strokecolor="#000000">
                <v:path arrowok="t"/>
              </v:shape>
            </v:group>
            <v:group style="position:absolute;left:1428;top:4030;width:840;height:2" coordorigin="1428,4030" coordsize="840,2">
              <v:shape style="position:absolute;left:1428;top:4030;width:840;height:2" coordorigin="1428,4030" coordsize="840,0" path="m1428,4030l2268,4030e" filled="false" stroked="true" strokeweight=".48pt" strokecolor="#000000">
                <v:path arrowok="t"/>
              </v:shape>
            </v:group>
            <v:group style="position:absolute;left:2278;top:4030;width:557;height:2" coordorigin="2278,4030" coordsize="557,2">
              <v:shape style="position:absolute;left:2278;top:4030;width:557;height:2" coordorigin="2278,4030" coordsize="557,0" path="m2278,4030l2834,4030e" filled="false" stroked="true" strokeweight=".48pt" strokecolor="#000000">
                <v:path arrowok="t"/>
              </v:shape>
            </v:group>
            <v:group style="position:absolute;left:2844;top:4030;width:6936;height:2" coordorigin="2844,4030" coordsize="6936,2">
              <v:shape style="position:absolute;left:2844;top:4030;width:6936;height:2" coordorigin="2844,4030" coordsize="6936,0" path="m2844,4030l9780,4030e" filled="false" stroked="true" strokeweight=".48pt" strokecolor="#000000">
                <v:path arrowok="t"/>
              </v:shape>
            </v:group>
            <v:group style="position:absolute;left:10;top:4430;width:1409;height:2" coordorigin="10,4430" coordsize="1409,2">
              <v:shape style="position:absolute;left:10;top:4430;width:1409;height:2" coordorigin="10,4430" coordsize="1409,0" path="m10,4430l1418,4430e" filled="false" stroked="true" strokeweight=".48pt" strokecolor="#000000">
                <v:path arrowok="t"/>
              </v:shape>
            </v:group>
            <v:group style="position:absolute;left:1428;top:4430;width:840;height:2" coordorigin="1428,4430" coordsize="840,2">
              <v:shape style="position:absolute;left:1428;top:4430;width:840;height:2" coordorigin="1428,4430" coordsize="840,0" path="m1428,4430l2268,4430e" filled="false" stroked="true" strokeweight=".48pt" strokecolor="#000000">
                <v:path arrowok="t"/>
              </v:shape>
            </v:group>
            <v:group style="position:absolute;left:2278;top:4430;width:557;height:2" coordorigin="2278,4430" coordsize="557,2">
              <v:shape style="position:absolute;left:2278;top:4430;width:557;height:2" coordorigin="2278,4430" coordsize="557,0" path="m2278,4430l2834,4430e" filled="false" stroked="true" strokeweight=".48pt" strokecolor="#000000">
                <v:path arrowok="t"/>
              </v:shape>
            </v:group>
            <v:group style="position:absolute;left:2844;top:4430;width:6936;height:2" coordorigin="2844,4430" coordsize="6936,2">
              <v:shape style="position:absolute;left:2844;top:4430;width:6936;height:2" coordorigin="2844,4430" coordsize="6936,0" path="m2844,4430l9780,4430e" filled="false" stroked="true" strokeweight=".48pt" strokecolor="#000000">
                <v:path arrowok="t"/>
              </v:shape>
            </v:group>
            <v:group style="position:absolute;left:5;top:5;width:2;height:4834" coordorigin="5,5" coordsize="2,4834">
              <v:shape style="position:absolute;left:5;top:5;width:2;height:4834" coordorigin="5,5" coordsize="0,4834" path="m5,5l5,4838e" filled="false" stroked="true" strokeweight=".48pt" strokecolor="#000000">
                <v:path arrowok="t"/>
              </v:shape>
            </v:group>
            <v:group style="position:absolute;left:10;top:4834;width:1409;height:2" coordorigin="10,4834" coordsize="1409,2">
              <v:shape style="position:absolute;left:10;top:4834;width:1409;height:2" coordorigin="10,4834" coordsize="1409,0" path="m10,4834l1418,4834e" filled="false" stroked="true" strokeweight=".48pt" strokecolor="#000000">
                <v:path arrowok="t"/>
              </v:shape>
            </v:group>
            <v:group style="position:absolute;left:1423;top:5;width:2;height:4834" coordorigin="1423,5" coordsize="2,4834">
              <v:shape style="position:absolute;left:1423;top:5;width:2;height:4834" coordorigin="1423,5" coordsize="0,4834" path="m1423,5l1423,4838e" filled="false" stroked="true" strokeweight=".48pt" strokecolor="#000000">
                <v:path arrowok="t"/>
              </v:shape>
            </v:group>
            <v:group style="position:absolute;left:1428;top:4834;width:840;height:2" coordorigin="1428,4834" coordsize="840,2">
              <v:shape style="position:absolute;left:1428;top:4834;width:840;height:2" coordorigin="1428,4834" coordsize="840,0" path="m1428,4834l2268,4834e" filled="false" stroked="true" strokeweight=".48pt" strokecolor="#000000">
                <v:path arrowok="t"/>
              </v:shape>
            </v:group>
            <v:group style="position:absolute;left:2273;top:5;width:2;height:4834" coordorigin="2273,5" coordsize="2,4834">
              <v:shape style="position:absolute;left:2273;top:5;width:2;height:4834" coordorigin="2273,5" coordsize="0,4834" path="m2273,5l2273,4838e" filled="false" stroked="true" strokeweight=".48pt" strokecolor="#000000">
                <v:path arrowok="t"/>
              </v:shape>
            </v:group>
            <v:group style="position:absolute;left:2278;top:4834;width:557;height:2" coordorigin="2278,4834" coordsize="557,2">
              <v:shape style="position:absolute;left:2278;top:4834;width:557;height:2" coordorigin="2278,4834" coordsize="557,0" path="m2278,4834l2834,4834e" filled="false" stroked="true" strokeweight=".48pt" strokecolor="#000000">
                <v:path arrowok="t"/>
              </v:shape>
            </v:group>
            <v:group style="position:absolute;left:2839;top:5;width:2;height:4834" coordorigin="2839,5" coordsize="2,4834">
              <v:shape style="position:absolute;left:2839;top:5;width:2;height:4834" coordorigin="2839,5" coordsize="0,4834" path="m2839,5l2839,4838e" filled="false" stroked="true" strokeweight=".48pt" strokecolor="#000000">
                <v:path arrowok="t"/>
              </v:shape>
            </v:group>
            <v:group style="position:absolute;left:2844;top:4834;width:6936;height:2" coordorigin="2844,4834" coordsize="6936,2">
              <v:shape style="position:absolute;left:2844;top:4834;width:6936;height:2" coordorigin="2844,4834" coordsize="6936,0" path="m2844,4834l9780,4834e" filled="false" stroked="true" strokeweight=".48pt" strokecolor="#000000">
                <v:path arrowok="t"/>
              </v:shape>
            </v:group>
            <v:group style="position:absolute;left:9785;top:5;width:2;height:4834" coordorigin="9785,5" coordsize="2,4834">
              <v:shape style="position:absolute;left:9785;top:5;width:2;height:4834" coordorigin="9785,5" coordsize="0,4834" path="m9785,5l9785,4838e" filled="false" stroked="true" strokeweight=".48pt" strokecolor="#000000">
                <v:path arrowok="t"/>
              </v:shape>
              <v:shape style="position:absolute;left:5;top:10;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10;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10;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10;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410;width:1419;height:404" type="#_x0000_t202" filled="false" stroked="false">
                <v:textbox inset="0,0,0,0">
                  <w:txbxContent>
                    <w:p>
                      <w:pPr>
                        <w:spacing w:before="56"/>
                        <w:ind w:left="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423;top:410;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410;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410;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94"/>
                          <w:sz w:val="18"/>
                          <w:szCs w:val="18"/>
                        </w:rPr>
                        <w:t>）</w:t>
                      </w:r>
                      <w:r>
                        <w:rPr>
                          <w:rFonts w:ascii="宋体" w:hAnsi="宋体" w:cs="宋体" w:eastAsia="宋体" w:hint="default"/>
                          <w:sz w:val="18"/>
                          <w:szCs w:val="18"/>
                        </w:rPr>
                        <w:t>《广电运通</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814;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814;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814;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814;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1214;width:141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1214;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1214;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1214;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w:t>
                      </w:r>
                      <w:r>
                        <w:rPr>
                          <w:rFonts w:ascii="宋体" w:hAnsi="宋体" w:cs="宋体" w:eastAsia="宋体" w:hint="default"/>
                          <w:spacing w:val="34"/>
                          <w:sz w:val="18"/>
                          <w:szCs w:val="18"/>
                        </w:rPr>
                        <w:t> </w:t>
                      </w:r>
                      <w:r>
                        <w:rPr>
                          <w:rFonts w:ascii="宋体" w:hAnsi="宋体" w:cs="宋体" w:eastAsia="宋体" w:hint="default"/>
                          <w:sz w:val="18"/>
                          <w:szCs w:val="18"/>
                        </w:rPr>
                        <w:t>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1618;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1618;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1618;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1618;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2018;width:141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2018;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2018;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2018;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2422;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2422;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2422;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2422;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2822;width:1419;height:404" type="#_x0000_t202" filled="false" stroked="false">
                <v:textbox inset="0,0,0,0">
                  <w:txbxContent>
                    <w:p>
                      <w:pPr>
                        <w:spacing w:before="56"/>
                        <w:ind w:left="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423;top:2822;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2822;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2822;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94"/>
                          <w:sz w:val="18"/>
                          <w:szCs w:val="18"/>
                        </w:rPr>
                        <w:t>）</w:t>
                      </w:r>
                      <w:r>
                        <w:rPr>
                          <w:rFonts w:ascii="宋体" w:hAnsi="宋体" w:cs="宋体" w:eastAsia="宋体" w:hint="default"/>
                          <w:sz w:val="18"/>
                          <w:szCs w:val="18"/>
                        </w:rPr>
                        <w:t>《广电运通</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3226;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xbxContent>
                </v:textbox>
                <w10:wrap type="none"/>
              </v:shape>
              <v:shape style="position:absolute;left:1423;top:3226;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3226;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3226;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2"/>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3"/>
                          <w:sz w:val="18"/>
                          <w:szCs w:val="18"/>
                        </w:rPr>
                        <w:t>）</w:t>
                      </w:r>
                      <w:r>
                        <w:rPr>
                          <w:rFonts w:ascii="宋体" w:hAnsi="宋体" w:cs="宋体" w:eastAsia="宋体" w:hint="default"/>
                          <w:sz w:val="18"/>
                          <w:szCs w:val="18"/>
                        </w:rPr>
                        <w:t>《广电运通</w:t>
                      </w:r>
                      <w:r>
                        <w:rPr>
                          <w:rFonts w:ascii="宋体" w:hAnsi="宋体" w:cs="宋体" w:eastAsia="宋体" w:hint="default"/>
                          <w:spacing w:val="-3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3626;width:141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3626;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3626;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3626;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4030;width:1419;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xbxContent>
                </v:textbox>
                <w10:wrap type="none"/>
              </v:shape>
              <v:shape style="position:absolute;left:1423;top:4030;width:850;height:401" type="#_x0000_t202" filled="false" stroked="false">
                <v:textbox inset="0,0,0,0">
                  <w:txbxContent>
                    <w:p>
                      <w:pPr>
                        <w:spacing w:before="53"/>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4030;width:567;height:401" type="#_x0000_t202" filled="false" stroked="false">
                <v:textbox inset="0,0,0,0">
                  <w:txbxContent>
                    <w:p>
                      <w:pPr>
                        <w:spacing w:before="53"/>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4030;width:6946;height:401"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4430;width:1419;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xbxContent>
                </v:textbox>
                <w10:wrap type="none"/>
              </v:shape>
              <v:shape style="position:absolute;left:1423;top:4430;width:850;height:404" type="#_x0000_t202" filled="false" stroked="false">
                <v:textbox inset="0,0,0,0">
                  <w:txbxContent>
                    <w:p>
                      <w:pPr>
                        <w:spacing w:before="56"/>
                        <w:ind w:left="64"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273;top:4430;width:567;height:404" type="#_x0000_t202" filled="false" stroked="false">
                <v:textbox inset="0,0,0,0">
                  <w:txbxContent>
                    <w:p>
                      <w:pPr>
                        <w:spacing w:before="56"/>
                        <w:ind w:left="103"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2839;top:4430;width:6946;height:404" type="#_x0000_t202" filled="false" stroked="false">
                <v:textbox inset="0,0,0,0">
                  <w:txbxContent>
                    <w:p>
                      <w:pPr>
                        <w:spacing w:before="56"/>
                        <w:ind w:left="28" w:right="0" w:firstLine="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34"/>
                          <w:sz w:val="18"/>
                          <w:szCs w:val="18"/>
                        </w:rPr>
                        <w:t>网</w:t>
                      </w:r>
                      <w:r>
                        <w:rPr>
                          <w:rFonts w:ascii="宋体" w:hAnsi="宋体" w:cs="宋体" w:eastAsia="宋体" w:hint="default"/>
                          <w:spacing w:val="2"/>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cn</w:t>
                        </w:r>
                      </w:hyperlink>
                      <w:r>
                        <w:rPr>
                          <w:rFonts w:ascii="宋体" w:hAnsi="宋体" w:cs="宋体" w:eastAsia="宋体" w:hint="default"/>
                          <w:spacing w:val="-125"/>
                          <w:sz w:val="18"/>
                          <w:szCs w:val="18"/>
                        </w:rPr>
                        <w:t>）</w:t>
                      </w:r>
                      <w:r>
                        <w:rPr>
                          <w:rFonts w:ascii="宋体" w:hAnsi="宋体" w:cs="宋体" w:eastAsia="宋体" w:hint="default"/>
                          <w:sz w:val="18"/>
                          <w:szCs w:val="18"/>
                        </w:rPr>
                        <w:t>《广电运通</w:t>
                      </w:r>
                      <w:r>
                        <w:rPr>
                          <w:rFonts w:ascii="宋体" w:hAnsi="宋体" w:cs="宋体" w:eastAsia="宋体" w:hint="default"/>
                          <w:spacing w:val="-34"/>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9667;top:119;width:183;height:46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2"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96"/>
          <w:sz w:val="20"/>
          <w:szCs w:val="20"/>
        </w:rPr>
      </w:r>
    </w:p>
    <w:p>
      <w:pPr>
        <w:spacing w:after="0" w:line="4843" w:lineRule="exact"/>
        <w:rPr>
          <w:rFonts w:ascii="Times New Roman" w:hAnsi="Times New Roman" w:cs="Times New Roman" w:eastAsia="Times New Roman" w:hint="default"/>
          <w:sz w:val="20"/>
          <w:szCs w:val="20"/>
        </w:rPr>
        <w:sectPr>
          <w:pgSz w:w="11910" w:h="16840"/>
          <w:pgMar w:header="877" w:footer="982" w:top="1100" w:bottom="118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346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w:t>
      </w:r>
      <w:bookmarkStart w:name="一、公司普通股利润分配及资本公积金转增股本情况" w:id="61"/>
      <w:bookmarkEnd w:id="61"/>
      <w:r>
        <w:rPr/>
        <w:t>股</w:t>
      </w:r>
      <w:r>
        <w:rPr/>
        <w:t>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为建立和健全公司科学、持续、稳定的分红决策和监督机制，积极回报投资者，引导投资者树立长期投资和理性投资理</w:t>
      </w:r>
    </w:p>
    <w:p>
      <w:pPr>
        <w:pStyle w:val="BodyText"/>
        <w:spacing w:line="240" w:lineRule="auto" w:before="2"/>
        <w:ind w:right="0"/>
        <w:jc w:val="both"/>
      </w:pPr>
      <w:r>
        <w:rPr/>
        <w:t>念</w:t>
      </w:r>
      <w:r>
        <w:rPr>
          <w:spacing w:val="-44"/>
        </w:rPr>
        <w:t>，</w:t>
      </w:r>
      <w:r>
        <w:rPr/>
        <w:t>同时综合公司盈利能力</w:t>
      </w:r>
      <w:r>
        <w:rPr>
          <w:spacing w:val="-44"/>
        </w:rPr>
        <w:t>、</w:t>
      </w:r>
      <w:r>
        <w:rPr/>
        <w:t>经营发展规划</w:t>
      </w:r>
      <w:r>
        <w:rPr>
          <w:spacing w:val="-44"/>
        </w:rPr>
        <w:t>、</w:t>
      </w:r>
      <w:r>
        <w:rPr/>
        <w:t>股东回报</w:t>
      </w:r>
      <w:r>
        <w:rPr>
          <w:spacing w:val="-44"/>
        </w:rPr>
        <w:t>、</w:t>
      </w:r>
      <w:r>
        <w:rPr/>
        <w:t>资金成本以及外部融资环境等因素</w:t>
      </w:r>
      <w:r>
        <w:rPr>
          <w:spacing w:val="-44"/>
        </w:rPr>
        <w:t>，</w:t>
      </w:r>
      <w:r>
        <w:rPr/>
        <w:t>根</w:t>
      </w:r>
      <w:r>
        <w:rPr>
          <w:spacing w:val="-44"/>
        </w:rPr>
        <w:t>据</w:t>
      </w:r>
      <w:r>
        <w:rPr/>
        <w:t>《中华人民共和国公司法</w:t>
      </w:r>
      <w:r>
        <w:rPr>
          <w:spacing w:val="-92"/>
        </w:rPr>
        <w:t>》</w:t>
      </w:r>
      <w:r>
        <w:rPr/>
        <w:t>、</w:t>
      </w:r>
    </w:p>
    <w:p>
      <w:pPr>
        <w:pStyle w:val="BodyText"/>
        <w:spacing w:line="309" w:lineRule="auto" w:before="76"/>
        <w:ind w:right="190"/>
        <w:jc w:val="both"/>
      </w:pPr>
      <w:r>
        <w:rPr>
          <w:spacing w:val="-11"/>
        </w:rPr>
        <w:t>《中华人民共和国证券法》、《上市公司章程指引》、《关于进一步落实上市公司现金分红有关事项的通知》、《上市公司监管指</w:t>
      </w:r>
      <w:r>
        <w:rPr>
          <w:spacing w:val="-87"/>
        </w:rPr>
        <w:t> </w:t>
      </w:r>
      <w:r>
        <w:rPr>
          <w:spacing w:val="-87"/>
        </w:rPr>
      </w:r>
      <w:r>
        <w:rPr>
          <w:spacing w:val="-1"/>
        </w:rPr>
        <w:t>引第</w:t>
      </w:r>
      <w:r>
        <w:rPr>
          <w:rFonts w:ascii="Times New Roman" w:hAnsi="Times New Roman" w:cs="Times New Roman" w:eastAsia="Times New Roman" w:hint="default"/>
          <w:spacing w:val="-1"/>
        </w:rPr>
        <w:t>3</w:t>
      </w:r>
      <w:r>
        <w:rPr>
          <w:spacing w:val="-1"/>
        </w:rPr>
        <w:t>号</w:t>
      </w:r>
      <w:r>
        <w:rPr>
          <w:rFonts w:ascii="Times New Roman" w:hAnsi="Times New Roman" w:cs="Times New Roman" w:eastAsia="Times New Roman" w:hint="default"/>
          <w:spacing w:val="-1"/>
        </w:rPr>
        <w:t>——</w:t>
      </w:r>
      <w:r>
        <w:rPr>
          <w:spacing w:val="-1"/>
        </w:rPr>
        <w:t>上市公司现金分红》等法律、法规、规章及《公司章程》的要求，公司制订了《未来三年（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spacing w:val="-1"/>
        </w:rPr>
        <w:t>年）股</w:t>
      </w:r>
      <w:r>
        <w:rPr/>
        <w:t> </w:t>
      </w:r>
      <w:r>
        <w:rPr>
          <w:spacing w:val="-4"/>
        </w:rPr>
        <w:t>东回报规划》，并经公司第四届董事会第二次会议审议通过。</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6498"/>
        <w:gridCol w:w="3059"/>
      </w:tblGrid>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9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72" w:right="94"/>
        <w:jc w:val="left"/>
      </w:pPr>
      <w:r>
        <w:rPr>
          <w:rFonts w:ascii="宋体" w:hAnsi="宋体" w:cs="宋体" w:eastAsia="宋体" w:hint="default"/>
        </w:rPr>
        <w:t>1</w:t>
      </w:r>
      <w:r>
        <w:rPr/>
        <w:t>、公司</w:t>
      </w:r>
      <w:r>
        <w:rPr>
          <w:rFonts w:ascii="宋体" w:hAnsi="宋体" w:cs="宋体" w:eastAsia="宋体" w:hint="default"/>
        </w:rPr>
        <w:t>2013</w:t>
      </w:r>
      <w:r>
        <w:rPr/>
        <w:t>年利润分配方案</w:t>
      </w:r>
    </w:p>
    <w:p>
      <w:pPr>
        <w:pStyle w:val="BodyText"/>
        <w:spacing w:line="240" w:lineRule="auto" w:before="117"/>
        <w:ind w:left="512" w:right="0"/>
        <w:jc w:val="left"/>
      </w:pPr>
      <w:r>
        <w:rPr/>
        <w:t>以</w:t>
      </w:r>
      <w:r>
        <w:rPr>
          <w:spacing w:val="-45"/>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t>日公司总股本</w:t>
      </w:r>
      <w:r>
        <w:rPr>
          <w:spacing w:val="-45"/>
        </w:rPr>
        <w:t> </w:t>
      </w:r>
      <w:r>
        <w:rPr>
          <w:rFonts w:ascii="宋体" w:hAnsi="宋体" w:cs="宋体" w:eastAsia="宋体" w:hint="default"/>
        </w:rPr>
        <w:t>747,237,306</w:t>
      </w:r>
      <w:r>
        <w:rPr>
          <w:rFonts w:ascii="宋体" w:hAnsi="宋体" w:cs="宋体" w:eastAsia="宋体" w:hint="default"/>
          <w:spacing w:val="-44"/>
        </w:rPr>
        <w:t> </w:t>
      </w:r>
      <w:r>
        <w:rPr>
          <w:spacing w:val="-5"/>
        </w:rPr>
        <w:t>股为基数，向全体股东每</w:t>
      </w:r>
      <w:r>
        <w:rPr>
          <w:spacing w:val="-45"/>
        </w:rPr>
        <w:t> </w:t>
      </w:r>
      <w:r>
        <w:rPr>
          <w:rFonts w:ascii="宋体" w:hAnsi="宋体" w:cs="宋体" w:eastAsia="宋体" w:hint="default"/>
        </w:rPr>
        <w:t>10</w:t>
      </w:r>
      <w:r>
        <w:rPr>
          <w:rFonts w:ascii="宋体" w:hAnsi="宋体" w:cs="宋体" w:eastAsia="宋体" w:hint="default"/>
          <w:spacing w:val="-44"/>
        </w:rPr>
        <w:t> </w:t>
      </w:r>
      <w:r>
        <w:rPr/>
        <w:t>股送</w:t>
      </w:r>
      <w:r>
        <w:rPr>
          <w:spacing w:val="-45"/>
        </w:rPr>
        <w:t> </w:t>
      </w:r>
      <w:r>
        <w:rPr>
          <w:rFonts w:ascii="宋体" w:hAnsi="宋体" w:cs="宋体" w:eastAsia="宋体" w:hint="default"/>
        </w:rPr>
        <w:t>2</w:t>
      </w:r>
      <w:r>
        <w:rPr>
          <w:rFonts w:ascii="宋体" w:hAnsi="宋体" w:cs="宋体" w:eastAsia="宋体" w:hint="default"/>
          <w:spacing w:val="-44"/>
        </w:rPr>
        <w:t> </w:t>
      </w:r>
      <w:r>
        <w:rPr>
          <w:spacing w:val="-5"/>
        </w:rPr>
        <w:t>股红股，派发现金红利</w:t>
      </w:r>
      <w:r>
        <w:rPr>
          <w:spacing w:val="-45"/>
        </w:rPr>
        <w:t> </w:t>
      </w:r>
      <w:r>
        <w:rPr>
          <w:rFonts w:ascii="宋体" w:hAnsi="宋体" w:cs="宋体" w:eastAsia="宋体" w:hint="default"/>
        </w:rPr>
        <w:t>2</w:t>
      </w:r>
      <w:r>
        <w:rPr>
          <w:rFonts w:ascii="宋体" w:hAnsi="宋体" w:cs="宋体" w:eastAsia="宋体" w:hint="default"/>
          <w:spacing w:val="-44"/>
        </w:rPr>
        <w:t> </w:t>
      </w:r>
      <w:r>
        <w:rPr>
          <w:spacing w:val="-15"/>
        </w:rPr>
        <w:t>元（含税），</w:t>
      </w:r>
    </w:p>
    <w:p>
      <w:pPr>
        <w:pStyle w:val="BodyText"/>
        <w:spacing w:line="240" w:lineRule="auto" w:before="76"/>
        <w:ind w:right="94"/>
        <w:jc w:val="left"/>
      </w:pPr>
      <w:r>
        <w:rPr/>
        <w:t>本次分配送出红股</w:t>
      </w:r>
      <w:r>
        <w:rPr>
          <w:spacing w:val="-47"/>
        </w:rPr>
        <w:t> </w:t>
      </w:r>
      <w:r>
        <w:rPr>
          <w:rFonts w:ascii="宋体" w:hAnsi="宋体" w:cs="宋体" w:eastAsia="宋体" w:hint="default"/>
        </w:rPr>
        <w:t>149,447,461</w:t>
      </w:r>
      <w:r>
        <w:rPr>
          <w:rFonts w:ascii="宋体" w:hAnsi="宋体" w:cs="宋体" w:eastAsia="宋体" w:hint="default"/>
          <w:spacing w:val="-46"/>
        </w:rPr>
        <w:t> </w:t>
      </w:r>
      <w:r>
        <w:rPr>
          <w:spacing w:val="-4"/>
        </w:rPr>
        <w:t>股，派发现金红利</w:t>
      </w:r>
      <w:r>
        <w:rPr>
          <w:spacing w:val="-49"/>
        </w:rPr>
        <w:t> </w:t>
      </w:r>
      <w:r>
        <w:rPr>
          <w:rFonts w:ascii="宋体" w:hAnsi="宋体" w:cs="宋体" w:eastAsia="宋体" w:hint="default"/>
        </w:rPr>
        <w:t>149,447,461.20</w:t>
      </w:r>
      <w:r>
        <w:rPr>
          <w:rFonts w:ascii="宋体" w:hAnsi="宋体" w:cs="宋体" w:eastAsia="宋体" w:hint="default"/>
          <w:spacing w:val="-46"/>
        </w:rPr>
        <w:t> </w:t>
      </w:r>
      <w:r>
        <w:rPr>
          <w:spacing w:val="-4"/>
        </w:rPr>
        <w:t>元，共计分配利润</w:t>
      </w:r>
      <w:r>
        <w:rPr>
          <w:spacing w:val="-49"/>
        </w:rPr>
        <w:t> </w:t>
      </w:r>
      <w:r>
        <w:rPr>
          <w:rFonts w:ascii="宋体" w:hAnsi="宋体" w:cs="宋体" w:eastAsia="宋体" w:hint="default"/>
        </w:rPr>
        <w:t>298,894,922.20</w:t>
      </w:r>
      <w:r>
        <w:rPr>
          <w:rFonts w:ascii="宋体" w:hAnsi="宋体" w:cs="宋体" w:eastAsia="宋体" w:hint="default"/>
          <w:spacing w:val="-46"/>
        </w:rPr>
        <w:t> </w:t>
      </w:r>
      <w:r>
        <w:rPr>
          <w:spacing w:val="-3"/>
        </w:rPr>
        <w:t>元，剩余未分配利润</w:t>
      </w:r>
    </w:p>
    <w:p>
      <w:pPr>
        <w:pStyle w:val="BodyText"/>
        <w:spacing w:line="316" w:lineRule="auto" w:before="76"/>
        <w:ind w:right="199"/>
        <w:jc w:val="left"/>
      </w:pPr>
      <w:r>
        <w:rPr>
          <w:rFonts w:ascii="宋体" w:hAnsi="宋体" w:cs="宋体" w:eastAsia="宋体" w:hint="default"/>
        </w:rPr>
        <w:t>1,787,819,757.95</w:t>
      </w:r>
      <w:r>
        <w:rPr>
          <w:rFonts w:ascii="宋体" w:hAnsi="宋体" w:cs="宋体" w:eastAsia="宋体" w:hint="default"/>
          <w:spacing w:val="-48"/>
        </w:rPr>
        <w:t> </w:t>
      </w:r>
      <w:r>
        <w:rPr/>
        <w:t>元结转至下一年度，送红股后公司总股本变更为</w:t>
      </w:r>
      <w:r>
        <w:rPr>
          <w:spacing w:val="-49"/>
        </w:rPr>
        <w:t> </w:t>
      </w:r>
      <w:r>
        <w:rPr>
          <w:rFonts w:ascii="宋体" w:hAnsi="宋体" w:cs="宋体" w:eastAsia="宋体" w:hint="default"/>
        </w:rPr>
        <w:t>896,684,767</w:t>
      </w:r>
      <w:r>
        <w:rPr>
          <w:rFonts w:ascii="宋体" w:hAnsi="宋体" w:cs="宋体" w:eastAsia="宋体" w:hint="default"/>
          <w:spacing w:val="-48"/>
        </w:rPr>
        <w:t> </w:t>
      </w:r>
      <w:r>
        <w:rPr/>
        <w:t>股。</w:t>
      </w:r>
      <w:r>
        <w:rPr>
          <w:rFonts w:ascii="宋体" w:hAnsi="宋体" w:cs="宋体" w:eastAsia="宋体" w:hint="default"/>
        </w:rPr>
        <w:t>2013</w:t>
      </w:r>
      <w:r>
        <w:rPr>
          <w:rFonts w:ascii="宋体" w:hAnsi="宋体" w:cs="宋体" w:eastAsia="宋体" w:hint="default"/>
          <w:spacing w:val="-50"/>
        </w:rPr>
        <w:t> </w:t>
      </w:r>
      <w:r>
        <w:rPr/>
        <w:t>年度，公司不进行资本公积转增 股本。</w:t>
      </w:r>
    </w:p>
    <w:p>
      <w:pPr>
        <w:pStyle w:val="BodyText"/>
        <w:spacing w:line="240" w:lineRule="auto" w:before="57"/>
        <w:ind w:left="572" w:right="94"/>
        <w:jc w:val="left"/>
      </w:pPr>
      <w:r>
        <w:rPr>
          <w:rFonts w:ascii="宋体" w:hAnsi="宋体" w:cs="宋体" w:eastAsia="宋体" w:hint="default"/>
        </w:rPr>
        <w:t>2</w:t>
      </w:r>
      <w:r>
        <w:rPr/>
        <w:t>、公司</w:t>
      </w:r>
      <w:r>
        <w:rPr>
          <w:rFonts w:ascii="宋体" w:hAnsi="宋体" w:cs="宋体" w:eastAsia="宋体" w:hint="default"/>
        </w:rPr>
        <w:t>2014</w:t>
      </w:r>
      <w:r>
        <w:rPr/>
        <w:t>年利润分配方案</w:t>
      </w:r>
    </w:p>
    <w:p>
      <w:pPr>
        <w:pStyle w:val="BodyText"/>
        <w:spacing w:line="240" w:lineRule="auto" w:before="117"/>
        <w:ind w:left="512" w:right="94"/>
        <w:jc w:val="left"/>
      </w:pPr>
      <w:r>
        <w:rPr/>
        <w:t>以</w:t>
      </w:r>
      <w:r>
        <w:rPr>
          <w:spacing w:val="-48"/>
        </w:rPr>
        <w:t> </w:t>
      </w:r>
      <w:r>
        <w:rPr>
          <w:rFonts w:ascii="宋体" w:hAnsi="宋体" w:cs="宋体" w:eastAsia="宋体" w:hint="default"/>
        </w:rPr>
        <w:t>2014</w:t>
      </w:r>
      <w:r>
        <w:rPr>
          <w:rFonts w:ascii="宋体" w:hAnsi="宋体" w:cs="宋体" w:eastAsia="宋体" w:hint="default"/>
          <w:spacing w:val="-49"/>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50"/>
        </w:rPr>
        <w:t> </w:t>
      </w:r>
      <w:r>
        <w:rPr>
          <w:rFonts w:ascii="宋体" w:hAnsi="宋体" w:cs="宋体" w:eastAsia="宋体" w:hint="default"/>
        </w:rPr>
        <w:t>31</w:t>
      </w:r>
      <w:r>
        <w:rPr>
          <w:rFonts w:ascii="宋体" w:hAnsi="宋体" w:cs="宋体" w:eastAsia="宋体" w:hint="default"/>
          <w:spacing w:val="-47"/>
        </w:rPr>
        <w:t> </w:t>
      </w:r>
      <w:r>
        <w:rPr/>
        <w:t>日公司总股本</w:t>
      </w:r>
      <w:r>
        <w:rPr>
          <w:spacing w:val="-48"/>
        </w:rPr>
        <w:t> </w:t>
      </w:r>
      <w:r>
        <w:rPr>
          <w:rFonts w:ascii="宋体" w:hAnsi="宋体" w:cs="宋体" w:eastAsia="宋体" w:hint="default"/>
        </w:rPr>
        <w:t>896,684,767</w:t>
      </w:r>
      <w:r>
        <w:rPr>
          <w:rFonts w:ascii="宋体" w:hAnsi="宋体" w:cs="宋体" w:eastAsia="宋体" w:hint="default"/>
          <w:spacing w:val="-47"/>
        </w:rPr>
        <w:t> </w:t>
      </w:r>
      <w:r>
        <w:rPr/>
        <w:t>股为基数，向全体股东每</w:t>
      </w:r>
      <w:r>
        <w:rPr>
          <w:spacing w:val="-48"/>
        </w:rPr>
        <w:t> </w:t>
      </w:r>
      <w:r>
        <w:rPr>
          <w:rFonts w:ascii="宋体" w:hAnsi="宋体" w:cs="宋体" w:eastAsia="宋体" w:hint="default"/>
        </w:rPr>
        <w:t>10</w:t>
      </w:r>
      <w:r>
        <w:rPr>
          <w:rFonts w:ascii="宋体" w:hAnsi="宋体" w:cs="宋体" w:eastAsia="宋体" w:hint="default"/>
          <w:spacing w:val="-47"/>
        </w:rPr>
        <w:t> </w:t>
      </w:r>
      <w:r>
        <w:rPr/>
        <w:t>股派发现金红利</w:t>
      </w:r>
      <w:r>
        <w:rPr>
          <w:spacing w:val="-48"/>
        </w:rPr>
        <w:t> </w:t>
      </w:r>
      <w:r>
        <w:rPr>
          <w:rFonts w:ascii="宋体" w:hAnsi="宋体" w:cs="宋体" w:eastAsia="宋体" w:hint="default"/>
        </w:rPr>
        <w:t>6</w:t>
      </w:r>
      <w:r>
        <w:rPr>
          <w:rFonts w:ascii="宋体" w:hAnsi="宋体" w:cs="宋体" w:eastAsia="宋体" w:hint="default"/>
          <w:spacing w:val="-47"/>
        </w:rPr>
        <w:t> </w:t>
      </w:r>
      <w:r>
        <w:rPr>
          <w:spacing w:val="-6"/>
        </w:rPr>
        <w:t>元（含税），共计派发现</w:t>
      </w:r>
    </w:p>
    <w:p>
      <w:pPr>
        <w:pStyle w:val="BodyText"/>
        <w:spacing w:line="316" w:lineRule="auto" w:before="76"/>
        <w:ind w:right="94" w:hanging="1"/>
        <w:jc w:val="left"/>
      </w:pPr>
      <w:r>
        <w:rPr/>
        <w:t>金红利</w:t>
      </w:r>
      <w:r>
        <w:rPr>
          <w:spacing w:val="-49"/>
        </w:rPr>
        <w:t> </w:t>
      </w:r>
      <w:r>
        <w:rPr>
          <w:rFonts w:ascii="宋体" w:hAnsi="宋体" w:cs="宋体" w:eastAsia="宋体" w:hint="default"/>
        </w:rPr>
        <w:t>538,010,860.20</w:t>
      </w:r>
      <w:r>
        <w:rPr>
          <w:rFonts w:ascii="宋体" w:hAnsi="宋体" w:cs="宋体" w:eastAsia="宋体" w:hint="default"/>
          <w:spacing w:val="-48"/>
        </w:rPr>
        <w:t> </w:t>
      </w:r>
      <w:r>
        <w:rPr/>
        <w:t>元，剩余未分配利润</w:t>
      </w:r>
      <w:r>
        <w:rPr>
          <w:spacing w:val="-49"/>
        </w:rPr>
        <w:t> </w:t>
      </w:r>
      <w:r>
        <w:rPr>
          <w:rFonts w:ascii="宋体" w:hAnsi="宋体" w:cs="宋体" w:eastAsia="宋体" w:hint="default"/>
        </w:rPr>
        <w:t>1,964,703,043.44</w:t>
      </w:r>
      <w:r>
        <w:rPr>
          <w:rFonts w:ascii="宋体" w:hAnsi="宋体" w:cs="宋体" w:eastAsia="宋体" w:hint="default"/>
          <w:spacing w:val="-48"/>
        </w:rPr>
        <w:t> </w:t>
      </w:r>
      <w:r>
        <w:rPr/>
        <w:t>元结转至下一年度。</w:t>
      </w:r>
      <w:r>
        <w:rPr>
          <w:rFonts w:ascii="宋体" w:hAnsi="宋体" w:cs="宋体" w:eastAsia="宋体" w:hint="default"/>
        </w:rPr>
        <w:t>2014</w:t>
      </w:r>
      <w:r>
        <w:rPr>
          <w:rFonts w:ascii="宋体" w:hAnsi="宋体" w:cs="宋体" w:eastAsia="宋体" w:hint="default"/>
          <w:spacing w:val="-48"/>
        </w:rPr>
        <w:t> </w:t>
      </w:r>
      <w:r>
        <w:rPr/>
        <w:t>年度，公司不进行资本公积转增 股本。</w:t>
      </w:r>
    </w:p>
    <w:p>
      <w:pPr>
        <w:pStyle w:val="BodyText"/>
        <w:spacing w:line="357" w:lineRule="auto" w:before="59"/>
        <w:ind w:left="572" w:right="94"/>
        <w:jc w:val="left"/>
      </w:pPr>
      <w:r>
        <w:rPr>
          <w:rFonts w:ascii="宋体" w:hAnsi="宋体" w:cs="宋体" w:eastAsia="宋体" w:hint="default"/>
        </w:rPr>
        <w:t>3</w:t>
      </w:r>
      <w:r>
        <w:rPr/>
        <w:t>、</w:t>
      </w:r>
      <w:r>
        <w:rPr>
          <w:spacing w:val="-2"/>
        </w:rPr>
        <w:t> </w:t>
      </w:r>
      <w:r>
        <w:rPr/>
        <w:t>公司</w:t>
      </w:r>
      <w:r>
        <w:rPr>
          <w:spacing w:val="-45"/>
        </w:rPr>
        <w:t> </w:t>
      </w:r>
      <w:r>
        <w:rPr>
          <w:rFonts w:ascii="宋体" w:hAnsi="宋体" w:cs="宋体" w:eastAsia="宋体" w:hint="default"/>
        </w:rPr>
        <w:t>2015</w:t>
      </w:r>
      <w:r>
        <w:rPr>
          <w:rFonts w:ascii="宋体" w:hAnsi="宋体" w:cs="宋体" w:eastAsia="宋体" w:hint="default"/>
          <w:spacing w:val="-44"/>
        </w:rPr>
        <w:t> </w:t>
      </w:r>
      <w:r>
        <w:rPr/>
        <w:t>年利润分配方案 </w:t>
      </w:r>
      <w:r>
        <w:rPr>
          <w:spacing w:val="-2"/>
        </w:rPr>
        <w:t>以目前公司总股本</w:t>
      </w:r>
      <w:r>
        <w:rPr>
          <w:rFonts w:ascii="宋体" w:hAnsi="宋体" w:cs="宋体" w:eastAsia="宋体" w:hint="default"/>
          <w:spacing w:val="-2"/>
        </w:rPr>
        <w:t>1,079,504,767</w:t>
      </w:r>
      <w:r>
        <w:rPr>
          <w:spacing w:val="-2"/>
        </w:rPr>
        <w:t>股为基数，向全体股东每</w:t>
      </w:r>
      <w:r>
        <w:rPr>
          <w:rFonts w:ascii="宋体" w:hAnsi="宋体" w:cs="宋体" w:eastAsia="宋体" w:hint="default"/>
          <w:spacing w:val="-2"/>
        </w:rPr>
        <w:t>10</w:t>
      </w:r>
      <w:r>
        <w:rPr>
          <w:spacing w:val="-2"/>
        </w:rPr>
        <w:t>股送</w:t>
      </w:r>
      <w:r>
        <w:rPr>
          <w:rFonts w:ascii="宋体" w:hAnsi="宋体" w:cs="宋体" w:eastAsia="宋体" w:hint="default"/>
          <w:spacing w:val="-2"/>
        </w:rPr>
        <w:t>5</w:t>
      </w:r>
      <w:r>
        <w:rPr>
          <w:spacing w:val="-2"/>
        </w:rPr>
        <w:t>股（含税）红股，派发现金红利</w:t>
      </w:r>
      <w:r>
        <w:rPr>
          <w:rFonts w:ascii="宋体" w:hAnsi="宋体" w:cs="宋体" w:eastAsia="宋体" w:hint="default"/>
          <w:spacing w:val="-2"/>
        </w:rPr>
        <w:t>2</w:t>
      </w:r>
      <w:r>
        <w:rPr>
          <w:spacing w:val="-2"/>
        </w:rPr>
        <w:t>元（含税），本次</w:t>
      </w:r>
    </w:p>
    <w:p>
      <w:pPr>
        <w:pStyle w:val="BodyText"/>
        <w:spacing w:line="224" w:lineRule="exact"/>
        <w:ind w:right="94"/>
        <w:jc w:val="left"/>
      </w:pPr>
      <w:r>
        <w:rPr>
          <w:spacing w:val="5"/>
        </w:rPr>
        <w:t>分配送出红股</w:t>
      </w:r>
      <w:r>
        <w:rPr>
          <w:rFonts w:ascii="宋体" w:hAnsi="宋体" w:cs="宋体" w:eastAsia="宋体" w:hint="default"/>
          <w:spacing w:val="5"/>
        </w:rPr>
        <w:t>539,752,384</w:t>
      </w:r>
      <w:r>
        <w:rPr>
          <w:rFonts w:ascii="宋体" w:hAnsi="宋体" w:cs="宋体" w:eastAsia="宋体" w:hint="default"/>
          <w:spacing w:val="-67"/>
        </w:rPr>
        <w:t> </w:t>
      </w:r>
      <w:r>
        <w:rPr>
          <w:spacing w:val="13"/>
        </w:rPr>
        <w:t>股，派发现金红利</w:t>
      </w:r>
      <w:r>
        <w:rPr>
          <w:spacing w:val="-69"/>
        </w:rPr>
        <w:t> </w:t>
      </w:r>
      <w:r>
        <w:rPr>
          <w:rFonts w:ascii="宋体" w:hAnsi="宋体" w:cs="宋体" w:eastAsia="宋体" w:hint="default"/>
        </w:rPr>
        <w:t>215,900,953.40</w:t>
      </w:r>
      <w:r>
        <w:rPr>
          <w:rFonts w:ascii="宋体" w:hAnsi="宋体" w:cs="宋体" w:eastAsia="宋体" w:hint="default"/>
          <w:spacing w:val="-67"/>
        </w:rPr>
        <w:t> </w:t>
      </w:r>
      <w:r>
        <w:rPr>
          <w:spacing w:val="5"/>
        </w:rPr>
        <w:t>元，共计分配利润</w:t>
      </w:r>
      <w:r>
        <w:rPr>
          <w:rFonts w:ascii="宋体" w:hAnsi="宋体" w:cs="宋体" w:eastAsia="宋体" w:hint="default"/>
          <w:spacing w:val="5"/>
        </w:rPr>
        <w:t>755,653,337.40</w:t>
      </w:r>
      <w:r>
        <w:rPr>
          <w:rFonts w:ascii="宋体" w:hAnsi="宋体" w:cs="宋体" w:eastAsia="宋体" w:hint="default"/>
          <w:spacing w:val="-67"/>
        </w:rPr>
        <w:t> </w:t>
      </w:r>
      <w:r>
        <w:rPr>
          <w:spacing w:val="13"/>
        </w:rPr>
        <w:t>元，剩余未分配利润</w:t>
      </w:r>
    </w:p>
    <w:p>
      <w:pPr>
        <w:pStyle w:val="BodyText"/>
        <w:spacing w:line="316" w:lineRule="auto" w:before="76"/>
        <w:ind w:right="184"/>
        <w:jc w:val="left"/>
      </w:pPr>
      <w:r>
        <w:rPr>
          <w:rFonts w:ascii="宋体" w:hAnsi="宋体" w:cs="宋体" w:eastAsia="宋体" w:hint="default"/>
        </w:rPr>
        <w:t>1,836,676,308.34</w:t>
      </w:r>
      <w:r>
        <w:rPr/>
        <w:t>元结转至下一年度，送红股后公司总股本变更为</w:t>
      </w:r>
      <w:r>
        <w:rPr>
          <w:rFonts w:ascii="宋体" w:hAnsi="宋体" w:cs="宋体" w:eastAsia="宋体" w:hint="default"/>
        </w:rPr>
        <w:t>1,619,257,151</w:t>
      </w:r>
      <w:r>
        <w:rPr/>
        <w:t>股。</w:t>
      </w:r>
      <w:r>
        <w:rPr>
          <w:rFonts w:ascii="宋体" w:hAnsi="宋体" w:cs="宋体" w:eastAsia="宋体" w:hint="default"/>
        </w:rPr>
        <w:t>2015</w:t>
      </w:r>
      <w:r>
        <w:rPr/>
        <w:t>年度，公司不进行资本公积转增 股本。</w:t>
      </w:r>
    </w:p>
    <w:p>
      <w:pPr>
        <w:pStyle w:val="BodyText"/>
        <w:spacing w:line="240" w:lineRule="auto" w:before="59"/>
        <w:ind w:right="94"/>
        <w:jc w:val="left"/>
      </w:pPr>
      <w:r>
        <w:rPr/>
        <w:t>公司近三年（包括本报告期）普通股现金分红情况表</w:t>
      </w:r>
    </w:p>
    <w:p>
      <w:pPr>
        <w:pStyle w:val="BodyText"/>
        <w:spacing w:line="240" w:lineRule="auto" w:before="117"/>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7"/>
        <w:gridCol w:w="1843"/>
        <w:gridCol w:w="1702"/>
        <w:gridCol w:w="1699"/>
        <w:gridCol w:w="1310"/>
        <w:gridCol w:w="1594"/>
      </w:tblGrid>
      <w:tr>
        <w:trPr>
          <w:trHeight w:val="1026"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6"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5" w:right="3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3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0" w:right="108"/>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4"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418"/>
        <w:gridCol w:w="1843"/>
        <w:gridCol w:w="1702"/>
        <w:gridCol w:w="1699"/>
        <w:gridCol w:w="1310"/>
        <w:gridCol w:w="1594"/>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215,900,953.40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898,465,097.07</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24.03%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807,445,127.21</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66.63%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705,076,417.95</w:t>
            </w:r>
            <w:r>
              <w:rPr>
                <w:rFonts w:ascii="Times New Roman"/>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212" w:right="101"/>
        <w:jc w:val="left"/>
      </w:pPr>
      <w:bookmarkStart w:name="三、承诺事项履行情况" w:id="62"/>
      <w:bookmarkEnd w:id="62"/>
      <w:r>
        <w:rPr/>
      </w:r>
      <w:bookmarkStart w:name="1、公司、股东、实际控制人、收购人、董事、监事、高级管理人员或其他关联方在报告期" w:id="63"/>
      <w:bookmarkEnd w:id="63"/>
      <w:r>
        <w:rPr/>
      </w:r>
      <w:r>
        <w:rPr/>
        <w:t>公司报告期内盈利且母公司可供普通股股东分配利润为正但未提出普通股现金红利分配预案</w:t>
      </w:r>
    </w:p>
    <w:p>
      <w:pPr>
        <w:pStyle w:val="BodyText"/>
        <w:spacing w:line="240" w:lineRule="auto" w:before="115"/>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01"/>
        <w:jc w:val="left"/>
        <w:rPr>
          <w:b w:val="0"/>
          <w:bCs w:val="0"/>
        </w:rPr>
      </w:pPr>
      <w:r>
        <w:rPr/>
        <w:t>二、本报告期利润</w:t>
      </w:r>
      <w:bookmarkStart w:name="二、本报告期利润分配及资本公积金转增股本预案" w:id="64"/>
      <w:bookmarkEnd w:id="64"/>
      <w:r>
        <w:rPr/>
        <w:t>分配</w:t>
      </w:r>
      <w:r>
        <w:rPr/>
        <w:t>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44"/>
        <w:ind w:left="0" w:right="158"/>
        <w:jc w:val="right"/>
      </w:pPr>
      <w:r>
        <w:rPr/>
        <w:pict>
          <v:shape style="position:absolute;margin-left:56.400002pt;margin-top:-161.528275pt;width:479.2pt;height:350.4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7"/>
                    <w:gridCol w:w="4902"/>
                  </w:tblGrid>
                  <w:tr>
                    <w:trPr>
                      <w:trHeight w:val="403"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1,079,504,767</w:t>
                        </w:r>
                      </w:p>
                    </w:tc>
                  </w:tr>
                  <w:tr>
                    <w:trPr>
                      <w:trHeight w:val="403"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215,900,953.40</w:t>
                        </w:r>
                        <w:r>
                          <w:rPr>
                            <w:rFonts w:ascii="Times New Roman"/>
                            <w:sz w:val="18"/>
                          </w:rPr>
                        </w:r>
                      </w:p>
                    </w:tc>
                  </w:tr>
                  <w:tr>
                    <w:trPr>
                      <w:trHeight w:val="401"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2,592,329,645.74</w:t>
                        </w:r>
                      </w:p>
                    </w:tc>
                  </w:tr>
                  <w:tr>
                    <w:trPr>
                      <w:trHeight w:val="408" w:hRule="exact"/>
                    </w:trPr>
                    <w:tc>
                      <w:tcPr>
                        <w:tcW w:w="4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9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28.57%</w:t>
                        </w:r>
                      </w:p>
                    </w:tc>
                  </w:tr>
                  <w:tr>
                    <w:trPr>
                      <w:trHeight w:val="39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w:t>
                        </w:r>
                        <w:r>
                          <w:rPr>
                            <w:rFonts w:ascii="宋体" w:hAnsi="宋体" w:cs="宋体" w:eastAsia="宋体" w:hint="default"/>
                            <w:spacing w:val="-82"/>
                            <w:sz w:val="18"/>
                            <w:szCs w:val="18"/>
                          </w:rPr>
                          <w:t>，</w:t>
                        </w:r>
                        <w:r>
                          <w:rPr>
                            <w:rFonts w:ascii="宋体" w:hAnsi="宋体" w:cs="宋体" w:eastAsia="宋体" w:hint="default"/>
                            <w:sz w:val="18"/>
                            <w:szCs w:val="18"/>
                          </w:rPr>
                          <w:t>进行利润分配时</w:t>
                        </w:r>
                        <w:r>
                          <w:rPr>
                            <w:rFonts w:ascii="宋体" w:hAnsi="宋体" w:cs="宋体" w:eastAsia="宋体" w:hint="default"/>
                            <w:spacing w:val="-82"/>
                            <w:sz w:val="18"/>
                            <w:szCs w:val="18"/>
                          </w:rPr>
                          <w:t>，</w:t>
                        </w:r>
                        <w:r>
                          <w:rPr>
                            <w:rFonts w:ascii="宋体" w:hAnsi="宋体" w:cs="宋体" w:eastAsia="宋体" w:hint="default"/>
                            <w:sz w:val="18"/>
                            <w:szCs w:val="18"/>
                          </w:rPr>
                          <w:t>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8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7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firstLine="36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经立信会计师事务所（特殊普通合伙）审计确认，公司（母公司）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年度实现净利润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697,362,891.44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元。依照《公 </w:t>
                        </w:r>
                        <w:r>
                          <w:rPr>
                            <w:rFonts w:ascii="宋体" w:hAnsi="宋体" w:cs="宋体" w:eastAsia="宋体" w:hint="default"/>
                            <w:spacing w:val="-5"/>
                            <w:sz w:val="18"/>
                            <w:szCs w:val="18"/>
                          </w:rPr>
                          <w:t>司法》和《公司章程》的规定，提取法定盈余公积金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69,736,289.14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元后，公司可供股东分配利润为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2,592,329,645.74</w:t>
                        </w:r>
                        <w:r>
                          <w:rPr>
                            <w:rFonts w:ascii="Times New Roman" w:hAnsi="Times New Roman" w:cs="Times New Roman" w:eastAsia="Times New Roman" w:hint="default"/>
                            <w:spacing w:val="2"/>
                            <w:sz w:val="18"/>
                            <w:szCs w:val="18"/>
                          </w:rPr>
                          <w:t> </w:t>
                        </w:r>
                        <w:r>
                          <w:rPr>
                            <w:rFonts w:ascii="宋体" w:hAnsi="宋体" w:cs="宋体" w:eastAsia="宋体" w:hint="default"/>
                            <w:spacing w:val="-29"/>
                            <w:sz w:val="18"/>
                            <w:szCs w:val="18"/>
                          </w:rPr>
                          <w:t>元（含</w:t>
                        </w:r>
                        <w:r>
                          <w:rPr>
                            <w:rFonts w:ascii="宋体" w:hAnsi="宋体" w:cs="宋体" w:eastAsia="宋体" w:hint="default"/>
                            <w:spacing w:val="-88"/>
                            <w:sz w:val="18"/>
                            <w:szCs w:val="18"/>
                          </w:rPr>
                          <w:t> </w:t>
                        </w:r>
                        <w:r>
                          <w:rPr>
                            <w:rFonts w:ascii="宋体" w:hAnsi="宋体" w:cs="宋体" w:eastAsia="宋体" w:hint="default"/>
                            <w:sz w:val="18"/>
                            <w:szCs w:val="18"/>
                          </w:rPr>
                          <w:t>以前年度未分配利润</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1,964,703,043.44</w:t>
                        </w:r>
                        <w:r>
                          <w:rPr>
                            <w:rFonts w:ascii="Times New Roman" w:hAnsi="Times New Roman" w:cs="Times New Roman" w:eastAsia="Times New Roman" w:hint="default"/>
                            <w:spacing w:val="6"/>
                            <w:sz w:val="18"/>
                            <w:szCs w:val="18"/>
                          </w:rPr>
                          <w:t> </w:t>
                        </w:r>
                        <w:r>
                          <w:rPr>
                            <w:rFonts w:ascii="宋体" w:hAnsi="宋体" w:cs="宋体" w:eastAsia="宋体" w:hint="default"/>
                            <w:spacing w:val="-31"/>
                            <w:sz w:val="18"/>
                            <w:szCs w:val="18"/>
                          </w:rPr>
                          <w:t>元）。</w:t>
                        </w:r>
                      </w:p>
                      <w:p>
                        <w:pPr>
                          <w:pStyle w:val="TableParagraph"/>
                          <w:spacing w:line="300" w:lineRule="auto" w:before="53"/>
                          <w:ind w:left="24" w:right="107" w:firstLine="360"/>
                          <w:jc w:val="both"/>
                          <w:rPr>
                            <w:rFonts w:ascii="宋体" w:hAnsi="宋体" w:cs="宋体" w:eastAsia="宋体" w:hint="default"/>
                            <w:sz w:val="18"/>
                            <w:szCs w:val="18"/>
                          </w:rPr>
                        </w:pPr>
                        <w:r>
                          <w:rPr>
                            <w:rFonts w:ascii="宋体" w:hAnsi="宋体" w:cs="宋体" w:eastAsia="宋体" w:hint="default"/>
                            <w:sz w:val="18"/>
                            <w:szCs w:val="18"/>
                          </w:rPr>
                          <w:t>鉴于公司已于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日完成公司非公开发行股票发行相关股份登记和上市工作，公司股本为</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1,079,504,767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 根据公司利润实现情况和公司发展需要，</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年度公司利润分配预案为：</w:t>
                        </w:r>
                      </w:p>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以目前公司总股本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13"/>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股</w:t>
                        </w:r>
                        <w:r>
                          <w:rPr>
                            <w:rFonts w:ascii="宋体" w:hAnsi="宋体" w:cs="宋体" w:eastAsia="宋体" w:hint="default"/>
                            <w:sz w:val="18"/>
                            <w:szCs w:val="18"/>
                          </w:rPr>
                          <w:t>（含税</w:t>
                        </w:r>
                        <w:r>
                          <w:rPr>
                            <w:rFonts w:ascii="宋体" w:hAnsi="宋体" w:cs="宋体" w:eastAsia="宋体" w:hint="default"/>
                            <w:spacing w:val="-13"/>
                            <w:sz w:val="18"/>
                            <w:szCs w:val="18"/>
                          </w:rPr>
                          <w:t>）</w:t>
                        </w:r>
                        <w:r>
                          <w:rPr>
                            <w:rFonts w:ascii="宋体" w:hAnsi="宋体" w:cs="宋体" w:eastAsia="宋体" w:hint="default"/>
                            <w:sz w:val="18"/>
                            <w:szCs w:val="18"/>
                          </w:rPr>
                          <w:t>红股</w:t>
                        </w:r>
                        <w:r>
                          <w:rPr>
                            <w:rFonts w:ascii="宋体" w:hAnsi="宋体" w:cs="宋体" w:eastAsia="宋体" w:hint="default"/>
                            <w:spacing w:val="-13"/>
                            <w:sz w:val="18"/>
                            <w:szCs w:val="18"/>
                          </w:rPr>
                          <w:t>，</w:t>
                        </w:r>
                        <w:r>
                          <w:rPr>
                            <w:rFonts w:ascii="宋体" w:hAnsi="宋体" w:cs="宋体" w:eastAsia="宋体" w:hint="default"/>
                            <w:sz w:val="18"/>
                            <w:szCs w:val="18"/>
                          </w:rPr>
                          <w:t>派</w:t>
                        </w:r>
                        <w:r>
                          <w:rPr>
                            <w:rFonts w:ascii="宋体" w:hAnsi="宋体" w:cs="宋体" w:eastAsia="宋体" w:hint="default"/>
                            <w:spacing w:val="-3"/>
                            <w:sz w:val="18"/>
                            <w:szCs w:val="18"/>
                          </w:rPr>
                          <w:t>发</w:t>
                        </w:r>
                        <w:r>
                          <w:rPr>
                            <w:rFonts w:ascii="宋体" w:hAnsi="宋体" w:cs="宋体" w:eastAsia="宋体" w:hint="default"/>
                            <w:sz w:val="18"/>
                            <w:szCs w:val="18"/>
                          </w:rPr>
                          <w:t>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次分配送出红股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539,752,384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215,900,953.40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元，共计分配利润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755,653,337.40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元，剩余未分配利润</w:t>
                        </w:r>
                      </w:p>
                      <w:p>
                        <w:pPr>
                          <w:pStyle w:val="TableParagraph"/>
                          <w:spacing w:line="300" w:lineRule="auto" w:before="63"/>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1,836,676,308.34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元结转至下一年度，送红股后公司总股本变更为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1,619,257,151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年度，公司不进行资本公积转增 股本。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15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240" w:lineRule="auto" w:before="26"/>
        <w:ind w:left="212" w:right="101"/>
        <w:jc w:val="left"/>
        <w:rPr>
          <w:b w:val="0"/>
          <w:bCs w:val="0"/>
        </w:rPr>
      </w:pPr>
      <w:r>
        <w:rPr/>
        <w:t>三、承诺事项履行情况</w:t>
      </w:r>
      <w:r>
        <w:rPr>
          <w:b w:val="0"/>
          <w:bCs w:val="0"/>
        </w:rPr>
      </w:r>
    </w:p>
    <w:p>
      <w:pPr>
        <w:spacing w:line="240" w:lineRule="auto" w:before="9"/>
        <w:rPr>
          <w:rFonts w:ascii="宋体" w:hAnsi="宋体" w:cs="宋体" w:eastAsia="宋体" w:hint="default"/>
          <w:b/>
          <w:bCs/>
          <w:sz w:val="26"/>
          <w:szCs w:val="26"/>
        </w:rPr>
      </w:pPr>
    </w:p>
    <w:p>
      <w:pPr>
        <w:pStyle w:val="Heading5"/>
        <w:spacing w:line="300" w:lineRule="auto"/>
        <w:ind w:left="212" w:right="101"/>
        <w:jc w:val="left"/>
        <w:rPr>
          <w:b w:val="0"/>
          <w:bCs w:val="0"/>
        </w:rPr>
      </w:pPr>
      <w:r>
        <w:rPr>
          <w:rFonts w:ascii="Times New Roman" w:hAnsi="Times New Roman" w:cs="Times New Roman" w:eastAsia="Times New Roman" w:hint="default"/>
          <w:w w:val="95"/>
        </w:rPr>
        <w:t>1</w:t>
      </w:r>
      <w:r>
        <w:rPr>
          <w:w w:val="95"/>
        </w:rPr>
        <w:t>、公司、股东、实际控制人、收购人、董事、监事、高级管理人员或其他关联方在报告期内履行完毕及截至报告期末尚未</w:t>
      </w:r>
      <w:r>
        <w:rPr>
          <w:spacing w:val="15"/>
          <w:w w:val="95"/>
        </w:rPr>
        <w:t> </w:t>
      </w:r>
      <w:r>
        <w:rPr>
          <w:spacing w:val="15"/>
          <w:w w:val="95"/>
        </w:rPr>
      </w:r>
      <w:r>
        <w:rPr/>
        <w:t>履行完毕的承诺事项</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950"/>
        <w:gridCol w:w="1843"/>
        <w:gridCol w:w="742"/>
        <w:gridCol w:w="3686"/>
        <w:gridCol w:w="425"/>
        <w:gridCol w:w="425"/>
        <w:gridCol w:w="494"/>
      </w:tblGrid>
      <w:tr>
        <w:trPr>
          <w:trHeight w:val="1379" w:hRule="exact"/>
        </w:trPr>
        <w:tc>
          <w:tcPr>
            <w:tcW w:w="19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0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7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50"/>
              <w:ind w:left="184" w:right="185"/>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117" w:right="115"/>
              <w:jc w:val="both"/>
              <w:rPr>
                <w:rFonts w:ascii="宋体" w:hAnsi="宋体" w:cs="宋体" w:eastAsia="宋体" w:hint="default"/>
                <w:sz w:val="18"/>
                <w:szCs w:val="18"/>
              </w:rPr>
            </w:pPr>
            <w:r>
              <w:rPr>
                <w:rFonts w:ascii="宋体" w:hAnsi="宋体" w:cs="宋体" w:eastAsia="宋体" w:hint="default"/>
                <w:sz w:val="18"/>
                <w:szCs w:val="18"/>
              </w:rPr>
              <w:t>承 诺 时 间</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8" w:lineRule="auto" w:before="50"/>
              <w:ind w:left="117" w:right="115"/>
              <w:jc w:val="both"/>
              <w:rPr>
                <w:rFonts w:ascii="宋体" w:hAnsi="宋体" w:cs="宋体" w:eastAsia="宋体" w:hint="default"/>
                <w:sz w:val="18"/>
                <w:szCs w:val="18"/>
              </w:rPr>
            </w:pPr>
            <w:r>
              <w:rPr>
                <w:rFonts w:ascii="宋体" w:hAnsi="宋体" w:cs="宋体" w:eastAsia="宋体" w:hint="default"/>
                <w:sz w:val="18"/>
                <w:szCs w:val="18"/>
              </w:rPr>
              <w:t>承 诺 期</w:t>
            </w:r>
          </w:p>
          <w:p>
            <w:pPr>
              <w:pStyle w:val="TableParagraph"/>
              <w:spacing w:line="240" w:lineRule="auto" w:before="2"/>
              <w:ind w:left="117" w:right="0"/>
              <w:jc w:val="both"/>
              <w:rPr>
                <w:rFonts w:ascii="宋体" w:hAnsi="宋体" w:cs="宋体" w:eastAsia="宋体" w:hint="default"/>
                <w:sz w:val="18"/>
                <w:szCs w:val="18"/>
              </w:rPr>
            </w:pPr>
            <w:r>
              <w:rPr>
                <w:rFonts w:ascii="宋体" w:hAnsi="宋体" w:cs="宋体" w:eastAsia="宋体" w:hint="default"/>
                <w:sz w:val="18"/>
                <w:szCs w:val="18"/>
              </w:rPr>
              <w:t>限</w:t>
            </w:r>
          </w:p>
        </w:tc>
        <w:tc>
          <w:tcPr>
            <w:tcW w:w="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8" w:lineRule="auto" w:before="50"/>
              <w:ind w:left="151" w:right="151"/>
              <w:jc w:val="both"/>
              <w:rPr>
                <w:rFonts w:ascii="宋体" w:hAnsi="宋体" w:cs="宋体" w:eastAsia="宋体" w:hint="default"/>
                <w:sz w:val="18"/>
                <w:szCs w:val="18"/>
              </w:rPr>
            </w:pPr>
            <w:r>
              <w:rPr>
                <w:rFonts w:ascii="宋体" w:hAnsi="宋体" w:cs="宋体" w:eastAsia="宋体" w:hint="default"/>
                <w:sz w:val="18"/>
                <w:szCs w:val="18"/>
              </w:rPr>
              <w:t>履 行 情</w:t>
            </w:r>
          </w:p>
          <w:p>
            <w:pPr>
              <w:pStyle w:val="TableParagraph"/>
              <w:spacing w:line="240" w:lineRule="auto" w:before="2"/>
              <w:ind w:left="151" w:right="0"/>
              <w:jc w:val="both"/>
              <w:rPr>
                <w:rFonts w:ascii="宋体" w:hAnsi="宋体" w:cs="宋体" w:eastAsia="宋体" w:hint="default"/>
                <w:sz w:val="18"/>
                <w:szCs w:val="18"/>
              </w:rPr>
            </w:pPr>
            <w:r>
              <w:rPr>
                <w:rFonts w:ascii="宋体" w:hAnsi="宋体" w:cs="宋体" w:eastAsia="宋体" w:hint="default"/>
                <w:sz w:val="18"/>
                <w:szCs w:val="18"/>
              </w:rPr>
              <w:t>况</w:t>
            </w:r>
          </w:p>
        </w:tc>
      </w:tr>
    </w:tbl>
    <w:p>
      <w:pPr>
        <w:spacing w:after="0" w:line="240" w:lineRule="auto"/>
        <w:jc w:val="both"/>
        <w:rPr>
          <w:rFonts w:ascii="宋体" w:hAnsi="宋体" w:cs="宋体" w:eastAsia="宋体" w:hint="default"/>
          <w:sz w:val="18"/>
          <w:szCs w:val="18"/>
        </w:rPr>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951"/>
        <w:gridCol w:w="1843"/>
        <w:gridCol w:w="742"/>
        <w:gridCol w:w="3686"/>
        <w:gridCol w:w="425"/>
        <w:gridCol w:w="425"/>
        <w:gridCol w:w="494"/>
      </w:tblGrid>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6"/>
              <w:jc w:val="right"/>
              <w:rPr>
                <w:rFonts w:ascii="宋体" w:hAnsi="宋体" w:cs="宋体" w:eastAsia="宋体" w:hint="default"/>
                <w:sz w:val="18"/>
                <w:szCs w:val="18"/>
              </w:rPr>
            </w:pPr>
            <w:r>
              <w:rPr>
                <w:rFonts w:ascii="宋体" w:hAnsi="宋体" w:cs="宋体" w:eastAsia="宋体" w:hint="default"/>
                <w:sz w:val="18"/>
                <w:szCs w:val="18"/>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6"/>
              <w:jc w:val="right"/>
              <w:rPr>
                <w:rFonts w:ascii="宋体" w:hAnsi="宋体" w:cs="宋体" w:eastAsia="宋体" w:hint="default"/>
                <w:sz w:val="18"/>
                <w:szCs w:val="18"/>
              </w:rPr>
            </w:pPr>
            <w:r>
              <w:rPr>
                <w:rFonts w:ascii="宋体" w:hAnsi="宋体" w:cs="宋体" w:eastAsia="宋体" w:hint="default"/>
                <w:sz w:val="18"/>
                <w:szCs w:val="18"/>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6"/>
              <w:jc w:val="right"/>
              <w:rPr>
                <w:rFonts w:ascii="宋体" w:hAnsi="宋体" w:cs="宋体" w:eastAsia="宋体" w:hint="default"/>
                <w:sz w:val="18"/>
                <w:szCs w:val="18"/>
              </w:rPr>
            </w:pPr>
            <w:r>
              <w:rPr>
                <w:rFonts w:ascii="宋体" w:hAnsi="宋体" w:cs="宋体" w:eastAsia="宋体" w:hint="default"/>
                <w:sz w:val="18"/>
                <w:szCs w:val="18"/>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7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）公司董事、监事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及高级管理人员；（</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宋体" w:hAnsi="宋体" w:cs="宋体" w:eastAsia="宋体" w:hint="default"/>
                <w:sz w:val="18"/>
                <w:szCs w:val="18"/>
              </w:rPr>
              <w:t> 公司控股股东无线电 集团和其他三名发起 人股东梅州敬基实业 有限公司、盈富泰克 创业投资有限公司、 广州藤川科技有限公 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6"/>
              <w:jc w:val="left"/>
              <w:rPr>
                <w:rFonts w:ascii="宋体" w:hAnsi="宋体" w:cs="宋体" w:eastAsia="宋体" w:hint="default"/>
                <w:sz w:val="18"/>
                <w:szCs w:val="18"/>
              </w:rPr>
            </w:pPr>
            <w:r>
              <w:rPr>
                <w:rFonts w:ascii="宋体" w:hAnsi="宋体" w:cs="宋体" w:eastAsia="宋体" w:hint="default"/>
                <w:sz w:val="18"/>
                <w:szCs w:val="18"/>
              </w:rPr>
              <w:t>关于 同业 竞争、 关联 交易、 资金 占用 方面 的承</w:t>
            </w:r>
          </w:p>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101"/>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）担任公司董事、监事及高级管理人员承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诺，在其任职期间每年转让的股份不超过其 所持有本公司股份总数的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 </w:t>
            </w:r>
            <w:r>
              <w:rPr>
                <w:rFonts w:ascii="宋体" w:hAnsi="宋体" w:cs="宋体" w:eastAsia="宋体" w:hint="default"/>
                <w:spacing w:val="-5"/>
                <w:sz w:val="18"/>
                <w:szCs w:val="18"/>
              </w:rPr>
              <w:t>月内，不转让其所持有的本公司股份；离职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p>
          <w:p>
            <w:pPr>
              <w:pStyle w:val="TableParagraph"/>
              <w:spacing w:line="314" w:lineRule="auto" w:before="9"/>
              <w:ind w:left="103" w:right="12"/>
              <w:jc w:val="left"/>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个月内通过证券交易所挂牌交易 出售本公司股票数量占其所持有本公司股票 </w:t>
            </w:r>
            <w:r>
              <w:rPr>
                <w:rFonts w:ascii="宋体" w:hAnsi="宋体" w:cs="宋体" w:eastAsia="宋体" w:hint="default"/>
                <w:spacing w:val="-3"/>
                <w:sz w:val="18"/>
                <w:szCs w:val="18"/>
              </w:rPr>
              <w:t>总数（包括有限售条件和无限售条件的股份）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的比例不超过</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）为避免在以后的经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营中产生同业竞争，公司控股股东无线电集 团和其他三名发起人股东梅州敬基实业有限 公司、盈富泰克创业投资有限公司、广州藤 川科技有限公司向公司出具了《关于避免与 广州广电运通金融电子股份有限公司同业竞 </w:t>
            </w:r>
            <w:r>
              <w:rPr>
                <w:rFonts w:ascii="宋体" w:hAnsi="宋体" w:cs="宋体" w:eastAsia="宋体" w:hint="default"/>
                <w:spacing w:val="-7"/>
                <w:sz w:val="18"/>
                <w:szCs w:val="18"/>
              </w:rPr>
              <w:t>争的承诺函》，承诺其以后不从事与本公司业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务相同或相近的业务。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1"/>
              <w:jc w:val="both"/>
              <w:rPr>
                <w:rFonts w:ascii="宋体" w:hAnsi="宋体" w:cs="宋体" w:eastAsia="宋体" w:hint="default"/>
                <w:sz w:val="18"/>
                <w:szCs w:val="18"/>
              </w:rPr>
            </w:pPr>
            <w:r>
              <w:rPr>
                <w:rFonts w:ascii="宋体" w:hAnsi="宋体" w:cs="宋体" w:eastAsia="宋体" w:hint="default"/>
                <w:sz w:val="18"/>
                <w:szCs w:val="18"/>
              </w:rPr>
              <w:t>长 期 有 效</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99"/>
              <w:jc w:val="both"/>
              <w:rPr>
                <w:rFonts w:ascii="宋体" w:hAnsi="宋体" w:cs="宋体" w:eastAsia="宋体" w:hint="default"/>
                <w:sz w:val="18"/>
                <w:szCs w:val="18"/>
              </w:rPr>
            </w:pPr>
            <w:r>
              <w:rPr>
                <w:rFonts w:ascii="宋体" w:hAnsi="宋体" w:cs="宋体" w:eastAsia="宋体" w:hint="default"/>
                <w:sz w:val="18"/>
                <w:szCs w:val="18"/>
              </w:rPr>
              <w:t>严 格 履</w:t>
            </w:r>
          </w:p>
          <w:p>
            <w:pPr>
              <w:pStyle w:val="TableParagraph"/>
              <w:spacing w:line="240" w:lineRule="auto" w:before="2"/>
              <w:ind w:left="103" w:right="0"/>
              <w:jc w:val="both"/>
              <w:rPr>
                <w:rFonts w:ascii="宋体" w:hAnsi="宋体" w:cs="宋体" w:eastAsia="宋体" w:hint="default"/>
                <w:sz w:val="18"/>
                <w:szCs w:val="18"/>
              </w:rPr>
            </w:pPr>
            <w:r>
              <w:rPr>
                <w:rFonts w:ascii="宋体" w:hAnsi="宋体" w:cs="宋体" w:eastAsia="宋体" w:hint="default"/>
                <w:sz w:val="18"/>
                <w:szCs w:val="18"/>
              </w:rPr>
              <w:t>行</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6"/>
              <w:jc w:val="right"/>
              <w:rPr>
                <w:rFonts w:ascii="宋体" w:hAnsi="宋体" w:cs="宋体" w:eastAsia="宋体" w:hint="default"/>
                <w:sz w:val="18"/>
                <w:szCs w:val="18"/>
              </w:rPr>
            </w:pPr>
            <w:r>
              <w:rPr>
                <w:rFonts w:ascii="宋体" w:hAnsi="宋体" w:cs="宋体" w:eastAsia="宋体" w:hint="default"/>
                <w:sz w:val="18"/>
                <w:szCs w:val="18"/>
              </w:rPr>
              <w:t>无</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5"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609" w:right="158" w:hanging="44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pacing w:val="-9"/>
                <w:sz w:val="18"/>
                <w:szCs w:val="18"/>
              </w:rPr>
              <w:t>无线电集团、叶子瑜、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罗攀峰、陈振光、束 </w:t>
            </w:r>
            <w:r>
              <w:rPr>
                <w:rFonts w:ascii="宋体" w:hAnsi="宋体" w:cs="宋体" w:eastAsia="宋体" w:hint="default"/>
                <w:spacing w:val="-9"/>
                <w:sz w:val="18"/>
                <w:szCs w:val="18"/>
              </w:rPr>
              <w:t>萌、陈建良、李叶东、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魏东、蒋春晨、解永 生、任斌</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4" w:right="185"/>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公司控股股东无线电集团和公司高级管理人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员承诺：（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）承诺诚实经营，以真实业绩回</w:t>
            </w:r>
            <w:r>
              <w:rPr>
                <w:rFonts w:ascii="宋体" w:hAnsi="宋体" w:cs="宋体" w:eastAsia="宋体" w:hint="default"/>
                <w:spacing w:val="-79"/>
                <w:sz w:val="18"/>
                <w:szCs w:val="18"/>
              </w:rPr>
              <w:t> </w:t>
            </w:r>
            <w:r>
              <w:rPr>
                <w:rFonts w:ascii="宋体" w:hAnsi="宋体" w:cs="宋体" w:eastAsia="宋体" w:hint="default"/>
                <w:spacing w:val="-7"/>
                <w:sz w:val="18"/>
                <w:szCs w:val="18"/>
              </w:rPr>
              <w:t>报投资者，以此奠定好证券市场的基石；（</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宋体" w:hAnsi="宋体" w:cs="宋体" w:eastAsia="宋体" w:hint="default"/>
                <w:spacing w:val="-73"/>
                <w:sz w:val="18"/>
                <w:szCs w:val="18"/>
              </w:rPr>
              <w:t> </w:t>
            </w:r>
            <w:r>
              <w:rPr>
                <w:rFonts w:ascii="宋体" w:hAnsi="宋体" w:cs="宋体" w:eastAsia="宋体" w:hint="default"/>
                <w:spacing w:val="2"/>
                <w:sz w:val="18"/>
                <w:szCs w:val="18"/>
              </w:rPr>
              <w:t>承诺一如既往继续支持上市公司经营工作，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集合优势、聚焦主业，提升业绩，以最好的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成绩回报投资者；（</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）承诺在法律、法规允</w:t>
            </w:r>
            <w:r>
              <w:rPr>
                <w:rFonts w:ascii="宋体" w:hAnsi="宋体" w:cs="宋体" w:eastAsia="宋体" w:hint="default"/>
                <w:spacing w:val="-78"/>
                <w:sz w:val="18"/>
                <w:szCs w:val="18"/>
              </w:rPr>
              <w:t> </w:t>
            </w:r>
            <w:r>
              <w:rPr>
                <w:rFonts w:ascii="宋体" w:hAnsi="宋体" w:cs="宋体" w:eastAsia="宋体" w:hint="default"/>
                <w:spacing w:val="2"/>
                <w:sz w:val="18"/>
                <w:szCs w:val="18"/>
              </w:rPr>
              <w:t>许的范围内，积极探索采取回购、增持等措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施；（</w:t>
            </w: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）承诺在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年年内（</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307" w:lineRule="auto" w:before="5"/>
              <w:ind w:left="103" w:right="100" w:hanging="1"/>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日）不减持公司股票， </w:t>
            </w:r>
            <w:r>
              <w:rPr>
                <w:rFonts w:ascii="宋体" w:hAnsi="宋体" w:cs="宋体" w:eastAsia="宋体" w:hint="default"/>
                <w:spacing w:val="2"/>
                <w:sz w:val="18"/>
                <w:szCs w:val="18"/>
              </w:rPr>
              <w:t>以实际行动维护上市公司信用体系，切实保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护投资者利益；（</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）若违反承诺，将自愿承</w:t>
            </w:r>
            <w:r>
              <w:rPr>
                <w:rFonts w:ascii="宋体" w:hAnsi="宋体" w:cs="宋体" w:eastAsia="宋体" w:hint="default"/>
                <w:spacing w:val="-80"/>
                <w:sz w:val="18"/>
                <w:szCs w:val="18"/>
              </w:rPr>
              <w:t> </w:t>
            </w:r>
            <w:r>
              <w:rPr>
                <w:rFonts w:ascii="宋体" w:hAnsi="宋体" w:cs="宋体" w:eastAsia="宋体" w:hint="default"/>
                <w:sz w:val="18"/>
                <w:szCs w:val="18"/>
              </w:rPr>
              <w:t>担由此对公司造成的损失。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103" w:right="199"/>
              <w:jc w:val="both"/>
              <w:rPr>
                <w:rFonts w:ascii="宋体" w:hAnsi="宋体" w:cs="宋体" w:eastAsia="宋体" w:hint="default"/>
                <w:sz w:val="18"/>
                <w:szCs w:val="18"/>
              </w:rPr>
            </w:pPr>
            <w:r>
              <w:rPr>
                <w:rFonts w:ascii="宋体" w:hAnsi="宋体" w:cs="宋体" w:eastAsia="宋体" w:hint="default"/>
                <w:sz w:val="18"/>
                <w:szCs w:val="18"/>
              </w:rPr>
              <w:t>履 行 完</w:t>
            </w:r>
          </w:p>
          <w:p>
            <w:pPr>
              <w:pStyle w:val="TableParagraph"/>
              <w:spacing w:line="240" w:lineRule="auto" w:before="43"/>
              <w:ind w:left="103" w:right="0"/>
              <w:jc w:val="both"/>
              <w:rPr>
                <w:rFonts w:ascii="宋体" w:hAnsi="宋体" w:cs="宋体" w:eastAsia="宋体" w:hint="default"/>
                <w:sz w:val="18"/>
                <w:szCs w:val="18"/>
              </w:rPr>
            </w:pPr>
            <w:r>
              <w:rPr>
                <w:rFonts w:ascii="宋体" w:hAnsi="宋体" w:cs="宋体" w:eastAsia="宋体" w:hint="default"/>
                <w:sz w:val="18"/>
                <w:szCs w:val="18"/>
              </w:rPr>
              <w:t>毕</w:t>
            </w:r>
          </w:p>
        </w:tc>
      </w:tr>
      <w:tr>
        <w:trPr>
          <w:trHeight w:val="2273" w:hRule="exact"/>
        </w:trPr>
        <w:tc>
          <w:tcPr>
            <w:tcW w:w="1951" w:type="dxa"/>
            <w:vMerge/>
            <w:tcBorders>
              <w:left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深圳市创自成长投资 </w:t>
            </w:r>
            <w:r>
              <w:rPr>
                <w:rFonts w:ascii="宋体" w:hAnsi="宋体" w:cs="宋体" w:eastAsia="宋体" w:hint="default"/>
                <w:spacing w:val="-18"/>
                <w:sz w:val="18"/>
                <w:szCs w:val="18"/>
              </w:rPr>
              <w:t>企业（有限合伙）、王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朝晖、李翔、冯彬、 海玉芳</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4" w:right="185"/>
              <w:jc w:val="both"/>
              <w:rPr>
                <w:rFonts w:ascii="宋体" w:hAnsi="宋体" w:cs="宋体" w:eastAsia="宋体" w:hint="default"/>
                <w:sz w:val="18"/>
                <w:szCs w:val="18"/>
              </w:rPr>
            </w:pPr>
            <w:r>
              <w:rPr>
                <w:rFonts w:ascii="宋体" w:hAnsi="宋体" w:cs="宋体" w:eastAsia="宋体" w:hint="default"/>
                <w:sz w:val="18"/>
                <w:szCs w:val="18"/>
              </w:rPr>
              <w:t>业绩 承诺 及补 偿安 排</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8"/>
              <w:ind w:left="103" w:right="9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日召开的第四届董事 </w:t>
            </w:r>
            <w:r>
              <w:rPr>
                <w:rFonts w:ascii="宋体" w:hAnsi="宋体" w:cs="宋体" w:eastAsia="宋体" w:hint="default"/>
                <w:spacing w:val="2"/>
                <w:sz w:val="18"/>
                <w:szCs w:val="18"/>
              </w:rPr>
              <w:t>会第九次（临时）会议审议通过了《关于收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购深圳市创自技术有限公司</w:t>
            </w:r>
            <w:r>
              <w:rPr>
                <w:rFonts w:ascii="宋体" w:hAnsi="宋体" w:cs="宋体" w:eastAsia="宋体" w:hint="default"/>
                <w:spacing w:val="18"/>
                <w:sz w:val="18"/>
                <w:szCs w:val="18"/>
              </w:rPr>
              <w:t> </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股权的议</w:t>
            </w:r>
            <w:r>
              <w:rPr>
                <w:rFonts w:ascii="宋体" w:hAnsi="宋体" w:cs="宋体" w:eastAsia="宋体" w:hint="default"/>
                <w:spacing w:val="9"/>
                <w:sz w:val="18"/>
                <w:szCs w:val="18"/>
              </w:rPr>
              <w:t> </w:t>
            </w:r>
            <w:r>
              <w:rPr>
                <w:rFonts w:ascii="宋体" w:hAnsi="宋体" w:cs="宋体" w:eastAsia="宋体" w:hint="default"/>
                <w:spacing w:val="-17"/>
                <w:sz w:val="18"/>
                <w:szCs w:val="18"/>
              </w:rPr>
              <w:t>案》，公司使用自有资金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13,650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万元收购深圳</w:t>
            </w:r>
            <w:r>
              <w:rPr>
                <w:rFonts w:ascii="宋体" w:hAnsi="宋体" w:cs="宋体" w:eastAsia="宋体" w:hint="default"/>
                <w:spacing w:val="-87"/>
                <w:sz w:val="18"/>
                <w:szCs w:val="18"/>
              </w:rPr>
              <w:t> </w:t>
            </w:r>
            <w:r>
              <w:rPr>
                <w:rFonts w:ascii="宋体" w:hAnsi="宋体" w:cs="宋体" w:eastAsia="宋体" w:hint="default"/>
                <w:sz w:val="18"/>
                <w:szCs w:val="18"/>
              </w:rPr>
              <w:t>市创自技术有限公司</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的股权。出让五方 承诺：在 </w:t>
            </w:r>
            <w:r>
              <w:rPr>
                <w:rFonts w:ascii="Times New Roman" w:hAnsi="Times New Roman" w:cs="Times New Roman" w:eastAsia="Times New Roman" w:hint="default"/>
                <w:sz w:val="18"/>
                <w:szCs w:val="18"/>
              </w:rPr>
              <w:t>2015-2017</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年累计实现扣除非经常</w:t>
            </w:r>
          </w:p>
          <w:p>
            <w:pPr>
              <w:pStyle w:val="TableParagraph"/>
              <w:spacing w:line="240" w:lineRule="auto" w:before="9"/>
              <w:ind w:left="103" w:right="0"/>
              <w:jc w:val="both"/>
              <w:rPr>
                <w:rFonts w:ascii="宋体" w:hAnsi="宋体" w:cs="宋体" w:eastAsia="宋体" w:hint="default"/>
                <w:sz w:val="18"/>
                <w:szCs w:val="18"/>
              </w:rPr>
            </w:pPr>
            <w:r>
              <w:rPr>
                <w:rFonts w:ascii="宋体" w:hAnsi="宋体" w:cs="宋体" w:eastAsia="宋体" w:hint="default"/>
                <w:sz w:val="18"/>
                <w:szCs w:val="18"/>
              </w:rPr>
              <w:t>性损益后净利润数不低于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103" w:right="199"/>
              <w:jc w:val="both"/>
              <w:rPr>
                <w:rFonts w:ascii="宋体" w:hAnsi="宋体" w:cs="宋体" w:eastAsia="宋体" w:hint="default"/>
                <w:sz w:val="18"/>
                <w:szCs w:val="18"/>
              </w:rPr>
            </w:pPr>
            <w:r>
              <w:rPr>
                <w:rFonts w:ascii="宋体" w:hAnsi="宋体" w:cs="宋体" w:eastAsia="宋体" w:hint="default"/>
                <w:sz w:val="18"/>
                <w:szCs w:val="18"/>
              </w:rPr>
              <w:t>严 格 履</w:t>
            </w:r>
          </w:p>
          <w:p>
            <w:pPr>
              <w:pStyle w:val="TableParagraph"/>
              <w:spacing w:line="240" w:lineRule="auto" w:before="2"/>
              <w:ind w:left="103" w:right="0"/>
              <w:jc w:val="both"/>
              <w:rPr>
                <w:rFonts w:ascii="宋体" w:hAnsi="宋体" w:cs="宋体" w:eastAsia="宋体" w:hint="default"/>
                <w:sz w:val="18"/>
                <w:szCs w:val="18"/>
              </w:rPr>
            </w:pPr>
            <w:r>
              <w:rPr>
                <w:rFonts w:ascii="宋体" w:hAnsi="宋体" w:cs="宋体" w:eastAsia="宋体" w:hint="default"/>
                <w:sz w:val="18"/>
                <w:szCs w:val="18"/>
              </w:rPr>
              <w:t>行</w:t>
            </w:r>
          </w:p>
        </w:tc>
      </w:tr>
      <w:tr>
        <w:trPr>
          <w:trHeight w:val="1027" w:hRule="exact"/>
        </w:trPr>
        <w:tc>
          <w:tcPr>
            <w:tcW w:w="1951"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8"/>
              <w:jc w:val="both"/>
              <w:rPr>
                <w:rFonts w:ascii="宋体" w:hAnsi="宋体" w:cs="宋体" w:eastAsia="宋体" w:hint="default"/>
                <w:sz w:val="18"/>
                <w:szCs w:val="18"/>
              </w:rPr>
            </w:pPr>
            <w:r>
              <w:rPr>
                <w:rFonts w:ascii="宋体" w:hAnsi="宋体" w:cs="宋体" w:eastAsia="宋体" w:hint="default"/>
                <w:sz w:val="18"/>
                <w:szCs w:val="18"/>
              </w:rPr>
              <w:t>海南华安保安器材装 备公司、海南警盾保 安器材装备有限公司</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84" w:right="185"/>
              <w:jc w:val="both"/>
              <w:rPr>
                <w:rFonts w:ascii="宋体" w:hAnsi="宋体" w:cs="宋体" w:eastAsia="宋体" w:hint="default"/>
                <w:sz w:val="18"/>
                <w:szCs w:val="18"/>
              </w:rPr>
            </w:pPr>
            <w:r>
              <w:rPr>
                <w:rFonts w:ascii="宋体" w:hAnsi="宋体" w:cs="宋体" w:eastAsia="宋体" w:hint="default"/>
                <w:sz w:val="18"/>
                <w:szCs w:val="18"/>
              </w:rPr>
              <w:t>业绩 承诺 及补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4"/>
              <w:jc w:val="both"/>
              <w:rPr>
                <w:rFonts w:ascii="宋体" w:hAnsi="宋体" w:cs="宋体" w:eastAsia="宋体" w:hint="default"/>
                <w:sz w:val="18"/>
                <w:szCs w:val="18"/>
              </w:rPr>
            </w:pPr>
            <w:r>
              <w:rPr>
                <w:rFonts w:ascii="宋体" w:hAnsi="宋体" w:cs="宋体" w:eastAsia="宋体" w:hint="default"/>
                <w:spacing w:val="2"/>
                <w:sz w:val="18"/>
                <w:szCs w:val="18"/>
              </w:rPr>
              <w:t>海南华安保安器材装备公司、海南警盾保安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器材装备有限公司保证：海南警锐押运护卫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有限公司股权完成变更的当年及次年，即</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103" w:right="199"/>
              <w:jc w:val="both"/>
              <w:rPr>
                <w:rFonts w:ascii="宋体" w:hAnsi="宋体" w:cs="宋体" w:eastAsia="宋体" w:hint="default"/>
                <w:sz w:val="18"/>
                <w:szCs w:val="18"/>
              </w:rPr>
            </w:pPr>
            <w:r>
              <w:rPr>
                <w:rFonts w:ascii="宋体" w:hAnsi="宋体" w:cs="宋体" w:eastAsia="宋体" w:hint="default"/>
                <w:sz w:val="18"/>
                <w:szCs w:val="18"/>
              </w:rPr>
              <w:t>严 格 履</w:t>
            </w:r>
          </w:p>
        </w:tc>
      </w:tr>
    </w:tbl>
    <w:p>
      <w:pPr>
        <w:spacing w:after="0" w:line="338" w:lineRule="auto"/>
        <w:jc w:val="both"/>
        <w:rPr>
          <w:rFonts w:ascii="宋体" w:hAnsi="宋体" w:cs="宋体" w:eastAsia="宋体" w:hint="default"/>
          <w:sz w:val="18"/>
          <w:szCs w:val="18"/>
        </w:rPr>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951"/>
        <w:gridCol w:w="1843"/>
        <w:gridCol w:w="742"/>
        <w:gridCol w:w="3686"/>
        <w:gridCol w:w="425"/>
        <w:gridCol w:w="425"/>
        <w:gridCol w:w="494"/>
      </w:tblGrid>
      <w:tr>
        <w:trPr>
          <w:trHeight w:val="223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6" w:right="185" w:hanging="92"/>
              <w:jc w:val="left"/>
              <w:rPr>
                <w:rFonts w:ascii="宋体" w:hAnsi="宋体" w:cs="宋体" w:eastAsia="宋体" w:hint="default"/>
                <w:sz w:val="18"/>
                <w:szCs w:val="18"/>
              </w:rPr>
            </w:pPr>
            <w:r>
              <w:rPr>
                <w:rFonts w:ascii="宋体" w:hAnsi="宋体" w:cs="宋体" w:eastAsia="宋体" w:hint="default"/>
                <w:sz w:val="18"/>
                <w:szCs w:val="18"/>
              </w:rPr>
              <w:t>偿安 排</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pacing w:val="-7"/>
                <w:sz w:val="18"/>
                <w:szCs w:val="18"/>
              </w:rPr>
              <w:t>年度，</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年度经有证券从业资格的会 </w:t>
            </w:r>
            <w:r>
              <w:rPr>
                <w:rFonts w:ascii="宋体" w:hAnsi="宋体" w:cs="宋体" w:eastAsia="宋体" w:hint="default"/>
                <w:spacing w:val="13"/>
                <w:sz w:val="18"/>
                <w:szCs w:val="18"/>
              </w:rPr>
              <w:t>计事务所审计的税后净利润不低于人民币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680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年，否则差额部分由海南警盾保安 </w:t>
            </w:r>
            <w:r>
              <w:rPr>
                <w:rFonts w:ascii="宋体" w:hAnsi="宋体" w:cs="宋体" w:eastAsia="宋体" w:hint="default"/>
                <w:spacing w:val="2"/>
                <w:sz w:val="18"/>
                <w:szCs w:val="18"/>
              </w:rPr>
              <w:t>器材装备有限公司逐年对广州广电银通安保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投资有限公司进行经济补偿，且海南华安保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安器材装备公司、海南警盾保安器材装备有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限公司对该补偿金额的给付承担连带责任。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0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6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7"/>
                <w:sz w:val="18"/>
                <w:szCs w:val="18"/>
              </w:rPr>
              <w:t>毕的，应当详细说明未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完成履行的具体原因 及下一步的工作计划</w:t>
            </w:r>
          </w:p>
        </w:tc>
        <w:tc>
          <w:tcPr>
            <w:tcW w:w="76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Times New Roman" w:hAnsi="Times New Roman" w:cs="Times New Roman" w:eastAsia="Times New Roman" w:hint="default"/>
          <w:sz w:val="23"/>
          <w:szCs w:val="23"/>
        </w:rPr>
      </w:pPr>
    </w:p>
    <w:p>
      <w:pPr>
        <w:pStyle w:val="Heading5"/>
        <w:spacing w:line="240" w:lineRule="auto" w:before="44"/>
        <w:ind w:left="212" w:right="101"/>
        <w:jc w:val="left"/>
        <w:rPr>
          <w:b w:val="0"/>
          <w:bCs w:val="0"/>
        </w:rPr>
      </w:pPr>
      <w:bookmarkStart w:name="四、控股股东及其关联方对上市公司的非经营性占用资金情况" w:id="65"/>
      <w:bookmarkEnd w:id="65"/>
      <w:r>
        <w:rPr>
          <w:b w:val="0"/>
          <w:bCs w:val="0"/>
        </w:rPr>
      </w:r>
      <w:bookmarkStart w:name="五、董事会、监事会、独立董事（如有）对会计师事务所本报告期“非标准审计报告”的说" w:id="66"/>
      <w:bookmarkEnd w:id="66"/>
      <w:r>
        <w:rPr>
          <w:b w:val="0"/>
          <w:bCs w:val="0"/>
        </w:rPr>
      </w:r>
      <w:r>
        <w:rPr>
          <w:rFonts w:ascii="Times New Roman" w:hAnsi="Times New Roman" w:cs="Times New Roman" w:eastAsia="Times New Roman" w:hint="default"/>
        </w:rPr>
        <w:t>2</w:t>
      </w:r>
      <w:r>
        <w:rPr/>
        <w:t>、公司资产或项目存在盈利预测，且报告期仍处</w:t>
      </w:r>
      <w:bookmarkStart w:name="2、公司资产或项目存在盈利预测，且报告期仍处在盈利预测期间，公司就资产或项目达到" w:id="67"/>
      <w:bookmarkEnd w:id="67"/>
      <w:r>
        <w:rPr/>
        <w:t>在盈</w:t>
      </w:r>
      <w:r>
        <w:rPr/>
        <w:t>利预测期间，公司就资产或项目达到原盈利预测及其原因做出说明</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852"/>
        <w:gridCol w:w="850"/>
        <w:gridCol w:w="1102"/>
        <w:gridCol w:w="883"/>
        <w:gridCol w:w="1133"/>
        <w:gridCol w:w="994"/>
        <w:gridCol w:w="991"/>
        <w:gridCol w:w="2760"/>
      </w:tblGrid>
      <w:tr>
        <w:trPr>
          <w:trHeight w:val="1339" w:hRule="exact"/>
        </w:trPr>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51" w:right="149"/>
              <w:jc w:val="both"/>
              <w:rPr>
                <w:rFonts w:ascii="宋体" w:hAnsi="宋体" w:cs="宋体" w:eastAsia="宋体" w:hint="default"/>
                <w:sz w:val="18"/>
                <w:szCs w:val="18"/>
              </w:rPr>
            </w:pPr>
            <w:r>
              <w:rPr>
                <w:rFonts w:ascii="宋体" w:hAnsi="宋体" w:cs="宋体" w:eastAsia="宋体" w:hint="default"/>
                <w:sz w:val="18"/>
                <w:szCs w:val="18"/>
              </w:rPr>
              <w:t>盈利预 测资产 或项目 名称</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8" w:right="149"/>
              <w:jc w:val="left"/>
              <w:rPr>
                <w:rFonts w:ascii="宋体" w:hAnsi="宋体" w:cs="宋体" w:eastAsia="宋体" w:hint="default"/>
                <w:sz w:val="18"/>
                <w:szCs w:val="18"/>
              </w:rPr>
            </w:pPr>
            <w:r>
              <w:rPr>
                <w:rFonts w:ascii="宋体" w:hAnsi="宋体" w:cs="宋体" w:eastAsia="宋体" w:hint="default"/>
                <w:sz w:val="18"/>
                <w:szCs w:val="18"/>
              </w:rPr>
              <w:t>预测起 始时间</w:t>
            </w:r>
          </w:p>
        </w:tc>
        <w:tc>
          <w:tcPr>
            <w:tcW w:w="1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64" w:right="185"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8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65" w:right="167"/>
              <w:jc w:val="left"/>
              <w:rPr>
                <w:rFonts w:ascii="宋体" w:hAnsi="宋体" w:cs="宋体" w:eastAsia="宋体" w:hint="default"/>
                <w:sz w:val="18"/>
                <w:szCs w:val="18"/>
              </w:rPr>
            </w:pPr>
            <w:r>
              <w:rPr>
                <w:rFonts w:ascii="宋体" w:hAnsi="宋体" w:cs="宋体" w:eastAsia="宋体" w:hint="default"/>
                <w:sz w:val="18"/>
                <w:szCs w:val="18"/>
              </w:rPr>
              <w:t>当期预 测业绩</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3" w:right="131" w:hanging="92"/>
              <w:jc w:val="left"/>
              <w:rPr>
                <w:rFonts w:ascii="宋体" w:hAnsi="宋体" w:cs="宋体" w:eastAsia="宋体" w:hint="default"/>
                <w:sz w:val="18"/>
                <w:szCs w:val="18"/>
              </w:rPr>
            </w:pPr>
            <w:r>
              <w:rPr>
                <w:rFonts w:ascii="宋体" w:hAnsi="宋体" w:cs="宋体" w:eastAsia="宋体" w:hint="default"/>
                <w:sz w:val="18"/>
                <w:szCs w:val="18"/>
              </w:rPr>
              <w:t>未达预测 的原因</w:t>
            </w:r>
          </w:p>
          <w:p>
            <w:pPr>
              <w:pStyle w:val="TableParagraph"/>
              <w:spacing w:line="316" w:lineRule="auto" w:before="19"/>
              <w:ind w:left="312" w:right="218" w:hanging="89"/>
              <w:jc w:val="left"/>
              <w:rPr>
                <w:rFonts w:ascii="宋体" w:hAnsi="宋体" w:cs="宋体" w:eastAsia="宋体" w:hint="default"/>
                <w:sz w:val="18"/>
                <w:szCs w:val="18"/>
              </w:rPr>
            </w:pPr>
            <w:r>
              <w:rPr>
                <w:rFonts w:ascii="宋体" w:hAnsi="宋体" w:cs="宋体" w:eastAsia="宋体" w:hint="default"/>
                <w:sz w:val="18"/>
                <w:szCs w:val="18"/>
              </w:rPr>
              <w:t>（如适 用）</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0" w:right="131"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both"/>
              <w:rPr>
                <w:rFonts w:ascii="宋体" w:hAnsi="宋体" w:cs="宋体" w:eastAsia="宋体" w:hint="default"/>
                <w:sz w:val="18"/>
                <w:szCs w:val="18"/>
              </w:rPr>
            </w:pPr>
            <w:r>
              <w:rPr>
                <w:rFonts w:ascii="宋体" w:hAnsi="宋体" w:cs="宋体" w:eastAsia="宋体" w:hint="default"/>
                <w:sz w:val="18"/>
                <w:szCs w:val="18"/>
              </w:rPr>
              <w:t>收购创 自技术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1,536.20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5" w:right="0"/>
              <w:jc w:val="left"/>
              <w:rPr>
                <w:rFonts w:ascii="宋体" w:hAnsi="宋体" w:cs="宋体" w:eastAsia="宋体" w:hint="default"/>
                <w:sz w:val="18"/>
                <w:szCs w:val="18"/>
              </w:rPr>
            </w:pPr>
            <w:r>
              <w:rPr>
                <w:rFonts w:ascii="宋体" w:hAnsi="宋体" w:cs="宋体" w:eastAsia="宋体" w:hint="default"/>
                <w:sz w:val="18"/>
                <w:szCs w:val="18"/>
              </w:rPr>
              <w:t>已达到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both"/>
              <w:rPr>
                <w:rFonts w:ascii="宋体" w:hAnsi="宋体" w:cs="宋体" w:eastAsia="宋体" w:hint="default"/>
                <w:sz w:val="18"/>
                <w:szCs w:val="18"/>
              </w:rPr>
            </w:pPr>
            <w:r>
              <w:rPr>
                <w:rFonts w:ascii="宋体" w:hAnsi="宋体" w:cs="宋体" w:eastAsia="宋体" w:hint="default"/>
                <w:spacing w:val="24"/>
                <w:sz w:val="18"/>
                <w:szCs w:val="18"/>
              </w:rPr>
              <w:t>《证券</w:t>
            </w:r>
            <w:r>
              <w:rPr>
                <w:rFonts w:ascii="宋体" w:hAnsi="宋体" w:cs="宋体" w:eastAsia="宋体" w:hint="default"/>
                <w:spacing w:val="-57"/>
                <w:sz w:val="18"/>
                <w:szCs w:val="18"/>
              </w:rPr>
              <w:t> </w:t>
            </w:r>
            <w:r>
              <w:rPr>
                <w:rFonts w:ascii="宋体" w:hAnsi="宋体" w:cs="宋体" w:eastAsia="宋体" w:hint="default"/>
                <w:spacing w:val="24"/>
                <w:sz w:val="18"/>
                <w:szCs w:val="18"/>
              </w:rPr>
              <w:t>时报》</w:t>
            </w:r>
            <w:r>
              <w:rPr>
                <w:rFonts w:ascii="宋体" w:hAnsi="宋体" w:cs="宋体" w:eastAsia="宋体" w:hint="default"/>
                <w:spacing w:val="-57"/>
                <w:sz w:val="18"/>
                <w:szCs w:val="18"/>
              </w:rPr>
              <w:t> </w:t>
            </w:r>
            <w:r>
              <w:rPr>
                <w:rFonts w:ascii="宋体" w:hAnsi="宋体" w:cs="宋体" w:eastAsia="宋体" w:hint="default"/>
                <w:spacing w:val="18"/>
                <w:sz w:val="18"/>
                <w:szCs w:val="18"/>
              </w:rPr>
              <w:t>及巨</w:t>
            </w:r>
            <w:r>
              <w:rPr>
                <w:rFonts w:ascii="宋体" w:hAnsi="宋体" w:cs="宋体" w:eastAsia="宋体" w:hint="default"/>
                <w:spacing w:val="-57"/>
                <w:sz w:val="18"/>
                <w:szCs w:val="18"/>
              </w:rPr>
              <w:t> </w:t>
            </w:r>
            <w:r>
              <w:rPr>
                <w:rFonts w:ascii="宋体" w:hAnsi="宋体" w:cs="宋体" w:eastAsia="宋体" w:hint="default"/>
                <w:spacing w:val="18"/>
                <w:sz w:val="18"/>
                <w:szCs w:val="18"/>
              </w:rPr>
              <w:t>潮资</w:t>
            </w:r>
            <w:r>
              <w:rPr>
                <w:rFonts w:ascii="宋体" w:hAnsi="宋体" w:cs="宋体" w:eastAsia="宋体" w:hint="default"/>
                <w:spacing w:val="-57"/>
                <w:sz w:val="18"/>
                <w:szCs w:val="18"/>
              </w:rPr>
              <w:t> </w:t>
            </w:r>
            <w:r>
              <w:rPr>
                <w:rFonts w:ascii="宋体" w:hAnsi="宋体" w:cs="宋体" w:eastAsia="宋体" w:hint="default"/>
                <w:sz w:val="18"/>
                <w:szCs w:val="18"/>
              </w:rPr>
              <w:t>讯</w:t>
            </w:r>
            <w:r>
              <w:rPr>
                <w:rFonts w:ascii="宋体" w:hAnsi="宋体" w:cs="宋体" w:eastAsia="宋体" w:hint="default"/>
                <w:spacing w:val="-57"/>
                <w:sz w:val="18"/>
                <w:szCs w:val="18"/>
              </w:rPr>
              <w:t> </w:t>
            </w:r>
            <w:r>
              <w:rPr>
                <w:rFonts w:ascii="宋体" w:hAnsi="宋体" w:cs="宋体" w:eastAsia="宋体" w:hint="default"/>
                <w:sz w:val="18"/>
                <w:szCs w:val="18"/>
              </w:rPr>
              <w:t>网</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pacing w:val="-7"/>
                <w:sz w:val="18"/>
                <w:szCs w:val="18"/>
              </w:rPr>
              <w:t>（</w:t>
            </w:r>
            <w:hyperlink r:id="rId11">
              <w:r>
                <w:rPr>
                  <w:rFonts w:ascii="Times New Roman" w:hAnsi="Times New Roman" w:cs="Times New Roman" w:eastAsia="Times New Roman" w:hint="default"/>
                  <w:spacing w:val="-7"/>
                  <w:sz w:val="18"/>
                  <w:szCs w:val="18"/>
                </w:rPr>
                <w:t>http://www.cninfo.com.cn</w:t>
              </w:r>
            </w:hyperlink>
            <w:r>
              <w:rPr>
                <w:rFonts w:ascii="宋体" w:hAnsi="宋体" w:cs="宋体" w:eastAsia="宋体" w:hint="default"/>
                <w:spacing w:val="-7"/>
                <w:sz w:val="18"/>
                <w:szCs w:val="18"/>
              </w:rPr>
              <w:t>）上的</w:t>
            </w:r>
            <w:r>
              <w:rPr>
                <w:rFonts w:ascii="宋体" w:hAnsi="宋体" w:cs="宋体" w:eastAsia="宋体" w:hint="default"/>
                <w:sz w:val="18"/>
                <w:szCs w:val="18"/>
              </w:rPr>
            </w:r>
          </w:p>
          <w:p>
            <w:pPr>
              <w:pStyle w:val="TableParagraph"/>
              <w:spacing w:line="309" w:lineRule="auto" w:before="62"/>
              <w:ind w:left="103" w:right="94"/>
              <w:jc w:val="both"/>
              <w:rPr>
                <w:rFonts w:ascii="宋体" w:hAnsi="宋体" w:cs="宋体" w:eastAsia="宋体" w:hint="default"/>
                <w:sz w:val="18"/>
                <w:szCs w:val="18"/>
              </w:rPr>
            </w:pPr>
            <w:r>
              <w:rPr>
                <w:rFonts w:ascii="宋体" w:hAnsi="宋体" w:cs="宋体" w:eastAsia="宋体" w:hint="default"/>
                <w:sz w:val="18"/>
                <w:szCs w:val="18"/>
              </w:rPr>
              <w:t>《关于收购深圳市创自技术有限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公司 </w:t>
            </w:r>
            <w:r>
              <w:rPr>
                <w:rFonts w:ascii="Times New Roman" w:hAnsi="Times New Roman" w:cs="Times New Roman" w:eastAsia="Times New Roman" w:hint="default"/>
                <w:spacing w:val="-4"/>
                <w:sz w:val="18"/>
                <w:szCs w:val="18"/>
              </w:rPr>
              <w:t>70%</w:t>
            </w:r>
            <w:r>
              <w:rPr>
                <w:rFonts w:ascii="宋体" w:hAnsi="宋体" w:cs="宋体" w:eastAsia="宋体" w:hint="default"/>
                <w:spacing w:val="-4"/>
                <w:sz w:val="18"/>
                <w:szCs w:val="18"/>
              </w:rPr>
              <w:t>股权的公告》（公告编</w:t>
            </w:r>
            <w:r>
              <w:rPr>
                <w:rFonts w:ascii="宋体" w:hAnsi="宋体" w:cs="宋体" w:eastAsia="宋体" w:hint="default"/>
                <w:sz w:val="18"/>
                <w:szCs w:val="18"/>
              </w:rPr>
              <w:t> 号：临 </w:t>
            </w:r>
            <w:r>
              <w:rPr>
                <w:rFonts w:ascii="Times New Roman" w:hAnsi="Times New Roman" w:cs="Times New Roman" w:eastAsia="Times New Roman" w:hint="default"/>
                <w:sz w:val="18"/>
                <w:szCs w:val="18"/>
              </w:rPr>
              <w:t>2015-052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both"/>
              <w:rPr>
                <w:rFonts w:ascii="宋体" w:hAnsi="宋体" w:cs="宋体" w:eastAsia="宋体" w:hint="default"/>
                <w:sz w:val="18"/>
                <w:szCs w:val="18"/>
              </w:rPr>
            </w:pPr>
            <w:r>
              <w:rPr>
                <w:rFonts w:ascii="宋体" w:hAnsi="宋体" w:cs="宋体" w:eastAsia="宋体" w:hint="default"/>
                <w:sz w:val="18"/>
                <w:szCs w:val="18"/>
              </w:rPr>
              <w:t>收购海 南警锐 </w:t>
            </w:r>
            <w:r>
              <w:rPr>
                <w:rFonts w:ascii="Times New Roman" w:hAnsi="Times New Roman" w:cs="Times New Roman" w:eastAsia="Times New Roman" w:hint="default"/>
                <w:sz w:val="18"/>
                <w:szCs w:val="18"/>
              </w:rPr>
              <w:t>51%</w:t>
            </w:r>
            <w:r>
              <w:rPr>
                <w:rFonts w:ascii="宋体" w:hAnsi="宋体" w:cs="宋体" w:eastAsia="宋体" w:hint="default"/>
                <w:sz w:val="18"/>
                <w:szCs w:val="18"/>
              </w:rPr>
              <w:t>的</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8"/>
              <w:ind w:left="105"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财务报告 审计尚未 完成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pacing w:val="24"/>
                <w:sz w:val="18"/>
                <w:szCs w:val="18"/>
              </w:rPr>
              <w:t>《证券</w:t>
            </w:r>
            <w:r>
              <w:rPr>
                <w:rFonts w:ascii="宋体" w:hAnsi="宋体" w:cs="宋体" w:eastAsia="宋体" w:hint="default"/>
                <w:spacing w:val="-57"/>
                <w:sz w:val="18"/>
                <w:szCs w:val="18"/>
              </w:rPr>
              <w:t> </w:t>
            </w:r>
            <w:r>
              <w:rPr>
                <w:rFonts w:ascii="宋体" w:hAnsi="宋体" w:cs="宋体" w:eastAsia="宋体" w:hint="default"/>
                <w:spacing w:val="24"/>
                <w:sz w:val="18"/>
                <w:szCs w:val="18"/>
              </w:rPr>
              <w:t>时报》</w:t>
            </w:r>
            <w:r>
              <w:rPr>
                <w:rFonts w:ascii="宋体" w:hAnsi="宋体" w:cs="宋体" w:eastAsia="宋体" w:hint="default"/>
                <w:spacing w:val="-57"/>
                <w:sz w:val="18"/>
                <w:szCs w:val="18"/>
              </w:rPr>
              <w:t> </w:t>
            </w:r>
            <w:r>
              <w:rPr>
                <w:rFonts w:ascii="宋体" w:hAnsi="宋体" w:cs="宋体" w:eastAsia="宋体" w:hint="default"/>
                <w:spacing w:val="18"/>
                <w:sz w:val="18"/>
                <w:szCs w:val="18"/>
              </w:rPr>
              <w:t>及巨</w:t>
            </w:r>
            <w:r>
              <w:rPr>
                <w:rFonts w:ascii="宋体" w:hAnsi="宋体" w:cs="宋体" w:eastAsia="宋体" w:hint="default"/>
                <w:spacing w:val="-57"/>
                <w:sz w:val="18"/>
                <w:szCs w:val="18"/>
              </w:rPr>
              <w:t> </w:t>
            </w:r>
            <w:r>
              <w:rPr>
                <w:rFonts w:ascii="宋体" w:hAnsi="宋体" w:cs="宋体" w:eastAsia="宋体" w:hint="default"/>
                <w:spacing w:val="18"/>
                <w:sz w:val="18"/>
                <w:szCs w:val="18"/>
              </w:rPr>
              <w:t>潮资</w:t>
            </w:r>
            <w:r>
              <w:rPr>
                <w:rFonts w:ascii="宋体" w:hAnsi="宋体" w:cs="宋体" w:eastAsia="宋体" w:hint="default"/>
                <w:spacing w:val="-57"/>
                <w:sz w:val="18"/>
                <w:szCs w:val="18"/>
              </w:rPr>
              <w:t> </w:t>
            </w:r>
            <w:r>
              <w:rPr>
                <w:rFonts w:ascii="宋体" w:hAnsi="宋体" w:cs="宋体" w:eastAsia="宋体" w:hint="default"/>
                <w:sz w:val="18"/>
                <w:szCs w:val="18"/>
              </w:rPr>
              <w:t>讯</w:t>
            </w:r>
            <w:r>
              <w:rPr>
                <w:rFonts w:ascii="宋体" w:hAnsi="宋体" w:cs="宋体" w:eastAsia="宋体" w:hint="default"/>
                <w:spacing w:val="-57"/>
                <w:sz w:val="18"/>
                <w:szCs w:val="18"/>
              </w:rPr>
              <w:t> </w:t>
            </w:r>
            <w:r>
              <w:rPr>
                <w:rFonts w:ascii="宋体" w:hAnsi="宋体" w:cs="宋体" w:eastAsia="宋体" w:hint="default"/>
                <w:sz w:val="18"/>
                <w:szCs w:val="18"/>
              </w:rPr>
              <w:t>网</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pacing w:val="-7"/>
                <w:sz w:val="18"/>
                <w:szCs w:val="18"/>
              </w:rPr>
              <w:t>（</w:t>
            </w:r>
            <w:hyperlink r:id="rId11">
              <w:r>
                <w:rPr>
                  <w:rFonts w:ascii="Times New Roman" w:hAnsi="Times New Roman" w:cs="Times New Roman" w:eastAsia="Times New Roman" w:hint="default"/>
                  <w:spacing w:val="-7"/>
                  <w:sz w:val="18"/>
                  <w:szCs w:val="18"/>
                </w:rPr>
                <w:t>http://www.cninfo.com.cn</w:t>
              </w:r>
            </w:hyperlink>
            <w:r>
              <w:rPr>
                <w:rFonts w:ascii="宋体" w:hAnsi="宋体" w:cs="宋体" w:eastAsia="宋体" w:hint="default"/>
                <w:spacing w:val="-7"/>
                <w:sz w:val="18"/>
                <w:szCs w:val="18"/>
              </w:rPr>
              <w:t>）上的</w:t>
            </w:r>
            <w:r>
              <w:rPr>
                <w:rFonts w:ascii="宋体" w:hAnsi="宋体" w:cs="宋体" w:eastAsia="宋体" w:hint="default"/>
                <w:sz w:val="18"/>
                <w:szCs w:val="18"/>
              </w:rPr>
            </w:r>
          </w:p>
          <w:p>
            <w:pPr>
              <w:pStyle w:val="TableParagraph"/>
              <w:spacing w:line="316" w:lineRule="auto" w:before="62"/>
              <w:ind w:left="103" w:right="94"/>
              <w:jc w:val="both"/>
              <w:rPr>
                <w:rFonts w:ascii="宋体" w:hAnsi="宋体" w:cs="宋体" w:eastAsia="宋体" w:hint="default"/>
                <w:sz w:val="18"/>
                <w:szCs w:val="18"/>
              </w:rPr>
            </w:pPr>
            <w:r>
              <w:rPr>
                <w:rFonts w:ascii="宋体" w:hAnsi="宋体" w:cs="宋体" w:eastAsia="宋体" w:hint="default"/>
                <w:sz w:val="18"/>
                <w:szCs w:val="18"/>
              </w:rPr>
              <w:t>《关于在全国范围内投资武装押</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1"/>
                <w:sz w:val="18"/>
                <w:szCs w:val="18"/>
              </w:rPr>
              <w:t>运公司事项的进展公告》（公告编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2015-071</w:t>
            </w:r>
            <w:r>
              <w:rPr>
                <w:rFonts w:ascii="宋体" w:hAnsi="宋体" w:cs="宋体" w:eastAsia="宋体" w:hint="default"/>
                <w:sz w:val="18"/>
                <w:szCs w:val="18"/>
              </w:rPr>
              <w:t>）</w:t>
            </w:r>
          </w:p>
        </w:tc>
      </w:tr>
    </w:tbl>
    <w:p>
      <w:pPr>
        <w:pStyle w:val="BodyText"/>
        <w:spacing w:line="240" w:lineRule="auto" w:before="49"/>
        <w:ind w:left="212" w:right="101"/>
        <w:jc w:val="left"/>
      </w:pPr>
      <w:r>
        <w:rPr/>
        <w:t>公司股东、交易对手方在报告年度经营业绩做出的承诺情况</w:t>
      </w:r>
    </w:p>
    <w:p>
      <w:pPr>
        <w:pStyle w:val="BodyText"/>
        <w:spacing w:line="340" w:lineRule="auto" w:before="115"/>
        <w:ind w:left="212" w:right="68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详见“第五节三、</w:t>
      </w:r>
      <w:r>
        <w:rPr>
          <w:rFonts w:ascii="宋体" w:hAnsi="宋体" w:cs="宋体" w:eastAsia="宋体" w:hint="default"/>
        </w:rPr>
        <w:t>1</w:t>
      </w:r>
      <w:r>
        <w:rPr/>
        <w:t>”中的相关承诺。</w:t>
      </w:r>
    </w:p>
    <w:p>
      <w:pPr>
        <w:spacing w:line="240" w:lineRule="auto" w:before="6"/>
        <w:rPr>
          <w:rFonts w:ascii="宋体" w:hAnsi="宋体" w:cs="宋体" w:eastAsia="宋体" w:hint="default"/>
          <w:sz w:val="19"/>
          <w:szCs w:val="19"/>
        </w:rPr>
      </w:pPr>
    </w:p>
    <w:p>
      <w:pPr>
        <w:pStyle w:val="Heading2"/>
        <w:spacing w:line="240" w:lineRule="auto"/>
        <w:ind w:left="212" w:right="101"/>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212"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left="212" w:right="10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2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年度报告披露后面临暂停上市和终止上市情况" w:id="68"/>
      <w:bookmarkEnd w:id="68"/>
      <w:r>
        <w:rPr>
          <w:b w:val="0"/>
          <w:bCs w:val="0"/>
        </w:rPr>
      </w:r>
      <w:bookmarkStart w:name="十一、破产重整相关事项" w:id="69"/>
      <w:bookmarkEnd w:id="69"/>
      <w:r>
        <w:rPr>
          <w:b w:val="0"/>
          <w:bCs w:val="0"/>
        </w:rPr>
      </w:r>
      <w:r>
        <w:rPr/>
        <w:t>六</w:t>
      </w:r>
      <w:bookmarkStart w:name="六、与上年度财务报告相比，会计政策、会计估计和核算方法发生变化的情况说明" w:id="70"/>
      <w:bookmarkEnd w:id="70"/>
      <w:r>
        <w:rPr/>
        <w:t>、</w:t>
      </w:r>
      <w:r>
        <w:rPr/>
        <w:t>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公司报告期无会计政策、会计估计和核算方法发生变化的情况。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七、报告期内</w:t>
      </w:r>
      <w:bookmarkStart w:name="七、报告期内发生重大会计差错更正需追溯重述的情况说明" w:id="71"/>
      <w:bookmarkEnd w:id="71"/>
      <w:r>
        <w:rPr/>
        <w:t>发</w:t>
      </w:r>
      <w:r>
        <w:rPr/>
        <w:t>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w:t>
      </w:r>
      <w:bookmarkStart w:name="八、与上年度财务报告相比，合并报表范围发生变化的情况说明" w:id="72"/>
      <w:bookmarkEnd w:id="72"/>
      <w:r>
        <w:rPr/>
        <w:t>合并</w:t>
      </w:r>
      <w:r>
        <w:rPr/>
        <w:t>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2" w:right="0"/>
        <w:jc w:val="left"/>
      </w:pPr>
      <w:r>
        <w:rPr/>
        <w:t>与上年度相比本年度新增合并单位</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家，原因为：本期并购</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家子公司</w:t>
      </w:r>
      <w:r>
        <w:rPr>
          <w:rFonts w:ascii="Times New Roman" w:hAnsi="Times New Roman" w:cs="Times New Roman" w:eastAsia="Times New Roman" w:hint="default"/>
        </w:rPr>
        <w:t>-</w:t>
      </w:r>
      <w:r>
        <w:rPr/>
        <w:t>创自技术，新设立</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家孙公司广东榕通，并购</w:t>
      </w:r>
    </w:p>
    <w:p>
      <w:pPr>
        <w:pStyle w:val="BodyText"/>
        <w:spacing w:line="300" w:lineRule="auto" w:before="62"/>
        <w:ind w:right="22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家子公司的子、孙公司</w:t>
      </w:r>
      <w:r>
        <w:rPr>
          <w:rFonts w:ascii="Times New Roman" w:hAnsi="Times New Roman" w:cs="Times New Roman" w:eastAsia="Times New Roman" w:hint="default"/>
        </w:rPr>
        <w:t>-</w:t>
      </w:r>
      <w:r>
        <w:rPr/>
        <w:t>深圳市创自软件有限公司、商洛金盾、邵阳保安、武威神威、兴安盟威信、巴彦淖尔天力。详细 </w:t>
      </w:r>
      <w:r>
        <w:rPr>
          <w:spacing w:val="-3"/>
        </w:rPr>
        <w:t>情况见第十节财务报告附注“八、合并范围的变更”和“九、在其他主体中的权益”。</w:t>
      </w:r>
    </w:p>
    <w:p>
      <w:pPr>
        <w:pStyle w:val="BodyText"/>
        <w:spacing w:line="240" w:lineRule="auto" w:before="70"/>
        <w:ind w:left="512" w:right="0"/>
        <w:jc w:val="left"/>
      </w:pPr>
      <w:r>
        <w:rPr/>
        <w:t>以上公司详细情况见“第四节七、主要控股参股公司分析”。</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8"/>
        <w:gridCol w:w="5440"/>
      </w:tblGrid>
      <w:tr>
        <w:trPr>
          <w:trHeight w:val="403" w:hRule="exact"/>
        </w:trPr>
        <w:tc>
          <w:tcPr>
            <w:tcW w:w="4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44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bookmarkStart w:name="九、聘任、解聘会计师事务所情况" w:id="73"/>
            <w:bookmarkEnd w:id="73"/>
            <w:r>
              <w:rPr/>
            </w:r>
            <w:r>
              <w:rPr>
                <w:rFonts w:ascii="宋体" w:hAnsi="宋体" w:cs="宋体" w:eastAsia="宋体" w:hint="default"/>
                <w:sz w:val="18"/>
                <w:szCs w:val="18"/>
              </w:rPr>
              <w:t>立信会计师事务所（特殊普通合伙）</w:t>
            </w:r>
          </w:p>
        </w:tc>
      </w:tr>
      <w:tr>
        <w:trPr>
          <w:trHeight w:val="402" w:hRule="exact"/>
        </w:trPr>
        <w:tc>
          <w:tcPr>
            <w:tcW w:w="4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44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44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4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44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吴震、蔡洁瑜</w:t>
            </w:r>
          </w:p>
        </w:tc>
      </w:tr>
    </w:tbl>
    <w:p>
      <w:pPr>
        <w:pStyle w:val="BodyText"/>
        <w:spacing w:line="240" w:lineRule="auto" w:before="49"/>
        <w:ind w:right="0"/>
        <w:jc w:val="left"/>
      </w:pP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94" w:firstLine="360"/>
        <w:jc w:val="left"/>
      </w:pPr>
      <w:r>
        <w:rPr/>
        <w:t>本年度，公司因非公开发行</w:t>
      </w:r>
      <w:r>
        <w:rPr>
          <w:spacing w:val="-45"/>
        </w:rPr>
        <w:t> </w:t>
      </w:r>
      <w:r>
        <w:rPr>
          <w:rFonts w:ascii="Times New Roman" w:hAnsi="Times New Roman" w:cs="Times New Roman" w:eastAsia="Times New Roman" w:hint="default"/>
        </w:rPr>
        <w:t>A </w:t>
      </w:r>
      <w:r>
        <w:rPr/>
        <w:t>股股票事项，聘请华泰联合证券有限责任公司为保荐机构，保荐承销协议约定应支付保 荐承销费</w:t>
      </w:r>
      <w:r>
        <w:rPr>
          <w:spacing w:val="-47"/>
        </w:rPr>
        <w:t> </w:t>
      </w:r>
      <w:r>
        <w:rPr>
          <w:rFonts w:ascii="Times New Roman" w:hAnsi="Times New Roman" w:cs="Times New Roman" w:eastAsia="Times New Roman" w:hint="default"/>
        </w:rPr>
        <w:t>2,100</w:t>
      </w:r>
      <w:r>
        <w:rPr>
          <w:rFonts w:ascii="Times New Roman" w:hAnsi="Times New Roman" w:cs="Times New Roman" w:eastAsia="Times New Roman" w:hint="default"/>
          <w:spacing w:val="-1"/>
        </w:rPr>
        <w:t> </w:t>
      </w:r>
      <w:r>
        <w:rPr/>
        <w:t>万元，报告期已支付</w:t>
      </w:r>
      <w:r>
        <w:rPr>
          <w:spacing w:val="-47"/>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after="0" w:line="3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94"/>
        <w:jc w:val="left"/>
        <w:rPr>
          <w:b w:val="0"/>
          <w:bCs w:val="0"/>
        </w:rPr>
      </w:pPr>
      <w:r>
        <w:rPr/>
        <w:t>十</w:t>
      </w:r>
      <w:bookmarkStart w:name="十二、重大诉讼、仲裁事项" w:id="74"/>
      <w:bookmarkEnd w:id="74"/>
      <w:r>
        <w:rPr/>
        <w:t>二</w:t>
      </w:r>
      <w:r>
        <w:rPr/>
        <w:t>、重大诉讼、仲裁事项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十三、处罚及</w:t>
      </w:r>
      <w:bookmarkStart w:name="十三、处罚及整改情况" w:id="75"/>
      <w:bookmarkEnd w:id="75"/>
      <w:r>
        <w:rPr/>
        <w:t>整</w:t>
      </w:r>
      <w:r>
        <w:rPr/>
        <w:t>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94"/>
        <w:jc w:val="left"/>
        <w:rPr>
          <w:b w:val="0"/>
          <w:bCs w:val="0"/>
        </w:rPr>
      </w:pPr>
      <w:r>
        <w:rPr/>
        <w:t>十四、公司及其控股股东、实</w:t>
      </w:r>
      <w:bookmarkStart w:name="十四、公司及其控股股东、实际控制人的诚信状况" w:id="76"/>
      <w:bookmarkEnd w:id="76"/>
      <w:r>
        <w:rPr/>
        <w:t>际控</w:t>
      </w:r>
      <w:r>
        <w:rPr/>
        <w:t>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十五、公司股权激励计划、员工持股计划</w:t>
      </w:r>
      <w:bookmarkStart w:name="十五、公司股权激励计划、员工持股计划或其他员工激励措施的实施情况" w:id="77"/>
      <w:bookmarkEnd w:id="77"/>
      <w:r>
        <w:rPr/>
        <w:t>或其</w:t>
      </w:r>
      <w:r>
        <w:rPr/>
        <w:t>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515" w:right="94"/>
        <w:jc w:val="left"/>
      </w:pPr>
      <w:r>
        <w:rPr>
          <w:rFonts w:ascii="宋体" w:hAnsi="宋体" w:cs="宋体" w:eastAsia="宋体" w:hint="default"/>
        </w:rPr>
        <w:t>2015</w:t>
      </w:r>
      <w:r>
        <w:rPr>
          <w:rFonts w:ascii="宋体" w:hAnsi="宋体" w:cs="宋体" w:eastAsia="宋体" w:hint="default"/>
          <w:spacing w:val="-44"/>
        </w:rPr>
        <w:t> </w:t>
      </w:r>
      <w:r>
        <w:rPr/>
        <w:t>年</w:t>
      </w:r>
      <w:r>
        <w:rPr>
          <w:spacing w:val="-47"/>
        </w:rPr>
        <w:t> </w:t>
      </w:r>
      <w:r>
        <w:rPr>
          <w:rFonts w:ascii="宋体" w:hAnsi="宋体" w:cs="宋体" w:eastAsia="宋体" w:hint="default"/>
        </w:rPr>
        <w:t>3</w:t>
      </w:r>
      <w:r>
        <w:rPr>
          <w:rFonts w:ascii="宋体" w:hAnsi="宋体" w:cs="宋体" w:eastAsia="宋体" w:hint="default"/>
          <w:spacing w:val="-44"/>
        </w:rPr>
        <w:t> </w:t>
      </w:r>
      <w:r>
        <w:rPr/>
        <w:t>月</w:t>
      </w:r>
      <w:r>
        <w:rPr>
          <w:spacing w:val="-47"/>
        </w:rPr>
        <w:t> </w:t>
      </w:r>
      <w:r>
        <w:rPr>
          <w:rFonts w:ascii="宋体" w:hAnsi="宋体" w:cs="宋体" w:eastAsia="宋体" w:hint="default"/>
        </w:rPr>
        <w:t>10</w:t>
      </w:r>
      <w:r>
        <w:rPr>
          <w:rFonts w:ascii="宋体" w:hAnsi="宋体" w:cs="宋体" w:eastAsia="宋体" w:hint="default"/>
          <w:spacing w:val="-44"/>
        </w:rPr>
        <w:t> </w:t>
      </w:r>
      <w:r>
        <w:rPr/>
        <w:t>日和</w:t>
      </w:r>
      <w:r>
        <w:rPr>
          <w:spacing w:val="-45"/>
        </w:rPr>
        <w:t> </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t>月</w:t>
      </w:r>
      <w:r>
        <w:rPr>
          <w:spacing w:val="-47"/>
        </w:rPr>
        <w:t> </w:t>
      </w:r>
      <w:r>
        <w:rPr>
          <w:rFonts w:ascii="宋体" w:hAnsi="宋体" w:cs="宋体" w:eastAsia="宋体" w:hint="default"/>
        </w:rPr>
        <w:t>16</w:t>
      </w:r>
      <w:r>
        <w:rPr>
          <w:rFonts w:ascii="宋体" w:hAnsi="宋体" w:cs="宋体" w:eastAsia="宋体" w:hint="default"/>
          <w:spacing w:val="-44"/>
        </w:rPr>
        <w:t> </w:t>
      </w:r>
      <w:r>
        <w:rPr/>
        <w:t>日公司召开第四届董事会第二次会议及</w:t>
      </w:r>
      <w:r>
        <w:rPr>
          <w:spacing w:val="-45"/>
        </w:rPr>
        <w:t> </w:t>
      </w:r>
      <w:r>
        <w:rPr>
          <w:rFonts w:ascii="宋体" w:hAnsi="宋体" w:cs="宋体" w:eastAsia="宋体" w:hint="default"/>
        </w:rPr>
        <w:t>2014</w:t>
      </w:r>
      <w:r>
        <w:rPr>
          <w:rFonts w:ascii="宋体" w:hAnsi="宋体" w:cs="宋体" w:eastAsia="宋体" w:hint="default"/>
          <w:spacing w:val="-44"/>
        </w:rPr>
        <w:t> </w:t>
      </w:r>
      <w:r>
        <w:rPr>
          <w:spacing w:val="-3"/>
        </w:rPr>
        <w:t>年度股东大会相继审议通过《关于</w:t>
      </w:r>
      <w:r>
        <w:rPr>
          <w:rFonts w:ascii="宋体" w:hAnsi="宋体" w:cs="宋体" w:eastAsia="宋体" w:hint="default"/>
          <w:spacing w:val="-3"/>
        </w:rPr>
        <w:t>&lt;</w:t>
      </w:r>
      <w:r>
        <w:rPr>
          <w:spacing w:val="-3"/>
        </w:rPr>
        <w:t>广</w:t>
      </w:r>
    </w:p>
    <w:p>
      <w:pPr>
        <w:pStyle w:val="BodyText"/>
        <w:spacing w:line="316" w:lineRule="auto" w:before="76"/>
        <w:ind w:right="94"/>
        <w:jc w:val="left"/>
        <w:rPr>
          <w:rFonts w:ascii="宋体" w:hAnsi="宋体" w:cs="宋体" w:eastAsia="宋体" w:hint="default"/>
        </w:rPr>
      </w:pPr>
      <w:r>
        <w:rPr/>
        <w:t>州广电运通金融电子股份有限公司第一期员工持股计划（草案）（认购非公开发行股票方式）</w:t>
      </w:r>
      <w:r>
        <w:rPr>
          <w:rFonts w:ascii="宋体" w:hAnsi="宋体" w:cs="宋体" w:eastAsia="宋体" w:hint="default"/>
        </w:rPr>
        <w:t>&gt;</w:t>
      </w:r>
      <w:r>
        <w:rPr/>
        <w:t>的议案》；</w:t>
      </w: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7</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2"/>
        </w:rPr>
        <w:t> </w:t>
      </w:r>
      <w:r>
        <w:rPr/>
        <w:t>日公司召开第四届董事会第十次会议审议通过了《关于公司与广州证券股份有限公司签订</w:t>
      </w:r>
      <w:r>
        <w:rPr>
          <w:rFonts w:ascii="宋体" w:hAnsi="宋体" w:cs="宋体" w:eastAsia="宋体" w:hint="default"/>
        </w:rPr>
        <w:t>&lt;</w:t>
      </w:r>
      <w:r>
        <w:rPr/>
        <w:t>附条件生效的非公开发行股份认 购合同之补充合同</w:t>
      </w:r>
      <w:r>
        <w:rPr>
          <w:rFonts w:ascii="宋体" w:hAnsi="宋体" w:cs="宋体" w:eastAsia="宋体" w:hint="default"/>
        </w:rPr>
        <w:t>&gt;</w:t>
      </w:r>
      <w:r>
        <w:rPr/>
        <w:t>的议案》；</w:t>
      </w: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10</w:t>
      </w:r>
      <w:r>
        <w:rPr>
          <w:rFonts w:ascii="宋体" w:hAnsi="宋体" w:cs="宋体" w:eastAsia="宋体" w:hint="default"/>
          <w:spacing w:val="-45"/>
        </w:rPr>
        <w:t> </w:t>
      </w:r>
      <w:r>
        <w:rPr/>
        <w:t>月</w:t>
      </w:r>
      <w:r>
        <w:rPr>
          <w:spacing w:val="-48"/>
        </w:rPr>
        <w:t> </w:t>
      </w:r>
      <w:r>
        <w:rPr>
          <w:rFonts w:ascii="宋体" w:hAnsi="宋体" w:cs="宋体" w:eastAsia="宋体" w:hint="default"/>
        </w:rPr>
        <w:t>8</w:t>
      </w:r>
      <w:r>
        <w:rPr>
          <w:rFonts w:ascii="宋体" w:hAnsi="宋体" w:cs="宋体" w:eastAsia="宋体" w:hint="default"/>
          <w:spacing w:val="-45"/>
        </w:rPr>
        <w:t> </w:t>
      </w:r>
      <w:r>
        <w:rPr/>
        <w:t>日和</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8"/>
        </w:rPr>
        <w:t> </w:t>
      </w:r>
      <w:r>
        <w:rPr>
          <w:rFonts w:ascii="宋体" w:hAnsi="宋体" w:cs="宋体" w:eastAsia="宋体" w:hint="default"/>
        </w:rPr>
        <w:t>10</w:t>
      </w:r>
      <w:r>
        <w:rPr>
          <w:rFonts w:ascii="宋体" w:hAnsi="宋体" w:cs="宋体" w:eastAsia="宋体" w:hint="default"/>
          <w:spacing w:val="-45"/>
        </w:rPr>
        <w:t> </w:t>
      </w:r>
      <w:r>
        <w:rPr/>
        <w:t>月</w:t>
      </w:r>
      <w:r>
        <w:rPr>
          <w:spacing w:val="-46"/>
        </w:rPr>
        <w:t> </w:t>
      </w:r>
      <w:r>
        <w:rPr>
          <w:rFonts w:ascii="宋体" w:hAnsi="宋体" w:cs="宋体" w:eastAsia="宋体" w:hint="default"/>
        </w:rPr>
        <w:t>26</w:t>
      </w:r>
      <w:r>
        <w:rPr>
          <w:rFonts w:ascii="宋体" w:hAnsi="宋体" w:cs="宋体" w:eastAsia="宋体" w:hint="default"/>
          <w:spacing w:val="-45"/>
        </w:rPr>
        <w:t> </w:t>
      </w:r>
      <w:r>
        <w:rPr/>
        <w:t>日公司召开第四届董事会第十二次会议及</w:t>
      </w:r>
      <w:r>
        <w:rPr>
          <w:spacing w:val="-46"/>
        </w:rPr>
        <w:t> </w:t>
      </w:r>
      <w:r>
        <w:rPr>
          <w:rFonts w:ascii="宋体" w:hAnsi="宋体" w:cs="宋体" w:eastAsia="宋体" w:hint="default"/>
        </w:rPr>
        <w:t>2015</w:t>
      </w:r>
      <w:r>
        <w:rPr>
          <w:rFonts w:ascii="宋体" w:hAnsi="宋体" w:cs="宋体" w:eastAsia="宋体" w:hint="default"/>
          <w:spacing w:val="-45"/>
        </w:rPr>
        <w:t> </w:t>
      </w:r>
      <w:r>
        <w:rPr/>
        <w:t>年第三 </w:t>
      </w:r>
      <w:r>
        <w:rPr>
          <w:spacing w:val="-2"/>
        </w:rPr>
        <w:t>次临时股东大会相继审议通过《关于修订公司第一期员工持股计划（草案）（认购非公开发行股票方式）的议案》；公司本</w:t>
      </w:r>
      <w:r>
        <w:rPr>
          <w:spacing w:val="-71"/>
        </w:rPr>
        <w:t> </w:t>
      </w:r>
      <w:r>
        <w:rPr>
          <w:spacing w:val="-71"/>
        </w:rPr>
      </w:r>
      <w:r>
        <w:rPr/>
        <w:t>次非公开发行股票的发行对象之一为鲲鹏运通</w:t>
      </w:r>
      <w:r>
        <w:rPr>
          <w:spacing w:val="-42"/>
        </w:rPr>
        <w:t> </w:t>
      </w:r>
      <w:r>
        <w:rPr>
          <w:rFonts w:ascii="宋体" w:hAnsi="宋体" w:cs="宋体" w:eastAsia="宋体" w:hint="default"/>
        </w:rPr>
        <w:t>1</w:t>
      </w:r>
      <w:r>
        <w:rPr>
          <w:rFonts w:ascii="宋体" w:hAnsi="宋体" w:cs="宋体" w:eastAsia="宋体" w:hint="default"/>
          <w:spacing w:val="-41"/>
        </w:rPr>
        <w:t> </w:t>
      </w:r>
      <w:r>
        <w:rPr>
          <w:spacing w:val="-3"/>
        </w:rPr>
        <w:t>号定向资产管理计划（以下简称“运通资管计划”），由广州证券股份有限</w:t>
      </w:r>
      <w:r>
        <w:rPr>
          <w:spacing w:val="-84"/>
        </w:rPr>
        <w:t> </w:t>
      </w:r>
      <w:r>
        <w:rPr>
          <w:spacing w:val="-84"/>
        </w:rPr>
      </w:r>
      <w:r>
        <w:rPr/>
        <w:t>公司为管理人，运通资管计划的认购对象为广电运通第一期员工持股计划，由包括公司董事、监事、高级管理人员叶子瑜、 </w:t>
      </w:r>
      <w:r>
        <w:rPr>
          <w:spacing w:val="-9"/>
        </w:rPr>
        <w:t>罗攀峰、陈振光、束萌、陈建良、李叶东、魏东、蒋春晨、解永生、任斌、冯丰穗共</w:t>
      </w:r>
      <w:r>
        <w:rPr>
          <w:spacing w:val="-41"/>
        </w:rPr>
        <w:t> </w:t>
      </w:r>
      <w:r>
        <w:rPr>
          <w:rFonts w:ascii="宋体" w:hAnsi="宋体" w:cs="宋体" w:eastAsia="宋体" w:hint="default"/>
        </w:rPr>
        <w:t>11</w:t>
      </w:r>
      <w:r>
        <w:rPr>
          <w:rFonts w:ascii="宋体" w:hAnsi="宋体" w:cs="宋体" w:eastAsia="宋体" w:hint="default"/>
          <w:spacing w:val="-41"/>
        </w:rPr>
        <w:t> </w:t>
      </w:r>
      <w:r>
        <w:rPr/>
        <w:t>人及其他核心骨干员工出资</w:t>
      </w:r>
      <w:r>
        <w:rPr>
          <w:spacing w:val="-42"/>
        </w:rPr>
        <w:t> </w:t>
      </w:r>
      <w:r>
        <w:rPr>
          <w:rFonts w:ascii="宋体" w:hAnsi="宋体" w:cs="宋体" w:eastAsia="宋体" w:hint="default"/>
        </w:rPr>
        <w:t>74,697.48</w:t>
      </w:r>
    </w:p>
    <w:p>
      <w:pPr>
        <w:pStyle w:val="BodyText"/>
        <w:spacing w:line="240" w:lineRule="auto" w:before="18"/>
        <w:ind w:right="94"/>
        <w:jc w:val="left"/>
      </w:pPr>
      <w:r>
        <w:rPr/>
        <w:t>万元认购非公开发行股票</w:t>
      </w:r>
      <w:r>
        <w:rPr>
          <w:spacing w:val="-48"/>
        </w:rPr>
        <w:t> </w:t>
      </w:r>
      <w:r>
        <w:rPr>
          <w:rFonts w:ascii="宋体" w:hAnsi="宋体" w:cs="宋体" w:eastAsia="宋体" w:hint="default"/>
        </w:rPr>
        <w:t>43,530,000</w:t>
      </w:r>
      <w:r>
        <w:rPr>
          <w:rFonts w:ascii="宋体" w:hAnsi="宋体" w:cs="宋体" w:eastAsia="宋体" w:hint="default"/>
          <w:spacing w:val="-47"/>
        </w:rPr>
        <w:t> </w:t>
      </w:r>
      <w:r>
        <w:rPr/>
        <w:t>股。其中公司董事、监事和高级管理人员叶子瑜、罗攀峰、陈振光、束萌、陈建良、</w:t>
      </w:r>
    </w:p>
    <w:p>
      <w:pPr>
        <w:pStyle w:val="BodyText"/>
        <w:spacing w:line="240" w:lineRule="auto" w:before="76"/>
        <w:ind w:right="94"/>
        <w:jc w:val="left"/>
        <w:rPr>
          <w:rFonts w:ascii="宋体" w:hAnsi="宋体" w:cs="宋体" w:eastAsia="宋体" w:hint="default"/>
        </w:rPr>
      </w:pPr>
      <w:r>
        <w:rPr/>
        <w:t>李叶东、魏东、蒋春晨、解永生、任斌、冯丰穗</w:t>
      </w:r>
      <w:r>
        <w:rPr>
          <w:spacing w:val="-48"/>
        </w:rPr>
        <w:t> </w:t>
      </w:r>
      <w:r>
        <w:rPr>
          <w:rFonts w:ascii="宋体" w:hAnsi="宋体" w:cs="宋体" w:eastAsia="宋体" w:hint="default"/>
        </w:rPr>
        <w:t>11</w:t>
      </w:r>
      <w:r>
        <w:rPr>
          <w:rFonts w:ascii="宋体" w:hAnsi="宋体" w:cs="宋体" w:eastAsia="宋体" w:hint="default"/>
          <w:spacing w:val="-47"/>
        </w:rPr>
        <w:t> </w:t>
      </w:r>
      <w:r>
        <w:rPr/>
        <w:t>人合计出资</w:t>
      </w:r>
      <w:r>
        <w:rPr>
          <w:spacing w:val="-48"/>
        </w:rPr>
        <w:t> </w:t>
      </w:r>
      <w:r>
        <w:rPr>
          <w:rFonts w:ascii="宋体" w:hAnsi="宋体" w:cs="宋体" w:eastAsia="宋体" w:hint="default"/>
        </w:rPr>
        <w:t>68,640,000</w:t>
      </w:r>
      <w:r>
        <w:rPr>
          <w:rFonts w:ascii="宋体" w:hAnsi="宋体" w:cs="宋体" w:eastAsia="宋体" w:hint="default"/>
          <w:spacing w:val="-47"/>
        </w:rPr>
        <w:t> </w:t>
      </w:r>
      <w:r>
        <w:rPr/>
        <w:t>元，对应认购非公开发行股票数量</w:t>
      </w:r>
      <w:r>
        <w:rPr>
          <w:spacing w:val="-48"/>
        </w:rPr>
        <w:t> </w:t>
      </w:r>
      <w:r>
        <w:rPr>
          <w:rFonts w:ascii="宋体" w:hAnsi="宋体" w:cs="宋体" w:eastAsia="宋体" w:hint="default"/>
        </w:rPr>
        <w:t>4,000,000</w:t>
      </w:r>
    </w:p>
    <w:p>
      <w:pPr>
        <w:pStyle w:val="BodyText"/>
        <w:spacing w:line="316" w:lineRule="auto" w:before="76"/>
        <w:ind w:right="94"/>
        <w:jc w:val="left"/>
      </w:pPr>
      <w:r>
        <w:rPr/>
        <w:t>股，占运通资管计划的</w:t>
      </w:r>
      <w:r>
        <w:rPr>
          <w:spacing w:val="-49"/>
        </w:rPr>
        <w:t> </w:t>
      </w:r>
      <w:r>
        <w:rPr>
          <w:rFonts w:ascii="宋体" w:hAnsi="宋体" w:cs="宋体" w:eastAsia="宋体" w:hint="default"/>
        </w:rPr>
        <w:t>9.19%</w:t>
      </w:r>
      <w:r>
        <w:rPr/>
        <w:t>；其他员工合计出资</w:t>
      </w:r>
      <w:r>
        <w:rPr>
          <w:spacing w:val="-49"/>
        </w:rPr>
        <w:t> </w:t>
      </w:r>
      <w:r>
        <w:rPr>
          <w:rFonts w:ascii="宋体" w:hAnsi="宋体" w:cs="宋体" w:eastAsia="宋体" w:hint="default"/>
        </w:rPr>
        <w:t>678,334,800</w:t>
      </w:r>
      <w:r>
        <w:rPr>
          <w:rFonts w:ascii="宋体" w:hAnsi="宋体" w:cs="宋体" w:eastAsia="宋体" w:hint="default"/>
          <w:spacing w:val="-48"/>
        </w:rPr>
        <w:t> </w:t>
      </w:r>
      <w:r>
        <w:rPr/>
        <w:t>元，对应认购非公开发行股票数量</w:t>
      </w:r>
      <w:r>
        <w:rPr>
          <w:spacing w:val="-49"/>
        </w:rPr>
        <w:t> </w:t>
      </w:r>
      <w:r>
        <w:rPr>
          <w:rFonts w:ascii="宋体" w:hAnsi="宋体" w:cs="宋体" w:eastAsia="宋体" w:hint="default"/>
        </w:rPr>
        <w:t>39,530,000</w:t>
      </w:r>
      <w:r>
        <w:rPr>
          <w:rFonts w:ascii="宋体" w:hAnsi="宋体" w:cs="宋体" w:eastAsia="宋体" w:hint="default"/>
          <w:spacing w:val="-48"/>
        </w:rPr>
        <w:t> </w:t>
      </w:r>
      <w:r>
        <w:rPr/>
        <w:t>股，占运通 资管计划的</w:t>
      </w:r>
      <w:r>
        <w:rPr>
          <w:spacing w:val="-45"/>
        </w:rPr>
        <w:t> </w:t>
      </w:r>
      <w:r>
        <w:rPr>
          <w:rFonts w:ascii="宋体" w:hAnsi="宋体" w:cs="宋体" w:eastAsia="宋体" w:hint="default"/>
        </w:rPr>
        <w:t>90.81%</w:t>
      </w:r>
      <w:r>
        <w:rPr/>
        <w:t>。</w:t>
      </w:r>
    </w:p>
    <w:p>
      <w:pPr>
        <w:pStyle w:val="BodyText"/>
        <w:spacing w:line="316" w:lineRule="auto" w:before="59"/>
        <w:ind w:right="193" w:firstLine="360"/>
        <w:jc w:val="both"/>
      </w:pPr>
      <w:r>
        <w:rPr>
          <w:rFonts w:ascii="宋体" w:hAnsi="宋体" w:cs="宋体" w:eastAsia="宋体" w:hint="default"/>
        </w:rPr>
        <w:t>2015</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6"/>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t>日公司收到中国证券监督管理委员会</w:t>
      </w:r>
      <w:r>
        <w:rPr>
          <w:spacing w:val="-37"/>
        </w:rPr>
        <w:t> </w:t>
      </w:r>
      <w:r>
        <w:rPr/>
        <w:t>《关于核准广州广电运通金融电子股份有限公司非公开发行股票</w:t>
      </w:r>
      <w:r>
        <w:rPr/>
        <w:t> 的批复》（证监许可【</w:t>
      </w:r>
      <w:r>
        <w:rPr>
          <w:rFonts w:ascii="宋体" w:hAnsi="宋体" w:cs="宋体" w:eastAsia="宋体" w:hint="default"/>
        </w:rPr>
        <w:t>2015</w:t>
      </w:r>
      <w:r>
        <w:rPr/>
        <w:t>】</w:t>
      </w:r>
      <w:r>
        <w:rPr>
          <w:rFonts w:ascii="宋体" w:hAnsi="宋体" w:cs="宋体" w:eastAsia="宋体" w:hint="default"/>
        </w:rPr>
        <w:t>3135</w:t>
      </w:r>
      <w:r>
        <w:rPr>
          <w:rFonts w:ascii="宋体" w:hAnsi="宋体" w:cs="宋体" w:eastAsia="宋体" w:hint="default"/>
          <w:spacing w:val="-47"/>
        </w:rPr>
        <w:t> </w:t>
      </w:r>
      <w:r>
        <w:rPr/>
        <w:t>号）。公司在中国证券登记结算有限责任公司深圳分公司已办理完毕本次非公开发行股 </w:t>
      </w:r>
      <w:r>
        <w:rPr>
          <w:spacing w:val="-4"/>
        </w:rPr>
        <w:t>份登记业务，新增股份已于</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t>日上市，广州证券股份有限公司作为管理人的运通资管计划本次认购的股票自新</w:t>
      </w:r>
    </w:p>
    <w:p>
      <w:pPr>
        <w:pStyle w:val="BodyText"/>
        <w:spacing w:line="357" w:lineRule="auto" w:before="18"/>
        <w:ind w:left="512" w:right="5134" w:hanging="360"/>
        <w:jc w:val="left"/>
      </w:pPr>
      <w:r>
        <w:rPr/>
        <w:t>增股份上市之日起</w:t>
      </w:r>
      <w:r>
        <w:rPr>
          <w:spacing w:val="-46"/>
        </w:rPr>
        <w:t> </w:t>
      </w:r>
      <w:r>
        <w:rPr>
          <w:rFonts w:ascii="宋体" w:hAnsi="宋体" w:cs="宋体" w:eastAsia="宋体" w:hint="default"/>
        </w:rPr>
        <w:t>36</w:t>
      </w:r>
      <w:r>
        <w:rPr>
          <w:rFonts w:ascii="宋体" w:hAnsi="宋体" w:cs="宋体" w:eastAsia="宋体" w:hint="default"/>
          <w:spacing w:val="-45"/>
        </w:rPr>
        <w:t> </w:t>
      </w:r>
      <w:r>
        <w:rPr/>
        <w:t>个月内不得转让。 本报告期内员工持股计划事项临时报告披露网站查询：</w:t>
      </w:r>
    </w:p>
    <w:tbl>
      <w:tblPr>
        <w:tblW w:w="0" w:type="auto"/>
        <w:jc w:val="left"/>
        <w:tblInd w:w="217" w:type="dxa"/>
        <w:tblLayout w:type="fixed"/>
        <w:tblCellMar>
          <w:top w:w="0" w:type="dxa"/>
          <w:left w:w="0" w:type="dxa"/>
          <w:bottom w:w="0" w:type="dxa"/>
          <w:right w:w="0" w:type="dxa"/>
        </w:tblCellMar>
        <w:tblLook w:val="01E0"/>
      </w:tblPr>
      <w:tblGrid>
        <w:gridCol w:w="5885"/>
        <w:gridCol w:w="1843"/>
        <w:gridCol w:w="1771"/>
      </w:tblGrid>
      <w:tr>
        <w:trPr>
          <w:trHeight w:val="403" w:hRule="exact"/>
        </w:trPr>
        <w:tc>
          <w:tcPr>
            <w:tcW w:w="5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1961" w:hRule="exact"/>
        </w:trPr>
        <w:tc>
          <w:tcPr>
            <w:tcW w:w="58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
              <w:jc w:val="left"/>
              <w:rPr>
                <w:rFonts w:ascii="宋体" w:hAnsi="宋体" w:cs="宋体" w:eastAsia="宋体" w:hint="default"/>
                <w:sz w:val="18"/>
                <w:szCs w:val="18"/>
              </w:rPr>
            </w:pPr>
            <w:r>
              <w:rPr>
                <w:rFonts w:ascii="宋体" w:hAnsi="宋体" w:cs="宋体" w:eastAsia="宋体" w:hint="default"/>
                <w:sz w:val="18"/>
                <w:szCs w:val="18"/>
              </w:rPr>
              <w:t>《第四届董事会第二次会议决议公告》、《第一期员工持股计划（草案）</w:t>
            </w:r>
            <w:hyperlink r:id="rId18">
              <w:r>
                <w:rPr>
                  <w:rFonts w:ascii="宋体" w:hAnsi="宋体" w:cs="宋体" w:eastAsia="宋体" w:hint="default"/>
                  <w:sz w:val="18"/>
                  <w:szCs w:val="18"/>
                </w:rPr>
                <w:t> 摘要（认购非公开发行股票方式）》、《第一期员工持股计划（草案）</w:t>
              </w:r>
            </w:hyperlink>
          </w:p>
          <w:p>
            <w:pPr>
              <w:pStyle w:val="TableParagraph"/>
              <w:spacing w:line="316" w:lineRule="auto" w:before="20"/>
              <w:ind w:left="105" w:right="139"/>
              <w:jc w:val="both"/>
              <w:rPr>
                <w:rFonts w:ascii="宋体" w:hAnsi="宋体" w:cs="宋体" w:eastAsia="宋体" w:hint="default"/>
                <w:sz w:val="18"/>
                <w:szCs w:val="18"/>
              </w:rPr>
            </w:pPr>
            <w:hyperlink r:id="rId18">
              <w:r>
                <w:rPr>
                  <w:rFonts w:ascii="宋体" w:hAnsi="宋体" w:cs="宋体" w:eastAsia="宋体" w:hint="default"/>
                  <w:sz w:val="18"/>
                  <w:szCs w:val="18"/>
                </w:rPr>
                <w:t>（认购非公开发行股票方式）</w:t>
              </w:r>
            </w:hyperlink>
            <w:r>
              <w:rPr>
                <w:rFonts w:ascii="宋体" w:hAnsi="宋体" w:cs="宋体" w:eastAsia="宋体" w:hint="default"/>
                <w:sz w:val="18"/>
                <w:szCs w:val="18"/>
              </w:rPr>
              <w:t>》、《</w:t>
            </w:r>
            <w:hyperlink r:id="rId19">
              <w:r>
                <w:rPr>
                  <w:rFonts w:ascii="宋体" w:hAnsi="宋体" w:cs="宋体" w:eastAsia="宋体" w:hint="default"/>
                  <w:sz w:val="18"/>
                  <w:szCs w:val="18"/>
                </w:rPr>
                <w:t>广东广信君达律师事务所关于公司</w:t>
              </w:r>
            </w:hyperlink>
            <w:r>
              <w:rPr>
                <w:rFonts w:ascii="宋体" w:hAnsi="宋体" w:cs="宋体" w:eastAsia="宋体" w:hint="default"/>
                <w:sz w:val="18"/>
                <w:szCs w:val="18"/>
              </w:rPr>
              <w:t> </w:t>
            </w:r>
            <w:hyperlink r:id="rId19">
              <w:r>
                <w:rPr>
                  <w:rFonts w:ascii="宋体" w:hAnsi="宋体" w:cs="宋体" w:eastAsia="宋体" w:hint="default"/>
                  <w:sz w:val="18"/>
                  <w:szCs w:val="18"/>
                </w:rPr>
                <w:t>实施第一期员工持股计划的法律意见书</w:t>
              </w:r>
            </w:hyperlink>
            <w:r>
              <w:rPr>
                <w:rFonts w:ascii="宋体" w:hAnsi="宋体" w:cs="宋体" w:eastAsia="宋体" w:hint="default"/>
                <w:spacing w:val="-45"/>
                <w:sz w:val="18"/>
                <w:szCs w:val="18"/>
              </w:rPr>
              <w:t> </w:t>
            </w:r>
            <w:r>
              <w:rPr>
                <w:rFonts w:ascii="宋体" w:hAnsi="宋体" w:cs="宋体" w:eastAsia="宋体" w:hint="default"/>
                <w:sz w:val="18"/>
                <w:szCs w:val="18"/>
              </w:rPr>
              <w:t>》、《</w:t>
            </w:r>
            <w:hyperlink r:id="rId20">
              <w:r>
                <w:rPr>
                  <w:rFonts w:ascii="宋体" w:hAnsi="宋体" w:cs="宋体" w:eastAsia="宋体" w:hint="default"/>
                  <w:sz w:val="18"/>
                  <w:szCs w:val="18"/>
                </w:rPr>
                <w:t>广州证券鲲鹏运通</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号定</w:t>
              </w:r>
            </w:hyperlink>
            <w:r>
              <w:rPr>
                <w:rFonts w:ascii="宋体" w:hAnsi="宋体" w:cs="宋体" w:eastAsia="宋体" w:hint="default"/>
                <w:sz w:val="18"/>
                <w:szCs w:val="18"/>
              </w:rPr>
              <w:t> </w:t>
            </w:r>
            <w:hyperlink r:id="rId20">
              <w:r>
                <w:rPr>
                  <w:rFonts w:ascii="宋体" w:hAnsi="宋体" w:cs="宋体" w:eastAsia="宋体" w:hint="default"/>
                  <w:sz w:val="18"/>
                  <w:szCs w:val="18"/>
                </w:rPr>
                <w:t>向资产管理计划资产管理合同</w:t>
              </w:r>
            </w:hyperlink>
            <w:r>
              <w:rPr>
                <w:rFonts w:ascii="宋体" w:hAnsi="宋体" w:cs="宋体" w:eastAsia="宋体" w:hint="default"/>
                <w:spacing w:val="-45"/>
                <w:sz w:val="18"/>
                <w:szCs w:val="18"/>
              </w:rPr>
              <w:t> </w:t>
            </w:r>
            <w:r>
              <w:rPr>
                <w:rFonts w:ascii="宋体" w:hAnsi="宋体" w:cs="宋体" w:eastAsia="宋体" w:hint="default"/>
                <w:sz w:val="18"/>
                <w:szCs w:val="18"/>
              </w:rPr>
              <w:t>》、《</w:t>
            </w:r>
            <w:hyperlink r:id="rId21">
              <w:r>
                <w:rPr>
                  <w:rFonts w:ascii="宋体" w:hAnsi="宋体" w:cs="宋体" w:eastAsia="宋体" w:hint="default"/>
                  <w:sz w:val="18"/>
                  <w:szCs w:val="18"/>
                </w:rPr>
                <w:t>监事会关于公司第一期员工持股计</w:t>
              </w:r>
            </w:hyperlink>
            <w:r>
              <w:rPr>
                <w:rFonts w:ascii="宋体" w:hAnsi="宋体" w:cs="宋体" w:eastAsia="宋体" w:hint="default"/>
                <w:sz w:val="18"/>
                <w:szCs w:val="18"/>
              </w:rPr>
              <w:t> </w:t>
            </w:r>
            <w:hyperlink r:id="rId21">
              <w:r>
                <w:rPr>
                  <w:rFonts w:ascii="宋体" w:hAnsi="宋体" w:cs="宋体" w:eastAsia="宋体" w:hint="default"/>
                  <w:sz w:val="18"/>
                  <w:szCs w:val="18"/>
                </w:rPr>
                <w:t>划相关事项的审核意见</w:t>
              </w:r>
            </w:hyperlink>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71" w:type="dxa"/>
            <w:vMerge w:val="restart"/>
            <w:tcBorders>
              <w:top w:val="single" w:sz="4" w:space="0" w:color="000000"/>
              <w:left w:val="single" w:sz="4" w:space="0" w:color="000000"/>
              <w:right w:val="single" w:sz="4" w:space="0" w:color="000000"/>
            </w:tcBorders>
          </w:tcPr>
          <w:p>
            <w:pPr>
              <w:pStyle w:val="TableParagraph"/>
              <w:spacing w:line="316" w:lineRule="auto" w:before="48"/>
              <w:ind w:left="103" w:right="461"/>
              <w:jc w:val="both"/>
              <w:rPr>
                <w:rFonts w:ascii="宋体" w:hAnsi="宋体" w:cs="宋体" w:eastAsia="宋体" w:hint="default"/>
                <w:sz w:val="18"/>
                <w:szCs w:val="18"/>
              </w:rPr>
            </w:pPr>
            <w:r>
              <w:rPr>
                <w:rFonts w:ascii="宋体" w:hAnsi="宋体" w:cs="宋体" w:eastAsia="宋体" w:hint="default"/>
                <w:spacing w:val="-10"/>
                <w:sz w:val="18"/>
                <w:szCs w:val="18"/>
              </w:rPr>
              <w:t>刊登在《证券时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报》及巨潮资讯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网</w:t>
            </w:r>
          </w:p>
          <w:p>
            <w:pPr>
              <w:pStyle w:val="TableParagraph"/>
              <w:spacing w:line="300" w:lineRule="auto" w:before="18"/>
              <w:ind w:left="103" w:right="4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http://www.c ninfo.com.cn</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 上的相关公告</w:t>
            </w:r>
          </w:p>
        </w:tc>
      </w:tr>
      <w:tr>
        <w:trPr>
          <w:trHeight w:val="403" w:hRule="exact"/>
        </w:trPr>
        <w:tc>
          <w:tcPr>
            <w:tcW w:w="5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22">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年度股东大会决议公告</w:t>
              </w:r>
            </w:hyperlink>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71" w:type="dxa"/>
            <w:vMerge/>
            <w:tcBorders>
              <w:left w:val="single" w:sz="4" w:space="0" w:color="000000"/>
              <w:right w:val="single" w:sz="4" w:space="0" w:color="000000"/>
            </w:tcBorders>
          </w:tcPr>
          <w:p>
            <w:pPr/>
          </w:p>
        </w:tc>
      </w:tr>
      <w:tr>
        <w:trPr>
          <w:trHeight w:val="401" w:hRule="exact"/>
        </w:trPr>
        <w:tc>
          <w:tcPr>
            <w:tcW w:w="5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hyperlink r:id="rId23">
              <w:r>
                <w:rPr>
                  <w:rFonts w:ascii="宋体" w:hAnsi="宋体" w:cs="宋体" w:eastAsia="宋体" w:hint="default"/>
                  <w:sz w:val="18"/>
                  <w:szCs w:val="18"/>
                </w:rPr>
                <w:t>《第四届董事会第十次会议决议公告</w:t>
              </w:r>
            </w:hyperlink>
            <w:r>
              <w:rPr>
                <w:rFonts w:ascii="宋体" w:hAnsi="宋体" w:cs="宋体" w:eastAsia="宋体" w:hint="default"/>
                <w:spacing w:val="-45"/>
                <w:sz w:val="18"/>
                <w:szCs w:val="18"/>
              </w:rPr>
              <w:t> </w:t>
            </w:r>
            <w:r>
              <w:rPr>
                <w:rFonts w:ascii="宋体" w:hAnsi="宋体" w:cs="宋体" w:eastAsia="宋体" w:hint="default"/>
                <w:sz w:val="18"/>
                <w:szCs w:val="18"/>
              </w:rPr>
              <w:t>》、《广州证券鲲鹏运通</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号定向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7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40"/>
        </w:sectPr>
      </w:pPr>
    </w:p>
    <w:p>
      <w:pPr>
        <w:spacing w:line="240" w:lineRule="auto" w:before="8"/>
        <w:rPr>
          <w:rFonts w:ascii="宋体" w:hAnsi="宋体" w:cs="宋体" w:eastAsia="宋体" w:hint="default"/>
          <w:sz w:val="24"/>
          <w:szCs w:val="24"/>
        </w:rPr>
      </w:pPr>
    </w:p>
    <w:tbl>
      <w:tblPr>
        <w:tblW w:w="0" w:type="auto"/>
        <w:jc w:val="left"/>
        <w:tblInd w:w="395" w:type="dxa"/>
        <w:tblLayout w:type="fixed"/>
        <w:tblCellMar>
          <w:top w:w="0" w:type="dxa"/>
          <w:left w:w="0" w:type="dxa"/>
          <w:bottom w:w="0" w:type="dxa"/>
          <w:right w:w="0" w:type="dxa"/>
        </w:tblCellMar>
        <w:tblLook w:val="01E0"/>
      </w:tblPr>
      <w:tblGrid>
        <w:gridCol w:w="5887"/>
        <w:gridCol w:w="1843"/>
        <w:gridCol w:w="1771"/>
      </w:tblGrid>
      <w:tr>
        <w:trPr>
          <w:trHeight w:val="674" w:hRule="exact"/>
        </w:trPr>
        <w:tc>
          <w:tcPr>
            <w:tcW w:w="58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01"/>
              <w:jc w:val="left"/>
              <w:rPr>
                <w:rFonts w:ascii="宋体" w:hAnsi="宋体" w:cs="宋体" w:eastAsia="宋体" w:hint="default"/>
                <w:sz w:val="18"/>
                <w:szCs w:val="18"/>
              </w:rPr>
            </w:pPr>
            <w:hyperlink r:id="rId24">
              <w:r>
                <w:rPr>
                  <w:rFonts w:ascii="宋体" w:hAnsi="宋体" w:cs="宋体" w:eastAsia="宋体" w:hint="default"/>
                  <w:sz w:val="18"/>
                  <w:szCs w:val="18"/>
                </w:rPr>
                <w:t>资产管理计划资产管理合同之补充合同》、《关于签订</w:t>
              </w:r>
              <w:r>
                <w:rPr>
                  <w:rFonts w:ascii="宋体" w:hAnsi="宋体" w:cs="宋体" w:eastAsia="宋体" w:hint="default"/>
                  <w:sz w:val="18"/>
                  <w:szCs w:val="18"/>
                </w:rPr>
                <w:t>&lt;</w:t>
              </w:r>
              <w:r>
                <w:rPr>
                  <w:rFonts w:ascii="宋体" w:hAnsi="宋体" w:cs="宋体" w:eastAsia="宋体" w:hint="default"/>
                  <w:sz w:val="18"/>
                  <w:szCs w:val="18"/>
                </w:rPr>
                <w:t>附条件生效的非</w:t>
              </w:r>
            </w:hyperlink>
            <w:r>
              <w:rPr>
                <w:rFonts w:ascii="宋体" w:hAnsi="宋体" w:cs="宋体" w:eastAsia="宋体" w:hint="default"/>
                <w:sz w:val="18"/>
                <w:szCs w:val="18"/>
              </w:rPr>
              <w:t> </w:t>
            </w:r>
            <w:hyperlink r:id="rId24">
              <w:r>
                <w:rPr>
                  <w:rFonts w:ascii="宋体" w:hAnsi="宋体" w:cs="宋体" w:eastAsia="宋体" w:hint="default"/>
                  <w:sz w:val="18"/>
                  <w:szCs w:val="18"/>
                </w:rPr>
                <w:t>公开发行股份认购合同之补充合同</w:t>
              </w:r>
              <w:r>
                <w:rPr>
                  <w:rFonts w:ascii="宋体" w:hAnsi="宋体" w:cs="宋体" w:eastAsia="宋体" w:hint="default"/>
                  <w:sz w:val="18"/>
                  <w:szCs w:val="18"/>
                </w:rPr>
                <w:t>&gt;</w:t>
              </w:r>
              <w:r>
                <w:rPr>
                  <w:rFonts w:ascii="宋体" w:hAnsi="宋体" w:cs="宋体" w:eastAsia="宋体" w:hint="default"/>
                  <w:sz w:val="18"/>
                  <w:szCs w:val="18"/>
                </w:rPr>
                <w:t>的公告</w:t>
              </w:r>
            </w:hyperlink>
            <w:r>
              <w:rPr>
                <w:rFonts w:ascii="宋体" w:hAnsi="宋体" w:cs="宋体" w:eastAsia="宋体" w:hint="default"/>
                <w:spacing w:val="-44"/>
                <w:sz w:val="18"/>
                <w:szCs w:val="18"/>
              </w:rPr>
              <w:t> </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71" w:type="dxa"/>
            <w:vMerge w:val="restart"/>
            <w:tcBorders>
              <w:top w:val="single" w:sz="4" w:space="0" w:color="000000"/>
              <w:left w:val="single" w:sz="4" w:space="0" w:color="000000"/>
              <w:right w:val="single" w:sz="4" w:space="0" w:color="000000"/>
            </w:tcBorders>
          </w:tcPr>
          <w:p>
            <w:pPr/>
          </w:p>
        </w:tc>
      </w:tr>
      <w:tr>
        <w:trPr>
          <w:trHeight w:val="1337" w:hRule="exact"/>
        </w:trPr>
        <w:tc>
          <w:tcPr>
            <w:tcW w:w="58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1"/>
              <w:jc w:val="both"/>
              <w:rPr>
                <w:rFonts w:ascii="宋体" w:hAnsi="宋体" w:cs="宋体" w:eastAsia="宋体" w:hint="default"/>
                <w:sz w:val="18"/>
                <w:szCs w:val="18"/>
              </w:rPr>
            </w:pPr>
            <w:hyperlink r:id="rId25">
              <w:r>
                <w:rPr>
                  <w:rFonts w:ascii="宋体" w:hAnsi="宋体" w:cs="宋体" w:eastAsia="宋体" w:hint="default"/>
                  <w:sz w:val="18"/>
                  <w:szCs w:val="18"/>
                </w:rPr>
                <w:t>《第四届董事会第十二次（临时）会议决议公告</w:t>
              </w:r>
            </w:hyperlink>
            <w:r>
              <w:rPr>
                <w:rFonts w:ascii="宋体" w:hAnsi="宋体" w:cs="宋体" w:eastAsia="宋体" w:hint="default"/>
                <w:sz w:val="18"/>
                <w:szCs w:val="18"/>
              </w:rPr>
              <w:t>》、《第一期员工持股</w:t>
            </w:r>
            <w:r>
              <w:rPr>
                <w:rFonts w:ascii="宋体" w:hAnsi="宋体" w:cs="宋体" w:eastAsia="宋体" w:hint="default"/>
                <w:sz w:val="18"/>
                <w:szCs w:val="18"/>
              </w:rPr>
              <w:t> 计划（草案）（认购非公开发行股票方式）（修订稿）》、《</w:t>
            </w:r>
            <w:hyperlink r:id="rId26">
              <w:r>
                <w:rPr>
                  <w:rFonts w:ascii="宋体" w:hAnsi="宋体" w:cs="宋体" w:eastAsia="宋体" w:hint="default"/>
                  <w:sz w:val="18"/>
                  <w:szCs w:val="18"/>
                </w:rPr>
                <w:t>关于调减</w:t>
              </w:r>
            </w:hyperlink>
            <w:r>
              <w:rPr>
                <w:rFonts w:ascii="宋体" w:hAnsi="宋体" w:cs="宋体" w:eastAsia="宋体" w:hint="default"/>
                <w:sz w:val="18"/>
                <w:szCs w:val="18"/>
              </w:rPr>
              <w:t> </w:t>
            </w:r>
            <w:hyperlink r:id="rId26">
              <w:r>
                <w:rPr>
                  <w:rFonts w:ascii="宋体" w:hAnsi="宋体" w:cs="宋体" w:eastAsia="宋体" w:hint="default"/>
                  <w:sz w:val="18"/>
                  <w:szCs w:val="18"/>
                </w:rPr>
                <w:t>公司第一期员工持股计划计划认购金额的公告</w:t>
              </w:r>
            </w:hyperlink>
            <w:r>
              <w:rPr>
                <w:rFonts w:ascii="宋体" w:hAnsi="宋体" w:cs="宋体" w:eastAsia="宋体" w:hint="default"/>
                <w:sz w:val="18"/>
                <w:szCs w:val="18"/>
              </w:rPr>
              <w:t>》、《</w:t>
            </w:r>
            <w:hyperlink r:id="rId27">
              <w:r>
                <w:rPr>
                  <w:rFonts w:ascii="宋体" w:hAnsi="宋体" w:cs="宋体" w:eastAsia="宋体" w:hint="default"/>
                  <w:sz w:val="18"/>
                  <w:szCs w:val="18"/>
                </w:rPr>
                <w:t>广东广信君达律师</w:t>
              </w:r>
            </w:hyperlink>
            <w:r>
              <w:rPr>
                <w:rFonts w:ascii="宋体" w:hAnsi="宋体" w:cs="宋体" w:eastAsia="宋体" w:hint="default"/>
                <w:sz w:val="18"/>
                <w:szCs w:val="18"/>
              </w:rPr>
              <w:t> </w:t>
            </w:r>
            <w:hyperlink r:id="rId27">
              <w:r>
                <w:rPr>
                  <w:rFonts w:ascii="宋体" w:hAnsi="宋体" w:cs="宋体" w:eastAsia="宋体" w:hint="default"/>
                  <w:sz w:val="18"/>
                  <w:szCs w:val="18"/>
                </w:rPr>
                <w:t>事务所关于公司实施第一期员工持股计划的补充法律意见书</w:t>
              </w:r>
            </w:hyperlink>
            <w:r>
              <w:rPr>
                <w:rFonts w:ascii="宋体" w:hAnsi="宋体" w:cs="宋体" w:eastAsia="宋体" w:hint="default"/>
                <w:spacing w:val="-45"/>
                <w:sz w:val="18"/>
                <w:szCs w:val="18"/>
              </w:rPr>
              <w:t> </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71" w:type="dxa"/>
            <w:vMerge/>
            <w:tcBorders>
              <w:left w:val="single" w:sz="4" w:space="0" w:color="000000"/>
              <w:right w:val="single" w:sz="4" w:space="0" w:color="000000"/>
            </w:tcBorders>
          </w:tcPr>
          <w:p>
            <w:pPr/>
          </w:p>
        </w:tc>
      </w:tr>
      <w:tr>
        <w:trPr>
          <w:trHeight w:val="403" w:hRule="exact"/>
        </w:trPr>
        <w:tc>
          <w:tcPr>
            <w:tcW w:w="5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28">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年第三次临时股东大会决议公告</w:t>
              </w:r>
            </w:hyperlink>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71" w:type="dxa"/>
            <w:vMerge/>
            <w:tcBorders>
              <w:left w:val="single" w:sz="4" w:space="0" w:color="000000"/>
              <w:right w:val="single" w:sz="4" w:space="0" w:color="000000"/>
            </w:tcBorders>
          </w:tcPr>
          <w:p>
            <w:pPr/>
          </w:p>
        </w:tc>
      </w:tr>
      <w:tr>
        <w:trPr>
          <w:trHeight w:val="401" w:hRule="exact"/>
        </w:trPr>
        <w:tc>
          <w:tcPr>
            <w:tcW w:w="5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hyperlink r:id="rId29">
              <w:r>
                <w:rPr>
                  <w:rFonts w:ascii="宋体" w:hAnsi="宋体" w:cs="宋体" w:eastAsia="宋体" w:hint="default"/>
                  <w:sz w:val="18"/>
                  <w:szCs w:val="18"/>
                </w:rPr>
                <w:t>《关于非公开发行股票获得中国证监会核准批复的公告</w:t>
              </w:r>
            </w:hyperlink>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71" w:type="dxa"/>
            <w:vMerge/>
            <w:tcBorders>
              <w:left w:val="single" w:sz="4" w:space="0" w:color="000000"/>
              <w:right w:val="single" w:sz="4" w:space="0" w:color="000000"/>
            </w:tcBorders>
          </w:tcPr>
          <w:p>
            <w:pPr/>
          </w:p>
        </w:tc>
      </w:tr>
      <w:tr>
        <w:trPr>
          <w:trHeight w:val="403" w:hRule="exact"/>
        </w:trPr>
        <w:tc>
          <w:tcPr>
            <w:tcW w:w="5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《发行情况报告暨上市公告书》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71"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left="332" w:right="0"/>
        <w:jc w:val="left"/>
        <w:rPr>
          <w:b w:val="0"/>
          <w:bCs w:val="0"/>
        </w:rPr>
      </w:pPr>
      <w:bookmarkStart w:name="2、资产或股权收购、出售发生的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332"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569"/>
        <w:gridCol w:w="907"/>
        <w:gridCol w:w="677"/>
        <w:gridCol w:w="706"/>
        <w:gridCol w:w="679"/>
        <w:gridCol w:w="574"/>
        <w:gridCol w:w="775"/>
        <w:gridCol w:w="674"/>
        <w:gridCol w:w="674"/>
        <w:gridCol w:w="674"/>
        <w:gridCol w:w="672"/>
        <w:gridCol w:w="674"/>
        <w:gridCol w:w="670"/>
        <w:gridCol w:w="1140"/>
      </w:tblGrid>
      <w:tr>
        <w:trPr>
          <w:trHeight w:val="1337" w:hRule="exact"/>
        </w:trPr>
        <w:tc>
          <w:tcPr>
            <w:tcW w:w="5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338" w:lineRule="auto"/>
              <w:ind w:left="98" w:right="98"/>
              <w:jc w:val="both"/>
              <w:rPr>
                <w:rFonts w:ascii="宋体" w:hAnsi="宋体" w:cs="宋体" w:eastAsia="宋体" w:hint="default"/>
                <w:sz w:val="18"/>
                <w:szCs w:val="18"/>
              </w:rPr>
            </w:pPr>
            <w:r>
              <w:rPr>
                <w:rFonts w:ascii="宋体" w:hAnsi="宋体" w:cs="宋体" w:eastAsia="宋体" w:hint="default"/>
                <w:sz w:val="18"/>
                <w:szCs w:val="18"/>
              </w:rPr>
              <w:t>关联 交易 方</w:t>
            </w:r>
          </w:p>
        </w:tc>
        <w:tc>
          <w:tcPr>
            <w:tcW w:w="9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268" w:right="26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8"/>
              <w:jc w:val="both"/>
              <w:rPr>
                <w:rFonts w:ascii="宋体" w:hAnsi="宋体" w:cs="宋体" w:eastAsia="宋体" w:hint="default"/>
                <w:sz w:val="18"/>
                <w:szCs w:val="18"/>
              </w:rPr>
            </w:pPr>
            <w:bookmarkStart w:name="十六、重大关联交易" w:id="79"/>
            <w:bookmarkEnd w:id="79"/>
            <w:r>
              <w:rPr/>
            </w:r>
            <w:r>
              <w:rPr>
                <w:rFonts w:ascii="宋体" w:hAnsi="宋体" w:cs="宋体" w:eastAsia="宋体" w:hint="default"/>
                <w:sz w:val="18"/>
                <w:szCs w:val="18"/>
              </w:rPr>
              <w:t>关联 交易 价格</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bookmarkStart w:name="1、与日常经营相关的关联交易" w:id="80"/>
            <w:bookmarkEnd w:id="80"/>
            <w:r>
              <w:rPr/>
            </w:r>
            <w:r>
              <w:rPr>
                <w:rFonts w:ascii="宋体" w:hAnsi="宋体" w:cs="宋体" w:eastAsia="宋体" w:hint="default"/>
                <w:sz w:val="18"/>
                <w:szCs w:val="18"/>
              </w:rPr>
              <w:t>关联交 易金额</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4"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1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海格 机械</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51"/>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采购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311"/>
              <w:jc w:val="left"/>
              <w:rPr>
                <w:rFonts w:ascii="宋体" w:hAnsi="宋体" w:cs="宋体" w:eastAsia="宋体" w:hint="default"/>
                <w:sz w:val="18"/>
                <w:szCs w:val="18"/>
              </w:rPr>
            </w:pPr>
            <w:r>
              <w:rPr>
                <w:rFonts w:ascii="宋体" w:hAnsi="宋体" w:cs="宋体" w:eastAsia="宋体" w:hint="default"/>
                <w:sz w:val="18"/>
                <w:szCs w:val="18"/>
              </w:rPr>
              <w:t>采购 材料</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283"/>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4,438.27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151" w:right="149"/>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40"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刊登在《证券 时报》及巨潮 资讯网</w:t>
            </w:r>
          </w:p>
          <w:p>
            <w:pPr>
              <w:pStyle w:val="TableParagraph"/>
              <w:spacing w:line="340" w:lineRule="auto" w:before="19"/>
              <w:ind w:left="50" w:right="4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http://www.</w:t>
              </w:r>
            </w:hyperlink>
            <w:r>
              <w:rPr>
                <w:rFonts w:ascii="Times New Roman" w:hAnsi="Times New Roman" w:cs="Times New Roman" w:eastAsia="Times New Roman" w:hint="default"/>
                <w:sz w:val="18"/>
                <w:szCs w:val="18"/>
              </w:rPr>
              <w:t> cninfo.com.cn</w:t>
            </w:r>
          </w:p>
          <w:p>
            <w:pPr>
              <w:pStyle w:val="TableParagraph"/>
              <w:spacing w:line="228" w:lineRule="exact"/>
              <w:ind w:left="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）上的《</w:t>
            </w:r>
            <w:r>
              <w:rPr>
                <w:rFonts w:ascii="Times New Roman" w:hAnsi="Times New Roman" w:cs="Times New Roman" w:eastAsia="Times New Roman" w:hint="default"/>
                <w:sz w:val="18"/>
                <w:szCs w:val="18"/>
              </w:rPr>
              <w:t>2015</w:t>
            </w:r>
          </w:p>
          <w:p>
            <w:pPr>
              <w:pStyle w:val="TableParagraph"/>
              <w:spacing w:line="316" w:lineRule="auto" w:before="63"/>
              <w:ind w:left="26" w:right="23"/>
              <w:jc w:val="center"/>
              <w:rPr>
                <w:rFonts w:ascii="宋体" w:hAnsi="宋体" w:cs="宋体" w:eastAsia="宋体" w:hint="default"/>
                <w:sz w:val="18"/>
                <w:szCs w:val="18"/>
              </w:rPr>
            </w:pPr>
            <w:r>
              <w:rPr>
                <w:rFonts w:ascii="宋体" w:hAnsi="宋体" w:cs="宋体" w:eastAsia="宋体" w:hint="default"/>
                <w:sz w:val="18"/>
                <w:szCs w:val="18"/>
              </w:rPr>
              <w:t>年度日常关联 交易预计公 </w:t>
            </w:r>
            <w:r>
              <w:rPr>
                <w:rFonts w:ascii="宋体" w:hAnsi="宋体" w:cs="宋体" w:eastAsia="宋体" w:hint="default"/>
                <w:spacing w:val="-16"/>
                <w:sz w:val="18"/>
                <w:szCs w:val="18"/>
              </w:rPr>
              <w:t>告》（公告编</w:t>
            </w:r>
            <w:r>
              <w:rPr>
                <w:rFonts w:ascii="宋体" w:hAnsi="宋体" w:cs="宋体" w:eastAsia="宋体" w:hint="default"/>
                <w:sz w:val="18"/>
                <w:szCs w:val="18"/>
              </w:rPr>
              <w:t> 号：临</w:t>
            </w:r>
          </w:p>
          <w:p>
            <w:pPr>
              <w:pStyle w:val="TableParagraph"/>
              <w:spacing w:line="240" w:lineRule="auto" w:before="1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2015-027</w:t>
            </w:r>
            <w:r>
              <w:rPr>
                <w:rFonts w:ascii="宋体" w:hAnsi="宋体" w:cs="宋体" w:eastAsia="宋体" w:hint="default"/>
                <w:sz w:val="18"/>
                <w:szCs w:val="18"/>
              </w:rPr>
              <w:t>）</w:t>
            </w:r>
          </w:p>
        </w:tc>
      </w:tr>
      <w:tr>
        <w:trPr>
          <w:trHeight w:val="75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通导 信息</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51"/>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4" w:right="281"/>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311"/>
              <w:jc w:val="left"/>
              <w:rPr>
                <w:rFonts w:ascii="宋体" w:hAnsi="宋体" w:cs="宋体" w:eastAsia="宋体" w:hint="default"/>
                <w:sz w:val="18"/>
                <w:szCs w:val="18"/>
              </w:rPr>
            </w:pPr>
            <w:r>
              <w:rPr>
                <w:rFonts w:ascii="宋体" w:hAnsi="宋体" w:cs="宋体" w:eastAsia="宋体" w:hint="default"/>
                <w:sz w:val="18"/>
                <w:szCs w:val="18"/>
              </w:rPr>
              <w:t>技术 检测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3" w:right="283"/>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51" w:right="149"/>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r>
      <w:tr>
        <w:trPr>
          <w:trHeight w:val="75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广电 计量</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51"/>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4" w:right="281"/>
              <w:jc w:val="left"/>
              <w:rPr>
                <w:rFonts w:ascii="宋体" w:hAnsi="宋体" w:cs="宋体" w:eastAsia="宋体" w:hint="default"/>
                <w:sz w:val="18"/>
                <w:szCs w:val="18"/>
              </w:rPr>
            </w:pPr>
            <w:r>
              <w:rPr>
                <w:rFonts w:ascii="宋体" w:hAnsi="宋体" w:cs="宋体" w:eastAsia="宋体" w:hint="default"/>
                <w:sz w:val="18"/>
                <w:szCs w:val="18"/>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311"/>
              <w:jc w:val="left"/>
              <w:rPr>
                <w:rFonts w:ascii="宋体" w:hAnsi="宋体" w:cs="宋体" w:eastAsia="宋体" w:hint="default"/>
                <w:sz w:val="18"/>
                <w:szCs w:val="18"/>
              </w:rPr>
            </w:pPr>
            <w:r>
              <w:rPr>
                <w:rFonts w:ascii="宋体" w:hAnsi="宋体" w:cs="宋体" w:eastAsia="宋体" w:hint="default"/>
                <w:sz w:val="18"/>
                <w:szCs w:val="18"/>
              </w:rPr>
              <w:t>计量 检测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283"/>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51" w:right="149"/>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vMerge/>
            <w:tcBorders>
              <w:left w:val="single" w:sz="4" w:space="0" w:color="000000"/>
              <w:right w:val="single" w:sz="4" w:space="0" w:color="000000"/>
            </w:tcBorders>
          </w:tcPr>
          <w:p>
            <w:pPr/>
          </w:p>
        </w:tc>
        <w:tc>
          <w:tcPr>
            <w:tcW w:w="1140" w:type="dxa"/>
            <w:vMerge/>
            <w:tcBorders>
              <w:left w:val="single" w:sz="4" w:space="0" w:color="000000"/>
              <w:right w:val="single" w:sz="4" w:space="0" w:color="000000"/>
            </w:tcBorders>
          </w:tcPr>
          <w:p>
            <w:pPr/>
          </w:p>
        </w:tc>
      </w:tr>
      <w:tr>
        <w:trPr>
          <w:trHeight w:val="1260"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60" w:lineRule="auto"/>
              <w:ind w:left="24" w:right="173"/>
              <w:jc w:val="left"/>
              <w:rPr>
                <w:rFonts w:ascii="宋体" w:hAnsi="宋体" w:cs="宋体" w:eastAsia="宋体" w:hint="default"/>
                <w:sz w:val="18"/>
                <w:szCs w:val="18"/>
              </w:rPr>
            </w:pPr>
            <w:r>
              <w:rPr>
                <w:rFonts w:ascii="宋体" w:hAnsi="宋体" w:cs="宋体" w:eastAsia="宋体" w:hint="default"/>
                <w:sz w:val="18"/>
                <w:szCs w:val="18"/>
              </w:rPr>
              <w:t>海格 通信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同一最终 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60" w:lineRule="auto"/>
              <w:ind w:left="24" w:right="281"/>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60" w:lineRule="auto"/>
              <w:ind w:left="23" w:right="311"/>
              <w:jc w:val="left"/>
              <w:rPr>
                <w:rFonts w:ascii="宋体" w:hAnsi="宋体" w:cs="宋体" w:eastAsia="宋体" w:hint="default"/>
                <w:sz w:val="18"/>
                <w:szCs w:val="18"/>
              </w:rPr>
            </w:pPr>
            <w:r>
              <w:rPr>
                <w:rFonts w:ascii="宋体" w:hAnsi="宋体" w:cs="宋体" w:eastAsia="宋体" w:hint="default"/>
                <w:sz w:val="18"/>
                <w:szCs w:val="18"/>
              </w:rPr>
              <w:t>检测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60" w:lineRule="auto"/>
              <w:ind w:left="23" w:right="283"/>
              <w:jc w:val="left"/>
              <w:rPr>
                <w:rFonts w:ascii="宋体" w:hAnsi="宋体" w:cs="宋体" w:eastAsia="宋体" w:hint="default"/>
                <w:sz w:val="18"/>
                <w:szCs w:val="18"/>
              </w:rPr>
            </w:pPr>
            <w:r>
              <w:rPr>
                <w:rFonts w:ascii="宋体" w:hAnsi="宋体" w:cs="宋体" w:eastAsia="宋体" w:hint="default"/>
                <w:sz w:val="18"/>
                <w:szCs w:val="18"/>
              </w:rPr>
              <w:t>市场 议价</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60" w:lineRule="auto"/>
              <w:ind w:left="151" w:right="149"/>
              <w:jc w:val="left"/>
              <w:rPr>
                <w:rFonts w:ascii="宋体" w:hAnsi="宋体" w:cs="宋体" w:eastAsia="宋体" w:hint="default"/>
                <w:sz w:val="18"/>
                <w:szCs w:val="18"/>
              </w:rPr>
            </w:pPr>
            <w:r>
              <w:rPr>
                <w:rFonts w:ascii="宋体" w:hAnsi="宋体" w:cs="宋体" w:eastAsia="宋体" w:hint="default"/>
                <w:sz w:val="18"/>
                <w:szCs w:val="18"/>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vMerge/>
            <w:tcBorders>
              <w:left w:val="single" w:sz="4" w:space="0" w:color="000000"/>
              <w:bottom w:val="single" w:sz="4" w:space="0" w:color="000000"/>
              <w:right w:val="single" w:sz="4" w:space="0" w:color="000000"/>
            </w:tcBorders>
          </w:tcPr>
          <w:p>
            <w:pPr/>
          </w:p>
        </w:tc>
        <w:tc>
          <w:tcPr>
            <w:tcW w:w="1140" w:type="dxa"/>
            <w:vMerge/>
            <w:tcBorders>
              <w:left w:val="single" w:sz="4" w:space="0" w:color="000000"/>
              <w:bottom w:val="single" w:sz="4" w:space="0" w:color="000000"/>
              <w:right w:val="single" w:sz="4" w:space="0" w:color="000000"/>
            </w:tcBorders>
          </w:tcPr>
          <w:p>
            <w:pPr/>
          </w:p>
        </w:tc>
      </w:tr>
      <w:tr>
        <w:trPr>
          <w:trHeight w:val="40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z w:val="18"/>
              </w:rPr>
              <w:t>4,451.22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7,041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2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24" w:right="12"/>
              <w:jc w:val="both"/>
              <w:rPr>
                <w:rFonts w:ascii="宋体" w:hAnsi="宋体" w:cs="宋体" w:eastAsia="宋体" w:hint="default"/>
                <w:sz w:val="18"/>
                <w:szCs w:val="18"/>
              </w:rPr>
            </w:pPr>
            <w:r>
              <w:rPr>
                <w:rFonts w:ascii="宋体" w:hAnsi="宋体" w:cs="宋体" w:eastAsia="宋体" w:hint="default"/>
                <w:spacing w:val="7"/>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72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公司按类别对</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年将发生的日常关联交易进行总金额预计，详见上述公告，实际执行情况</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列示于上表中，均在预计范围内。</w:t>
            </w:r>
          </w:p>
        </w:tc>
      </w:tr>
      <w:tr>
        <w:trPr>
          <w:trHeight w:val="715"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24" w:right="12"/>
              <w:jc w:val="left"/>
              <w:rPr>
                <w:rFonts w:ascii="宋体" w:hAnsi="宋体" w:cs="宋体" w:eastAsia="宋体" w:hint="default"/>
                <w:sz w:val="18"/>
                <w:szCs w:val="18"/>
              </w:rPr>
            </w:pPr>
            <w:r>
              <w:rPr>
                <w:rFonts w:ascii="宋体" w:hAnsi="宋体" w:cs="宋体" w:eastAsia="宋体" w:hint="default"/>
                <w:spacing w:val="7"/>
                <w:sz w:val="18"/>
                <w:szCs w:val="18"/>
              </w:rPr>
              <w:t>交易价格与市场参考价格差异较大 </w:t>
            </w:r>
            <w:r>
              <w:rPr>
                <w:rFonts w:ascii="宋体" w:hAnsi="宋体" w:cs="宋体" w:eastAsia="宋体" w:hint="default"/>
                <w:sz w:val="18"/>
                <w:szCs w:val="18"/>
              </w:rPr>
              <w:t>的原因（如适用）</w:t>
            </w:r>
          </w:p>
        </w:tc>
        <w:tc>
          <w:tcPr>
            <w:tcW w:w="72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0"/>
          <w:szCs w:val="20"/>
        </w:rPr>
      </w:pPr>
    </w:p>
    <w:p>
      <w:pPr>
        <w:pStyle w:val="Heading5"/>
        <w:spacing w:line="240" w:lineRule="auto" w:before="44"/>
        <w:ind w:left="33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3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800" w:right="800"/>
        </w:sectPr>
      </w:pPr>
    </w:p>
    <w:p>
      <w:pPr>
        <w:spacing w:line="240" w:lineRule="auto" w:before="11"/>
        <w:rPr>
          <w:rFonts w:ascii="宋体" w:hAnsi="宋体" w:cs="宋体" w:eastAsia="宋体" w:hint="default"/>
          <w:sz w:val="21"/>
          <w:szCs w:val="21"/>
        </w:rPr>
      </w:pPr>
    </w:p>
    <w:p>
      <w:pPr>
        <w:pStyle w:val="BodyText"/>
        <w:spacing w:line="240" w:lineRule="auto" w:before="44"/>
        <w:ind w:left="212" w:right="0"/>
        <w:jc w:val="both"/>
      </w:pPr>
      <w:r>
        <w:rPr/>
        <w:t>公司报告期未发生资产或股权收购、出售的关联交易。</w:t>
      </w:r>
    </w:p>
    <w:p>
      <w:pPr>
        <w:spacing w:line="240" w:lineRule="auto" w:before="0"/>
        <w:rPr>
          <w:rFonts w:ascii="宋体" w:hAnsi="宋体" w:cs="宋体" w:eastAsia="宋体" w:hint="default"/>
          <w:sz w:val="18"/>
          <w:szCs w:val="18"/>
        </w:rPr>
      </w:pPr>
    </w:p>
    <w:p>
      <w:pPr>
        <w:pStyle w:val="Heading5"/>
        <w:spacing w:line="240" w:lineRule="auto" w:before="143"/>
        <w:ind w:left="212" w:right="0"/>
        <w:jc w:val="both"/>
        <w:rPr>
          <w:b w:val="0"/>
          <w:bCs w:val="0"/>
        </w:rPr>
      </w:pPr>
      <w:r>
        <w:rPr>
          <w:rFonts w:ascii="Times New Roman" w:hAnsi="Times New Roman" w:cs="Times New Roman" w:eastAsia="Times New Roman" w:hint="default"/>
        </w:rPr>
        <w:t>3</w:t>
      </w:r>
      <w:r>
        <w:rPr/>
        <w:t>、共同</w:t>
      </w:r>
      <w:bookmarkStart w:name="3、共同对外投资的关联交易" w:id="81"/>
      <w:bookmarkEnd w:id="81"/>
      <w:r>
        <w:rPr/>
        <w:t>对外</w:t>
      </w:r>
      <w:r>
        <w:rPr/>
        <w:t>投资的关联交易</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left="212"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23"/>
          <w:szCs w:val="23"/>
        </w:rPr>
      </w:pPr>
    </w:p>
    <w:p>
      <w:pPr>
        <w:pStyle w:val="Heading5"/>
        <w:spacing w:line="240" w:lineRule="auto"/>
        <w:ind w:left="212"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left="212"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bookmarkStart w:name="4、关联债权债务往来" w:id="82"/>
      <w:bookmarkEnd w:id="82"/>
      <w:r>
        <w:rPr/>
        <w:t>是否存在非经营性关联债权债务往来</w:t>
      </w:r>
    </w:p>
    <w:p>
      <w:pPr>
        <w:pStyle w:val="BodyText"/>
        <w:spacing w:line="340" w:lineRule="auto" w:before="43"/>
        <w:ind w:left="212"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13"/>
        <w:rPr>
          <w:rFonts w:ascii="宋体" w:hAnsi="宋体" w:cs="宋体" w:eastAsia="宋体" w:hint="default"/>
          <w:sz w:val="22"/>
          <w:szCs w:val="22"/>
        </w:rPr>
      </w:pPr>
    </w:p>
    <w:p>
      <w:pPr>
        <w:pStyle w:val="Heading5"/>
        <w:spacing w:line="240" w:lineRule="auto"/>
        <w:ind w:left="212"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21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430" w:lineRule="exact" w:before="51"/>
        <w:ind w:left="572" w:right="104" w:hanging="360"/>
        <w:jc w:val="left"/>
      </w:pPr>
      <w:r>
        <w:rPr/>
        <w:t>（</w:t>
      </w:r>
      <w:r>
        <w:rPr>
          <w:rFonts w:ascii="宋体" w:hAnsi="宋体" w:cs="宋体" w:eastAsia="宋体" w:hint="default"/>
        </w:rPr>
        <w:t>1</w:t>
      </w:r>
      <w:r>
        <w:rPr/>
        <w:t>）与无线电集团</w:t>
      </w:r>
      <w:bookmarkStart w:name="5、其他重大关联交易" w:id="83"/>
      <w:bookmarkEnd w:id="83"/>
      <w:r>
        <w:rPr/>
        <w:t>和广电物业发生的场地租赁和物业管理费</w:t>
      </w:r>
      <w:r>
        <w:rPr/>
        <w:t> </w:t>
      </w:r>
      <w:r>
        <w:rPr>
          <w:spacing w:val="-2"/>
        </w:rPr>
        <w:t>报告期，公司全资子公司广州银通、全资孙公司深圳银通、控股子公司广州穗通部分生产经营用房继续向公司控股股东</w:t>
      </w:r>
    </w:p>
    <w:p>
      <w:pPr>
        <w:pStyle w:val="BodyText"/>
        <w:spacing w:line="309" w:lineRule="auto" w:before="15"/>
        <w:ind w:left="212" w:right="193"/>
        <w:jc w:val="both"/>
      </w:pPr>
      <w:r>
        <w:rPr>
          <w:spacing w:val="-2"/>
        </w:rPr>
        <w:t>无线电集团租用，同时将从无线电集团租赁而来的场地物业继续委托无线电集团参股公司广电物业进行管理；公司将位于广</w:t>
      </w:r>
      <w:r>
        <w:rPr>
          <w:spacing w:val="-64"/>
        </w:rPr>
        <w:t> </w:t>
      </w:r>
      <w:r>
        <w:rPr>
          <w:spacing w:val="-64"/>
        </w:rPr>
      </w:r>
      <w:r>
        <w:rPr/>
        <w:t>州市萝岗区科学城科林路</w:t>
      </w:r>
      <w:r>
        <w:rPr>
          <w:rFonts w:ascii="Times New Roman" w:hAnsi="Times New Roman" w:cs="Times New Roman" w:eastAsia="Times New Roman" w:hint="default"/>
        </w:rPr>
        <w:t>9</w:t>
      </w:r>
      <w:r>
        <w:rPr/>
        <w:t>号广电运通产业园的物业委托给广电物业进行管理；公司部分员工宿舍向无线电集团的参股公司</w:t>
      </w:r>
      <w:r>
        <w:rPr>
          <w:spacing w:val="-84"/>
        </w:rPr>
        <w:t> </w:t>
      </w:r>
      <w:r>
        <w:rPr>
          <w:spacing w:val="-84"/>
        </w:rPr>
      </w:r>
      <w:r>
        <w:rPr/>
        <w:t>海格通信租用。</w:t>
      </w:r>
    </w:p>
    <w:p>
      <w:pPr>
        <w:spacing w:line="240" w:lineRule="auto" w:before="12"/>
        <w:rPr>
          <w:rFonts w:ascii="宋体" w:hAnsi="宋体" w:cs="宋体" w:eastAsia="宋体" w:hint="default"/>
          <w:sz w:val="16"/>
          <w:szCs w:val="16"/>
        </w:rPr>
      </w:pPr>
    </w:p>
    <w:p>
      <w:pPr>
        <w:pStyle w:val="BodyText"/>
        <w:spacing w:line="240" w:lineRule="auto"/>
        <w:ind w:left="572" w:right="240"/>
        <w:jc w:val="left"/>
      </w:pPr>
      <w:r>
        <w:rPr/>
        <w:t>报告期关联租赁情况：</w:t>
      </w:r>
    </w:p>
    <w:p>
      <w:pPr>
        <w:pStyle w:val="BodyText"/>
        <w:spacing w:line="240" w:lineRule="auto" w:before="153"/>
        <w:ind w:left="0" w:right="464"/>
        <w:jc w:val="right"/>
      </w:pPr>
      <w:r>
        <w:rPr/>
        <w:t>单位：元</w:t>
      </w:r>
    </w:p>
    <w:p>
      <w:pPr>
        <w:spacing w:line="240" w:lineRule="auto" w:before="5"/>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60"/>
        <w:gridCol w:w="1560"/>
        <w:gridCol w:w="1558"/>
        <w:gridCol w:w="1702"/>
        <w:gridCol w:w="1702"/>
        <w:gridCol w:w="1558"/>
      </w:tblGrid>
      <w:tr>
        <w:trPr>
          <w:trHeight w:val="754" w:hRule="exact"/>
        </w:trPr>
        <w:tc>
          <w:tcPr>
            <w:tcW w:w="15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60" w:lineRule="auto" w:before="49"/>
              <w:ind w:left="595" w:right="504" w:hanging="92"/>
              <w:jc w:val="left"/>
              <w:rPr>
                <w:rFonts w:ascii="宋体" w:hAnsi="宋体" w:cs="宋体" w:eastAsia="宋体" w:hint="default"/>
                <w:sz w:val="18"/>
                <w:szCs w:val="18"/>
              </w:rPr>
            </w:pPr>
            <w:r>
              <w:rPr>
                <w:rFonts w:ascii="宋体" w:hAnsi="宋体" w:cs="宋体" w:eastAsia="宋体" w:hint="default"/>
                <w:sz w:val="18"/>
                <w:szCs w:val="18"/>
              </w:rPr>
              <w:t>出租方 名称</w:t>
            </w:r>
          </w:p>
        </w:tc>
        <w:tc>
          <w:tcPr>
            <w:tcW w:w="15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60" w:lineRule="auto" w:before="49"/>
              <w:ind w:left="595" w:right="504" w:hanging="92"/>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155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60" w:lineRule="auto" w:before="49"/>
              <w:ind w:left="595" w:right="410" w:hanging="180"/>
              <w:jc w:val="left"/>
              <w:rPr>
                <w:rFonts w:ascii="宋体" w:hAnsi="宋体" w:cs="宋体" w:eastAsia="宋体" w:hint="default"/>
                <w:sz w:val="18"/>
                <w:szCs w:val="18"/>
              </w:rPr>
            </w:pPr>
            <w:r>
              <w:rPr>
                <w:rFonts w:ascii="宋体" w:hAnsi="宋体" w:cs="宋体" w:eastAsia="宋体" w:hint="default"/>
                <w:sz w:val="18"/>
                <w:szCs w:val="18"/>
              </w:rPr>
              <w:t>租赁资产 种类</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60" w:lineRule="auto" w:before="49"/>
              <w:ind w:left="487" w:right="482" w:firstLine="91"/>
              <w:jc w:val="left"/>
              <w:rPr>
                <w:rFonts w:ascii="宋体" w:hAnsi="宋体" w:cs="宋体" w:eastAsia="宋体" w:hint="default"/>
                <w:sz w:val="18"/>
                <w:szCs w:val="18"/>
              </w:rPr>
            </w:pPr>
            <w:r>
              <w:rPr>
                <w:rFonts w:ascii="宋体" w:hAnsi="宋体" w:cs="宋体" w:eastAsia="宋体" w:hint="default"/>
                <w:sz w:val="18"/>
                <w:szCs w:val="18"/>
              </w:rPr>
              <w:t>租赁费 定价依据</w:t>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60" w:lineRule="auto" w:before="49"/>
              <w:ind w:left="576" w:right="395" w:hanging="180"/>
              <w:jc w:val="left"/>
              <w:rPr>
                <w:rFonts w:ascii="宋体" w:hAnsi="宋体" w:cs="宋体" w:eastAsia="宋体" w:hint="default"/>
                <w:sz w:val="18"/>
                <w:szCs w:val="18"/>
              </w:rPr>
            </w:pPr>
            <w:r>
              <w:rPr>
                <w:rFonts w:ascii="宋体" w:hAnsi="宋体" w:cs="宋体" w:eastAsia="宋体" w:hint="default"/>
                <w:sz w:val="18"/>
                <w:szCs w:val="18"/>
              </w:rPr>
              <w:t>本期确认的 租赁费</w:t>
            </w:r>
          </w:p>
        </w:tc>
        <w:tc>
          <w:tcPr>
            <w:tcW w:w="155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49"/>
              <w:ind w:left="503" w:right="143" w:hanging="360"/>
              <w:jc w:val="left"/>
              <w:rPr>
                <w:rFonts w:ascii="宋体" w:hAnsi="宋体" w:cs="宋体" w:eastAsia="宋体" w:hint="default"/>
                <w:sz w:val="18"/>
                <w:szCs w:val="18"/>
              </w:rPr>
            </w:pPr>
            <w:r>
              <w:rPr>
                <w:rFonts w:ascii="宋体" w:hAnsi="宋体" w:cs="宋体" w:eastAsia="宋体" w:hint="default"/>
                <w:sz w:val="18"/>
                <w:szCs w:val="18"/>
              </w:rPr>
              <w:t>上年同期确认的 租赁费</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深圳银通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办公大楼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929,894.71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891,648.16</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广州银通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办公大楼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1,280,118.73</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1,036,280.68</w:t>
            </w:r>
            <w:r>
              <w:rPr>
                <w:rFonts w:ascii="Times New Roman"/>
                <w:sz w:val="18"/>
              </w:rPr>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无线电集团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广州穗通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办公大楼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2,373,095.14</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1,474,542.20</w:t>
            </w:r>
            <w:r>
              <w:rPr>
                <w:rFonts w:ascii="Times New Roman"/>
                <w:sz w:val="18"/>
              </w:rPr>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海格通信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广电运通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员工宿舍楼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1,089,874.50</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1,029,600.00</w:t>
            </w:r>
            <w:r>
              <w:rPr>
                <w:rFonts w:ascii="Times New Roman"/>
                <w:sz w:val="18"/>
              </w:rPr>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5,672,983.08</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4,432,071.04</w:t>
            </w:r>
            <w:r>
              <w:rPr>
                <w:rFonts w:ascii="Times New Roman"/>
                <w:sz w:val="18"/>
              </w:rPr>
            </w:r>
          </w:p>
        </w:tc>
      </w:tr>
    </w:tbl>
    <w:p>
      <w:pPr>
        <w:spacing w:line="240" w:lineRule="auto" w:before="5"/>
        <w:rPr>
          <w:rFonts w:ascii="宋体" w:hAnsi="宋体" w:cs="宋体" w:eastAsia="宋体" w:hint="default"/>
          <w:sz w:val="17"/>
          <w:szCs w:val="17"/>
        </w:rPr>
      </w:pPr>
    </w:p>
    <w:p>
      <w:pPr>
        <w:pStyle w:val="BodyText"/>
        <w:spacing w:line="240" w:lineRule="auto" w:before="44"/>
        <w:ind w:left="572" w:right="240"/>
        <w:jc w:val="left"/>
      </w:pPr>
      <w:r>
        <w:rPr/>
        <w:t>报告期关联物业管理费情况：</w:t>
      </w:r>
    </w:p>
    <w:p>
      <w:pPr>
        <w:pStyle w:val="BodyText"/>
        <w:spacing w:line="240" w:lineRule="auto" w:before="76"/>
        <w:ind w:left="0" w:right="373"/>
        <w:jc w:val="right"/>
      </w:pPr>
      <w:r>
        <w:rPr/>
        <w:t>单位：元</w:t>
      </w:r>
    </w:p>
    <w:p>
      <w:pPr>
        <w:spacing w:line="240" w:lineRule="auto" w:before="4"/>
        <w:rPr>
          <w:rFonts w:ascii="宋体" w:hAnsi="宋体" w:cs="宋体" w:eastAsia="宋体" w:hint="default"/>
          <w:sz w:val="8"/>
          <w:szCs w:val="8"/>
        </w:rPr>
      </w:pPr>
    </w:p>
    <w:tbl>
      <w:tblPr>
        <w:tblW w:w="0" w:type="auto"/>
        <w:jc w:val="left"/>
        <w:tblInd w:w="265" w:type="dxa"/>
        <w:tblLayout w:type="fixed"/>
        <w:tblCellMar>
          <w:top w:w="0" w:type="dxa"/>
          <w:left w:w="0" w:type="dxa"/>
          <w:bottom w:w="0" w:type="dxa"/>
          <w:right w:w="0" w:type="dxa"/>
        </w:tblCellMar>
        <w:tblLook w:val="01E0"/>
      </w:tblPr>
      <w:tblGrid>
        <w:gridCol w:w="3744"/>
        <w:gridCol w:w="1795"/>
        <w:gridCol w:w="1994"/>
        <w:gridCol w:w="1994"/>
      </w:tblGrid>
      <w:tr>
        <w:trPr>
          <w:trHeight w:val="444" w:hRule="exact"/>
        </w:trPr>
        <w:tc>
          <w:tcPr>
            <w:tcW w:w="3744" w:type="dxa"/>
            <w:tcBorders>
              <w:top w:val="single" w:sz="2" w:space="0" w:color="000000"/>
              <w:left w:val="single" w:sz="2" w:space="0" w:color="000000"/>
              <w:bottom w:val="single" w:sz="2" w:space="0" w:color="000000"/>
              <w:right w:val="single" w:sz="2" w:space="0" w:color="000000"/>
            </w:tcBorders>
            <w:shd w:val="clear" w:color="auto" w:fill="D4D4D4"/>
          </w:tcPr>
          <w:p>
            <w:pPr>
              <w:pStyle w:val="TableParagraph"/>
              <w:spacing w:line="240" w:lineRule="auto" w:before="135"/>
              <w:ind w:left="2" w:right="0"/>
              <w:jc w:val="center"/>
              <w:rPr>
                <w:rFonts w:ascii="宋体" w:hAnsi="宋体" w:cs="宋体" w:eastAsia="宋体" w:hint="default"/>
                <w:sz w:val="18"/>
                <w:szCs w:val="18"/>
              </w:rPr>
            </w:pPr>
            <w:r>
              <w:rPr>
                <w:rFonts w:ascii="宋体" w:hAnsi="宋体" w:cs="宋体" w:eastAsia="宋体" w:hint="default"/>
                <w:sz w:val="18"/>
                <w:szCs w:val="18"/>
              </w:rPr>
              <w:t>租赁方</w:t>
            </w:r>
          </w:p>
        </w:tc>
        <w:tc>
          <w:tcPr>
            <w:tcW w:w="1795" w:type="dxa"/>
            <w:tcBorders>
              <w:top w:val="single" w:sz="2" w:space="0" w:color="000000"/>
              <w:left w:val="single" w:sz="2" w:space="0" w:color="000000"/>
              <w:bottom w:val="single" w:sz="2" w:space="0" w:color="000000"/>
              <w:right w:val="single" w:sz="2" w:space="0" w:color="000000"/>
            </w:tcBorders>
            <w:shd w:val="clear" w:color="auto" w:fill="D4D4D4"/>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1994" w:type="dxa"/>
            <w:tcBorders>
              <w:top w:val="single" w:sz="2" w:space="0" w:color="000000"/>
              <w:left w:val="single" w:sz="2" w:space="0" w:color="000000"/>
              <w:bottom w:val="single" w:sz="2" w:space="0" w:color="000000"/>
              <w:right w:val="single" w:sz="2" w:space="0" w:color="000000"/>
            </w:tcBorders>
            <w:shd w:val="clear" w:color="auto" w:fill="D4D4D4"/>
          </w:tcPr>
          <w:p>
            <w:pPr>
              <w:pStyle w:val="TableParagraph"/>
              <w:spacing w:line="240" w:lineRule="auto" w:before="135"/>
              <w:ind w:left="63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94" w:type="dxa"/>
            <w:tcBorders>
              <w:top w:val="single" w:sz="2" w:space="0" w:color="000000"/>
              <w:left w:val="single" w:sz="2" w:space="0" w:color="000000"/>
              <w:bottom w:val="single" w:sz="2" w:space="0" w:color="000000"/>
              <w:right w:val="single" w:sz="2" w:space="0" w:color="000000"/>
            </w:tcBorders>
            <w:shd w:val="clear" w:color="auto" w:fill="D4D4D4"/>
          </w:tcPr>
          <w:p>
            <w:pPr>
              <w:pStyle w:val="TableParagraph"/>
              <w:spacing w:line="240" w:lineRule="auto" w:before="135"/>
              <w:ind w:left="63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4" w:hRule="exact"/>
        </w:trPr>
        <w:tc>
          <w:tcPr>
            <w:tcW w:w="3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广电物业</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7,609,281.72</w:t>
            </w:r>
            <w:r>
              <w:rPr>
                <w:rFonts w:ascii="Times New Roman"/>
                <w:sz w:val="18"/>
              </w:rPr>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4,396,864.03</w:t>
            </w:r>
            <w:r>
              <w:rPr>
                <w:rFonts w:ascii="Times New Roman"/>
                <w:sz w:val="18"/>
              </w:rPr>
            </w:r>
          </w:p>
        </w:tc>
      </w:tr>
      <w:tr>
        <w:trPr>
          <w:trHeight w:val="398" w:hRule="exact"/>
        </w:trPr>
        <w:tc>
          <w:tcPr>
            <w:tcW w:w="37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7,609,281.72</w:t>
            </w:r>
            <w:r>
              <w:rPr>
                <w:rFonts w:ascii="Times New Roman"/>
                <w:sz w:val="18"/>
              </w:rPr>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4,396,864.03</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316" w:lineRule="auto" w:before="44"/>
        <w:ind w:left="212" w:right="104" w:firstLine="360"/>
        <w:jc w:val="left"/>
      </w:pPr>
      <w:r>
        <w:rPr>
          <w:spacing w:val="-4"/>
        </w:rPr>
        <w:t>上述关联交易的定价是根据租赁房屋所在地的市场价格，双方在自愿、平等、协商一致的基础上确定的，价格公允合理，</w:t>
      </w:r>
      <w:r>
        <w:rPr/>
        <w:t> </w:t>
      </w:r>
      <w:r>
        <w:rPr>
          <w:spacing w:val="-2"/>
        </w:rPr>
        <w:t>没有损害非关联方股东的利益，有利于公司的正常生产、办公和长期稳定发展。对于上述关联交易，公司严格履行必要的决</w:t>
      </w:r>
    </w:p>
    <w:p>
      <w:pPr>
        <w:spacing w:after="0" w:line="316" w:lineRule="auto"/>
        <w:jc w:val="left"/>
        <w:sectPr>
          <w:pgSz w:w="11910" w:h="16840"/>
          <w:pgMar w:header="877" w:footer="982" w:top="1100" w:bottom="1180" w:left="92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both"/>
      </w:pPr>
      <w:bookmarkStart w:name="十七、重大合同及其履行情况" w:id="84"/>
      <w:bookmarkEnd w:id="84"/>
      <w:r>
        <w:rPr/>
      </w:r>
      <w:bookmarkStart w:name="1、托管、承包、租赁事项情况" w:id="85"/>
      <w:bookmarkEnd w:id="85"/>
      <w:r>
        <w:rPr/>
      </w:r>
      <w:bookmarkStart w:name="（1）托管情况" w:id="86"/>
      <w:bookmarkEnd w:id="86"/>
      <w:r>
        <w:rPr/>
      </w:r>
      <w:bookmarkStart w:name="（2）承包情况" w:id="87"/>
      <w:bookmarkEnd w:id="87"/>
      <w:r>
        <w:rPr/>
      </w:r>
      <w:r>
        <w:rPr/>
        <w:t>策程序和审批手续，符合《深圳证券交易所股票上市规则》、《公司章程》和《关联交易管理制度》的有关规定。</w:t>
      </w:r>
    </w:p>
    <w:p>
      <w:pPr>
        <w:spacing w:line="240" w:lineRule="auto" w:before="0"/>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2</w:t>
      </w:r>
      <w:r>
        <w:rPr/>
        <w:t>）与广州无线电集团有限公司签署附条件生效的股权转让协议暨关联交易事项</w:t>
      </w:r>
    </w:p>
    <w:p>
      <w:pPr>
        <w:spacing w:line="240" w:lineRule="auto" w:before="13"/>
        <w:rPr>
          <w:rFonts w:ascii="宋体" w:hAnsi="宋体" w:cs="宋体" w:eastAsia="宋体" w:hint="default"/>
          <w:sz w:val="13"/>
          <w:szCs w:val="13"/>
        </w:rPr>
      </w:pPr>
    </w:p>
    <w:p>
      <w:pPr>
        <w:pStyle w:val="BodyText"/>
        <w:spacing w:line="307" w:lineRule="auto"/>
        <w:ind w:right="150"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日，公司第四届董事会第六次（临时）会议审议通过了《关于与广州无线电集团有限公司签署附条件生效的</w:t>
      </w:r>
      <w:r>
        <w:rPr/>
        <w:t> </w:t>
      </w:r>
      <w:r>
        <w:rPr>
          <w:spacing w:val="-2"/>
        </w:rPr>
        <w:t>股权转让协议的议案》，为进一步理顺控股股东无线电集团与公司的股权关系，董事会同意无线电集团在本次广电运通非公</w:t>
      </w:r>
      <w:r>
        <w:rPr>
          <w:spacing w:val="-66"/>
        </w:rPr>
        <w:t> </w:t>
      </w:r>
      <w:r>
        <w:rPr>
          <w:spacing w:val="-66"/>
        </w:rPr>
      </w:r>
      <w:r>
        <w:rPr/>
        <w:t>开发行</w:t>
      </w:r>
      <w:r>
        <w:rPr>
          <w:rFonts w:ascii="Times New Roman" w:hAnsi="Times New Roman" w:cs="Times New Roman" w:eastAsia="Times New Roman" w:hint="default"/>
        </w:rPr>
        <w:t>A</w:t>
      </w:r>
      <w:r>
        <w:rPr/>
        <w:t>股股票完成且广电运通国有持股比例达到</w:t>
      </w:r>
      <w:r>
        <w:rPr>
          <w:rFonts w:ascii="Times New Roman" w:hAnsi="Times New Roman" w:cs="Times New Roman" w:eastAsia="Times New Roman" w:hint="default"/>
        </w:rPr>
        <w:t>51%</w:t>
      </w:r>
      <w:r>
        <w:rPr/>
        <w:t>以上的条件下，将所持广州安保投资公司</w:t>
      </w:r>
      <w:r>
        <w:rPr>
          <w:rFonts w:ascii="Times New Roman" w:hAnsi="Times New Roman" w:cs="Times New Roman" w:eastAsia="Times New Roman" w:hint="default"/>
        </w:rPr>
        <w:t>40%</w:t>
      </w:r>
      <w:r>
        <w:rPr/>
        <w:t>的股权协议转让给广电</w:t>
      </w:r>
      <w:r>
        <w:rPr>
          <w:spacing w:val="-72"/>
        </w:rPr>
        <w:t> </w:t>
      </w:r>
      <w:r>
        <w:rPr>
          <w:spacing w:val="-72"/>
        </w:rPr>
      </w:r>
      <w:r>
        <w:rPr>
          <w:spacing w:val="-2"/>
        </w:rPr>
        <w:t>运通。以经广东中联羊城资产评估有限公司评估的广州安保投资公司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日的资产评估结果作为定价依据，即广州</w:t>
      </w:r>
      <w:r>
        <w:rPr>
          <w:spacing w:val="-60"/>
        </w:rPr>
        <w:t> </w:t>
      </w:r>
      <w:r>
        <w:rPr>
          <w:spacing w:val="-60"/>
        </w:rPr>
      </w:r>
      <w:r>
        <w:rPr/>
        <w:t>安保投资公司</w:t>
      </w:r>
      <w:r>
        <w:rPr>
          <w:rFonts w:ascii="Times New Roman" w:hAnsi="Times New Roman" w:cs="Times New Roman" w:eastAsia="Times New Roman" w:hint="default"/>
        </w:rPr>
        <w:t>40%</w:t>
      </w:r>
      <w:r>
        <w:rPr/>
        <w:t>股权的评估值人民币</w:t>
      </w:r>
      <w:r>
        <w:rPr>
          <w:rFonts w:ascii="Times New Roman" w:hAnsi="Times New Roman" w:cs="Times New Roman" w:eastAsia="Times New Roman" w:hint="default"/>
        </w:rPr>
        <w:t>2,525.41</w:t>
      </w:r>
      <w:r>
        <w:rPr/>
        <w:t>万元为定价依据，评估基准日前已有押运项目自评估基准日至股权交割日期</w:t>
      </w:r>
      <w:r>
        <w:rPr>
          <w:spacing w:val="-63"/>
        </w:rPr>
        <w:t> </w:t>
      </w:r>
      <w:r>
        <w:rPr>
          <w:spacing w:val="-63"/>
        </w:rPr>
      </w:r>
      <w:r>
        <w:rPr>
          <w:spacing w:val="-2"/>
        </w:rPr>
        <w:t>间产生的损益由原股东按照股权比例享有，经双方协商，最终确定标的股权的转让价款。（目前作为交易对价基准的评估价</w:t>
      </w:r>
      <w:r>
        <w:rPr>
          <w:spacing w:val="-63"/>
        </w:rPr>
        <w:t> </w:t>
      </w:r>
      <w:r>
        <w:rPr>
          <w:spacing w:val="-63"/>
        </w:rPr>
      </w:r>
      <w:r>
        <w:rPr/>
        <w:t>格尚未经广州市国资委评估备案，最终交易价格应以经广州市国资委评估备案的价格为准）</w:t>
      </w:r>
    </w:p>
    <w:p>
      <w:pPr>
        <w:pStyle w:val="BodyText"/>
        <w:spacing w:line="316" w:lineRule="auto" w:before="146"/>
        <w:ind w:right="153" w:firstLine="360"/>
        <w:jc w:val="both"/>
      </w:pPr>
      <w:r>
        <w:rPr>
          <w:spacing w:val="-2"/>
        </w:rPr>
        <w:t>自评估基准日至股权交割日期间广电运通利用广州安保投资公司作为平台继续开展押运公司收购工作，新收购押运项目</w:t>
      </w:r>
      <w:r>
        <w:rPr/>
        <w:t> 所需的资金由广电运通负责提供，新收购押运项目产生的所有损益、风险、权利、义务等由广电运通自行承担和享有。</w:t>
      </w:r>
    </w:p>
    <w:p>
      <w:pPr>
        <w:pStyle w:val="BodyText"/>
        <w:spacing w:line="240" w:lineRule="auto" w:before="139"/>
        <w:ind w:left="512" w:right="0"/>
        <w:jc w:val="left"/>
      </w:pPr>
      <w:r>
        <w:rPr/>
        <w:t>目前，公司非公开发行股票事项业已完成，公司正在积极办理本次股权转让相关事宜。</w:t>
      </w:r>
    </w:p>
    <w:p>
      <w:pPr>
        <w:pStyle w:val="BodyText"/>
        <w:spacing w:line="430" w:lineRule="atLeast" w:before="15"/>
        <w:ind w:left="512" w:right="0" w:hanging="360"/>
        <w:jc w:val="left"/>
      </w:pPr>
      <w:r>
        <w:rPr/>
        <w:t>（</w:t>
      </w:r>
      <w:r>
        <w:rPr>
          <w:rFonts w:ascii="Times New Roman" w:hAnsi="Times New Roman" w:cs="Times New Roman" w:eastAsia="Times New Roman" w:hint="default"/>
        </w:rPr>
        <w:t>3</w:t>
      </w:r>
      <w:r>
        <w:rPr/>
        <w:t>）为控股孙公司广州安保投资公司提供财务资助事项 </w:t>
      </w:r>
      <w:r>
        <w:rPr>
          <w:spacing w:val="-2"/>
        </w:rPr>
        <w:t>公司第四届董事会第六次（临时）会议、</w:t>
      </w:r>
      <w:r>
        <w:rPr>
          <w:rFonts w:ascii="Times New Roman" w:hAnsi="Times New Roman" w:cs="Times New Roman" w:eastAsia="Times New Roman" w:hint="default"/>
          <w:spacing w:val="-2"/>
        </w:rPr>
        <w:t>2015</w:t>
      </w:r>
      <w:r>
        <w:rPr>
          <w:spacing w:val="-2"/>
        </w:rPr>
        <w:t>年第二次临时股东大会审议通过了《关于为控股孙公司提供财务资助的议</w:t>
      </w:r>
    </w:p>
    <w:p>
      <w:pPr>
        <w:pStyle w:val="BodyText"/>
        <w:spacing w:line="300" w:lineRule="auto" w:before="62"/>
        <w:ind w:right="154"/>
        <w:jc w:val="both"/>
      </w:pPr>
      <w:r>
        <w:rPr/>
        <w:t>案》，同意公司在不影响正常生产经营的情况下，以不超过</w:t>
      </w:r>
      <w:r>
        <w:rPr>
          <w:rFonts w:ascii="Times New Roman" w:hAnsi="Times New Roman" w:cs="Times New Roman" w:eastAsia="Times New Roman" w:hint="default"/>
        </w:rPr>
        <w:t>150,000</w:t>
      </w:r>
      <w:r>
        <w:rPr/>
        <w:t>万元的资金向控股孙公司广州安保投资公司提供财务资</w:t>
      </w:r>
      <w:r>
        <w:rPr>
          <w:spacing w:val="-47"/>
        </w:rPr>
        <w:t> </w:t>
      </w:r>
      <w:r>
        <w:rPr>
          <w:spacing w:val="-47"/>
        </w:rPr>
      </w:r>
      <w:r>
        <w:rPr>
          <w:spacing w:val="-2"/>
        </w:rPr>
        <w:t>助，用于开展投资全国性的武装押运公司工作。截至报告期末，公司已向广州安保投资公司提供财务资助</w:t>
      </w:r>
      <w:r>
        <w:rPr>
          <w:rFonts w:ascii="Times New Roman" w:hAnsi="Times New Roman" w:cs="Times New Roman" w:eastAsia="Times New Roman" w:hint="default"/>
          <w:spacing w:val="-2"/>
        </w:rPr>
        <w:t>24,960.00</w:t>
      </w:r>
      <w:r>
        <w:rPr>
          <w:spacing w:val="-2"/>
        </w:rPr>
        <w:t>万元</w:t>
      </w:r>
      <w:r>
        <w:rPr>
          <w:spacing w:val="-60"/>
        </w:rPr>
        <w:t> </w:t>
      </w:r>
      <w:r>
        <w:rPr>
          <w:spacing w:val="-22"/>
        </w:rPr>
        <w:t>，应</w:t>
      </w:r>
      <w:r>
        <w:rPr>
          <w:spacing w:val="-71"/>
        </w:rPr>
        <w:t> </w:t>
      </w:r>
      <w:r>
        <w:rPr>
          <w:spacing w:val="-71"/>
        </w:rPr>
      </w:r>
      <w:r>
        <w:rPr/>
        <w:t>收利息</w:t>
      </w:r>
      <w:r>
        <w:rPr>
          <w:rFonts w:ascii="Times New Roman" w:hAnsi="Times New Roman" w:cs="Times New Roman" w:eastAsia="Times New Roman" w:hint="default"/>
        </w:rPr>
        <w:t>517.42</w:t>
      </w:r>
      <w:r>
        <w:rPr/>
        <w:t>万元。</w:t>
      </w:r>
    </w:p>
    <w:p>
      <w:pPr>
        <w:pStyle w:val="BodyText"/>
        <w:spacing w:line="240" w:lineRule="auto" w:before="133"/>
        <w:ind w:right="0"/>
        <w:jc w:val="both"/>
      </w:pPr>
      <w:r>
        <w:rPr/>
        <w:t>重大关联交易临时报告披露网站相关查询</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1"/>
        <w:gridCol w:w="1997"/>
        <w:gridCol w:w="3461"/>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年度日常关联交易预计公告》</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5"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《广州广电运通金融电子股份有限公司关于与广州 无线电集团有限公司签署附条件生效的股权转让协 议暨关联交易的公告》</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《关于为控股孙公司提供财务资助的公告》</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29"/>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5"/>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after="0" w:line="338"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Heading5"/>
        <w:spacing w:line="240" w:lineRule="auto" w:before="44"/>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right="7434"/>
        <w:jc w:val="left"/>
      </w:pPr>
      <w:r>
        <w:rPr>
          <w:rFonts w:ascii="Times New Roman" w:hAnsi="Times New Roman" w:cs="Times New Roman" w:eastAsia="Times New Roman" w:hint="default"/>
        </w:rPr>
        <w:t>□ </w:t>
      </w:r>
      <w:r>
        <w:rPr/>
        <w:t>适用 </w:t>
      </w:r>
      <w:bookmarkStart w:name="（3）租赁情况" w:id="88"/>
      <w:bookmarkEnd w:id="88"/>
      <w:r>
        <w:rPr/>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53"/>
        <w:jc w:val="right"/>
      </w:pPr>
      <w:bookmarkStart w:name="2、重大担保" w:id="89"/>
      <w:bookmarkEnd w:id="89"/>
      <w:r>
        <w:rPr/>
      </w:r>
      <w:bookmarkStart w:name="（1）担保情况" w:id="90"/>
      <w:bookmarkEnd w:id="90"/>
      <w:r>
        <w:rPr/>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3"/>
        <w:gridCol w:w="916"/>
        <w:gridCol w:w="924"/>
        <w:gridCol w:w="1302"/>
        <w:gridCol w:w="1057"/>
        <w:gridCol w:w="1041"/>
        <w:gridCol w:w="1048"/>
        <w:gridCol w:w="790"/>
        <w:gridCol w:w="783"/>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1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316" w:lineRule="auto" w:before="50"/>
              <w:ind w:left="96"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4"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16" w:type="dxa"/>
            <w:tcBorders>
              <w:top w:val="single" w:sz="4" w:space="0" w:color="000000"/>
              <w:left w:val="single" w:sz="4" w:space="0" w:color="000000"/>
              <w:bottom w:val="single" w:sz="4" w:space="0" w:color="000000"/>
              <w:right w:val="single" w:sz="5" w:space="0" w:color="000000"/>
            </w:tcBorders>
          </w:tcPr>
          <w:p>
            <w:pPr/>
          </w:p>
        </w:tc>
        <w:tc>
          <w:tcPr>
            <w:tcW w:w="924"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4D4D4"/>
          </w:tcPr>
          <w:p>
            <w:pPr/>
          </w:p>
        </w:tc>
        <w:tc>
          <w:tcPr>
            <w:tcW w:w="91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91"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4D4D4"/>
          </w:tcPr>
          <w:p>
            <w:pPr/>
          </w:p>
        </w:tc>
        <w:tc>
          <w:tcPr>
            <w:tcW w:w="13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1" w:type="dxa"/>
            <w:vMerge w:val="restart"/>
            <w:tcBorders>
              <w:top w:val="single" w:sz="4" w:space="0" w:color="000000"/>
              <w:left w:val="single" w:sz="4" w:space="0" w:color="000000"/>
              <w:right w:val="single" w:sz="4" w:space="0" w:color="000000"/>
            </w:tcBorders>
            <w:shd w:val="clear" w:color="auto" w:fill="D4D4D4"/>
          </w:tcPr>
          <w:p>
            <w:pPr/>
          </w:p>
        </w:tc>
        <w:tc>
          <w:tcPr>
            <w:tcW w:w="1048" w:type="dxa"/>
            <w:vMerge w:val="restart"/>
            <w:tcBorders>
              <w:top w:val="single" w:sz="4" w:space="0" w:color="000000"/>
              <w:left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nil" w:sz="6" w:space="0" w:color="auto"/>
              <w:right w:val="single" w:sz="4" w:space="0" w:color="000000"/>
            </w:tcBorders>
            <w:shd w:val="clear" w:color="auto" w:fill="D4D4D4"/>
          </w:tcPr>
          <w:p>
            <w:pPr/>
          </w:p>
        </w:tc>
        <w:tc>
          <w:tcPr>
            <w:tcW w:w="78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4D4D4"/>
          </w:tcPr>
          <w:p>
            <w:pPr/>
          </w:p>
        </w:tc>
        <w:tc>
          <w:tcPr>
            <w:tcW w:w="916" w:type="dxa"/>
            <w:vMerge/>
            <w:tcBorders>
              <w:left w:val="single" w:sz="4" w:space="0" w:color="000000"/>
              <w:right w:val="single" w:sz="4" w:space="0" w:color="000000"/>
            </w:tcBorders>
            <w:shd w:val="clear" w:color="auto" w:fill="D4D4D4"/>
          </w:tcPr>
          <w:p>
            <w:pPr/>
          </w:p>
        </w:tc>
        <w:tc>
          <w:tcPr>
            <w:tcW w:w="924" w:type="dxa"/>
            <w:vMerge/>
            <w:tcBorders>
              <w:left w:val="single" w:sz="4" w:space="0" w:color="000000"/>
              <w:bottom w:val="nil" w:sz="6" w:space="0" w:color="auto"/>
              <w:right w:val="single" w:sz="4" w:space="0" w:color="000000"/>
            </w:tcBorders>
            <w:shd w:val="clear" w:color="auto" w:fill="D4D4D4"/>
          </w:tcPr>
          <w:p>
            <w:pPr/>
          </w:p>
        </w:tc>
        <w:tc>
          <w:tcPr>
            <w:tcW w:w="13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36" w:right="6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4D4D4"/>
          </w:tcPr>
          <w:p>
            <w:pPr/>
          </w:p>
        </w:tc>
        <w:tc>
          <w:tcPr>
            <w:tcW w:w="1048" w:type="dxa"/>
            <w:vMerge/>
            <w:tcBorders>
              <w:left w:val="single" w:sz="4" w:space="0" w:color="000000"/>
              <w:bottom w:val="nil" w:sz="6" w:space="0" w:color="auto"/>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7"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1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4D4D4"/>
          </w:tcPr>
          <w:p>
            <w:pPr/>
          </w:p>
        </w:tc>
        <w:tc>
          <w:tcPr>
            <w:tcW w:w="9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4D4D4"/>
          </w:tcPr>
          <w:p>
            <w:pPr/>
          </w:p>
        </w:tc>
        <w:tc>
          <w:tcPr>
            <w:tcW w:w="1057" w:type="dxa"/>
            <w:vMerge/>
            <w:tcBorders>
              <w:left w:val="single" w:sz="4" w:space="0" w:color="000000"/>
              <w:right w:val="single" w:sz="4" w:space="0" w:color="000000"/>
            </w:tcBorders>
            <w:shd w:val="clear" w:color="auto" w:fill="D4D4D4"/>
          </w:tcPr>
          <w:p>
            <w:pPr/>
          </w:p>
        </w:tc>
        <w:tc>
          <w:tcPr>
            <w:tcW w:w="104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4D4D4"/>
          </w:tcPr>
          <w:p>
            <w:pPr/>
          </w:p>
        </w:tc>
        <w:tc>
          <w:tcPr>
            <w:tcW w:w="783" w:type="dxa"/>
            <w:vMerge/>
            <w:tcBorders>
              <w:left w:val="single" w:sz="4" w:space="0" w:color="000000"/>
              <w:right w:val="single" w:sz="4" w:space="0" w:color="000000"/>
            </w:tcBorders>
            <w:shd w:val="clear" w:color="auto" w:fill="D4D4D4"/>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4D4D4"/>
          </w:tcPr>
          <w:p>
            <w:pPr/>
          </w:p>
        </w:tc>
        <w:tc>
          <w:tcPr>
            <w:tcW w:w="916" w:type="dxa"/>
            <w:vMerge/>
            <w:tcBorders>
              <w:left w:val="single" w:sz="4" w:space="0" w:color="000000"/>
              <w:right w:val="single" w:sz="4" w:space="0" w:color="000000"/>
            </w:tcBorders>
            <w:shd w:val="clear" w:color="auto" w:fill="D4D4D4"/>
          </w:tcPr>
          <w:p>
            <w:pPr/>
          </w:p>
        </w:tc>
        <w:tc>
          <w:tcPr>
            <w:tcW w:w="924" w:type="dxa"/>
            <w:vMerge w:val="restart"/>
            <w:tcBorders>
              <w:top w:val="nil" w:sz="6" w:space="0" w:color="auto"/>
              <w:left w:val="single" w:sz="4" w:space="0" w:color="000000"/>
              <w:right w:val="single" w:sz="4" w:space="0" w:color="000000"/>
            </w:tcBorders>
            <w:shd w:val="clear" w:color="auto" w:fill="D4D4D4"/>
          </w:tcPr>
          <w:p>
            <w:pPr/>
          </w:p>
        </w:tc>
        <w:tc>
          <w:tcPr>
            <w:tcW w:w="1302" w:type="dxa"/>
            <w:vMerge/>
            <w:tcBorders>
              <w:left w:val="single" w:sz="4" w:space="0" w:color="000000"/>
              <w:bottom w:val="nil" w:sz="6" w:space="0" w:color="auto"/>
              <w:right w:val="single" w:sz="4" w:space="0" w:color="000000"/>
            </w:tcBorders>
            <w:shd w:val="clear" w:color="auto" w:fill="D4D4D4"/>
          </w:tcPr>
          <w:p>
            <w:pPr/>
          </w:p>
        </w:tc>
        <w:tc>
          <w:tcPr>
            <w:tcW w:w="1057" w:type="dxa"/>
            <w:vMerge/>
            <w:tcBorders>
              <w:left w:val="single" w:sz="4" w:space="0" w:color="000000"/>
              <w:bottom w:val="nil" w:sz="6" w:space="0" w:color="auto"/>
              <w:right w:val="single" w:sz="4" w:space="0" w:color="000000"/>
            </w:tcBorders>
            <w:shd w:val="clear" w:color="auto" w:fill="D4D4D4"/>
          </w:tcPr>
          <w:p>
            <w:pPr/>
          </w:p>
        </w:tc>
        <w:tc>
          <w:tcPr>
            <w:tcW w:w="1041" w:type="dxa"/>
            <w:vMerge w:val="restart"/>
            <w:tcBorders>
              <w:top w:val="nil" w:sz="6" w:space="0" w:color="auto"/>
              <w:left w:val="single" w:sz="4" w:space="0" w:color="000000"/>
              <w:right w:val="single" w:sz="4" w:space="0" w:color="000000"/>
            </w:tcBorders>
            <w:shd w:val="clear" w:color="auto" w:fill="D4D4D4"/>
          </w:tcPr>
          <w:p>
            <w:pPr/>
          </w:p>
        </w:tc>
        <w:tc>
          <w:tcPr>
            <w:tcW w:w="1048" w:type="dxa"/>
            <w:vMerge w:val="restart"/>
            <w:tcBorders>
              <w:top w:val="nil" w:sz="6" w:space="0" w:color="auto"/>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783"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4D4D4"/>
          </w:tcPr>
          <w:p>
            <w:pPr/>
          </w:p>
        </w:tc>
        <w:tc>
          <w:tcPr>
            <w:tcW w:w="916" w:type="dxa"/>
            <w:vMerge/>
            <w:tcBorders>
              <w:left w:val="single" w:sz="4" w:space="0" w:color="000000"/>
              <w:bottom w:val="single" w:sz="4" w:space="0" w:color="000000"/>
              <w:right w:val="single" w:sz="4" w:space="0" w:color="000000"/>
            </w:tcBorders>
            <w:shd w:val="clear" w:color="auto" w:fill="D4D4D4"/>
          </w:tcPr>
          <w:p>
            <w:pPr/>
          </w:p>
        </w:tc>
        <w:tc>
          <w:tcPr>
            <w:tcW w:w="924" w:type="dxa"/>
            <w:vMerge/>
            <w:tcBorders>
              <w:left w:val="single" w:sz="4" w:space="0" w:color="000000"/>
              <w:bottom w:val="single" w:sz="4" w:space="0" w:color="000000"/>
              <w:right w:val="single" w:sz="4" w:space="0" w:color="000000"/>
            </w:tcBorders>
            <w:shd w:val="clear" w:color="auto" w:fill="D4D4D4"/>
          </w:tcPr>
          <w:p>
            <w:pPr/>
          </w:p>
        </w:tc>
        <w:tc>
          <w:tcPr>
            <w:tcW w:w="13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1" w:type="dxa"/>
            <w:vMerge/>
            <w:tcBorders>
              <w:left w:val="single" w:sz="4" w:space="0" w:color="000000"/>
              <w:bottom w:val="single" w:sz="4" w:space="0" w:color="000000"/>
              <w:right w:val="single" w:sz="4" w:space="0" w:color="000000"/>
            </w:tcBorders>
            <w:shd w:val="clear" w:color="auto" w:fill="D4D4D4"/>
          </w:tcPr>
          <w:p>
            <w:pPr/>
          </w:p>
        </w:tc>
        <w:tc>
          <w:tcPr>
            <w:tcW w:w="1048"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000000"/>
            </w:tcBorders>
            <w:shd w:val="clear" w:color="auto" w:fill="D4D4D4"/>
          </w:tcPr>
          <w:p>
            <w:pPr/>
          </w:p>
        </w:tc>
        <w:tc>
          <w:tcPr>
            <w:tcW w:w="78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5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运通国际</w:t>
            </w:r>
          </w:p>
        </w:tc>
        <w:tc>
          <w:tcPr>
            <w:tcW w:w="91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0"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2014-3-29</w:t>
            </w:r>
            <w:r>
              <w:rPr>
                <w:rFonts w:ascii="宋体" w:hAnsi="宋体" w:cs="宋体" w:eastAsia="宋体" w:hint="default"/>
                <w:sz w:val="18"/>
                <w:szCs w:val="18"/>
              </w:rPr>
              <w:t>、</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2014-4-23</w:t>
            </w:r>
          </w:p>
        </w:tc>
        <w:tc>
          <w:tcPr>
            <w:tcW w:w="92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01"/>
              <w:ind w:left="526"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40" w:right="149"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3" w:type="dxa"/>
            <w:vMerge w:val="restart"/>
            <w:tcBorders>
              <w:top w:val="single" w:sz="4" w:space="0" w:color="000000"/>
              <w:left w:val="single" w:sz="4" w:space="0" w:color="000000"/>
              <w:right w:val="single" w:sz="4" w:space="0" w:color="000000"/>
            </w:tcBorders>
            <w:shd w:val="clear" w:color="auto" w:fill="D4D4D4"/>
          </w:tcPr>
          <w:p>
            <w:pPr/>
          </w:p>
        </w:tc>
        <w:tc>
          <w:tcPr>
            <w:tcW w:w="91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8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4D4D4"/>
          </w:tcPr>
          <w:p>
            <w:pPr/>
          </w:p>
        </w:tc>
        <w:tc>
          <w:tcPr>
            <w:tcW w:w="13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41" w:type="dxa"/>
            <w:vMerge w:val="restart"/>
            <w:tcBorders>
              <w:top w:val="single" w:sz="4" w:space="0" w:color="000000"/>
              <w:left w:val="single" w:sz="4" w:space="0" w:color="000000"/>
              <w:right w:val="single" w:sz="4" w:space="0" w:color="000000"/>
            </w:tcBorders>
            <w:shd w:val="clear" w:color="auto" w:fill="D4D4D4"/>
          </w:tcPr>
          <w:p>
            <w:pPr/>
          </w:p>
        </w:tc>
        <w:tc>
          <w:tcPr>
            <w:tcW w:w="1048" w:type="dxa"/>
            <w:vMerge w:val="restart"/>
            <w:tcBorders>
              <w:top w:val="single" w:sz="4" w:space="0" w:color="000000"/>
              <w:left w:val="single" w:sz="4" w:space="0" w:color="000000"/>
              <w:right w:val="single" w:sz="4" w:space="0" w:color="000000"/>
            </w:tcBorders>
            <w:shd w:val="clear" w:color="auto" w:fill="D4D4D4"/>
          </w:tcPr>
          <w:p>
            <w:pPr/>
          </w:p>
        </w:tc>
        <w:tc>
          <w:tcPr>
            <w:tcW w:w="790" w:type="dxa"/>
            <w:tcBorders>
              <w:top w:val="single" w:sz="4" w:space="0" w:color="000000"/>
              <w:left w:val="single" w:sz="4" w:space="0" w:color="000000"/>
              <w:bottom w:val="nil" w:sz="6" w:space="0" w:color="auto"/>
              <w:right w:val="single" w:sz="4" w:space="0" w:color="000000"/>
            </w:tcBorders>
            <w:shd w:val="clear" w:color="auto" w:fill="D4D4D4"/>
          </w:tcPr>
          <w:p>
            <w:pPr/>
          </w:p>
        </w:tc>
        <w:tc>
          <w:tcPr>
            <w:tcW w:w="783"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4D4D4"/>
          </w:tcPr>
          <w:p>
            <w:pPr/>
          </w:p>
        </w:tc>
        <w:tc>
          <w:tcPr>
            <w:tcW w:w="916" w:type="dxa"/>
            <w:vMerge/>
            <w:tcBorders>
              <w:left w:val="single" w:sz="4" w:space="0" w:color="000000"/>
              <w:right w:val="single" w:sz="4" w:space="0" w:color="000000"/>
            </w:tcBorders>
            <w:shd w:val="clear" w:color="auto" w:fill="D4D4D4"/>
          </w:tcPr>
          <w:p>
            <w:pPr/>
          </w:p>
        </w:tc>
        <w:tc>
          <w:tcPr>
            <w:tcW w:w="924" w:type="dxa"/>
            <w:vMerge/>
            <w:tcBorders>
              <w:left w:val="single" w:sz="4" w:space="0" w:color="000000"/>
              <w:bottom w:val="nil" w:sz="6" w:space="0" w:color="auto"/>
              <w:right w:val="single" w:sz="4" w:space="0" w:color="000000"/>
            </w:tcBorders>
            <w:shd w:val="clear" w:color="auto" w:fill="D4D4D4"/>
          </w:tcPr>
          <w:p>
            <w:pPr/>
          </w:p>
        </w:tc>
        <w:tc>
          <w:tcPr>
            <w:tcW w:w="13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427"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4D4D4"/>
          </w:tcPr>
          <w:p>
            <w:pPr/>
          </w:p>
        </w:tc>
        <w:tc>
          <w:tcPr>
            <w:tcW w:w="1048" w:type="dxa"/>
            <w:vMerge/>
            <w:tcBorders>
              <w:left w:val="single" w:sz="4" w:space="0" w:color="000000"/>
              <w:bottom w:val="nil" w:sz="6" w:space="0" w:color="auto"/>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11"/>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4D4D4"/>
          </w:tcPr>
          <w:p>
            <w:pPr/>
          </w:p>
        </w:tc>
        <w:tc>
          <w:tcPr>
            <w:tcW w:w="9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4D4D4"/>
          </w:tcPr>
          <w:p>
            <w:pPr/>
          </w:p>
        </w:tc>
        <w:tc>
          <w:tcPr>
            <w:tcW w:w="1057" w:type="dxa"/>
            <w:vMerge/>
            <w:tcBorders>
              <w:left w:val="single" w:sz="4" w:space="0" w:color="000000"/>
              <w:right w:val="single" w:sz="4" w:space="0" w:color="000000"/>
            </w:tcBorders>
            <w:shd w:val="clear" w:color="auto" w:fill="D4D4D4"/>
          </w:tcPr>
          <w:p>
            <w:pPr/>
          </w:p>
        </w:tc>
        <w:tc>
          <w:tcPr>
            <w:tcW w:w="104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4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4D4D4"/>
          </w:tcPr>
          <w:p>
            <w:pPr/>
          </w:p>
        </w:tc>
        <w:tc>
          <w:tcPr>
            <w:tcW w:w="783" w:type="dxa"/>
            <w:vMerge/>
            <w:tcBorders>
              <w:left w:val="single" w:sz="4" w:space="0" w:color="000000"/>
              <w:right w:val="single" w:sz="4" w:space="0" w:color="000000"/>
            </w:tcBorders>
            <w:shd w:val="clear" w:color="auto" w:fill="D4D4D4"/>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4D4D4"/>
          </w:tcPr>
          <w:p>
            <w:pPr/>
          </w:p>
        </w:tc>
        <w:tc>
          <w:tcPr>
            <w:tcW w:w="916" w:type="dxa"/>
            <w:vMerge/>
            <w:tcBorders>
              <w:left w:val="single" w:sz="4" w:space="0" w:color="000000"/>
              <w:right w:val="single" w:sz="4" w:space="0" w:color="000000"/>
            </w:tcBorders>
            <w:shd w:val="clear" w:color="auto" w:fill="D4D4D4"/>
          </w:tcPr>
          <w:p>
            <w:pPr/>
          </w:p>
        </w:tc>
        <w:tc>
          <w:tcPr>
            <w:tcW w:w="924" w:type="dxa"/>
            <w:vMerge w:val="restart"/>
            <w:tcBorders>
              <w:top w:val="nil" w:sz="6" w:space="0" w:color="auto"/>
              <w:left w:val="single" w:sz="4" w:space="0" w:color="000000"/>
              <w:right w:val="single" w:sz="4" w:space="0" w:color="000000"/>
            </w:tcBorders>
            <w:shd w:val="clear" w:color="auto" w:fill="D4D4D4"/>
          </w:tcPr>
          <w:p>
            <w:pPr/>
          </w:p>
        </w:tc>
        <w:tc>
          <w:tcPr>
            <w:tcW w:w="1302" w:type="dxa"/>
            <w:vMerge/>
            <w:tcBorders>
              <w:left w:val="single" w:sz="4" w:space="0" w:color="000000"/>
              <w:bottom w:val="nil" w:sz="6" w:space="0" w:color="auto"/>
              <w:right w:val="single" w:sz="4" w:space="0" w:color="000000"/>
            </w:tcBorders>
            <w:shd w:val="clear" w:color="auto" w:fill="D4D4D4"/>
          </w:tcPr>
          <w:p>
            <w:pPr/>
          </w:p>
        </w:tc>
        <w:tc>
          <w:tcPr>
            <w:tcW w:w="1057" w:type="dxa"/>
            <w:vMerge/>
            <w:tcBorders>
              <w:left w:val="single" w:sz="4" w:space="0" w:color="000000"/>
              <w:bottom w:val="nil" w:sz="6" w:space="0" w:color="auto"/>
              <w:right w:val="single" w:sz="4" w:space="0" w:color="000000"/>
            </w:tcBorders>
            <w:shd w:val="clear" w:color="auto" w:fill="D4D4D4"/>
          </w:tcPr>
          <w:p>
            <w:pPr/>
          </w:p>
        </w:tc>
        <w:tc>
          <w:tcPr>
            <w:tcW w:w="1041" w:type="dxa"/>
            <w:vMerge w:val="restart"/>
            <w:tcBorders>
              <w:top w:val="nil" w:sz="6" w:space="0" w:color="auto"/>
              <w:left w:val="single" w:sz="4" w:space="0" w:color="000000"/>
              <w:right w:val="single" w:sz="4" w:space="0" w:color="000000"/>
            </w:tcBorders>
            <w:shd w:val="clear" w:color="auto" w:fill="D4D4D4"/>
          </w:tcPr>
          <w:p>
            <w:pPr/>
          </w:p>
        </w:tc>
        <w:tc>
          <w:tcPr>
            <w:tcW w:w="1048" w:type="dxa"/>
            <w:vMerge w:val="restart"/>
            <w:tcBorders>
              <w:top w:val="nil" w:sz="6" w:space="0" w:color="auto"/>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783"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4D4D4"/>
          </w:tcPr>
          <w:p>
            <w:pPr/>
          </w:p>
        </w:tc>
        <w:tc>
          <w:tcPr>
            <w:tcW w:w="916" w:type="dxa"/>
            <w:vMerge/>
            <w:tcBorders>
              <w:left w:val="single" w:sz="4" w:space="0" w:color="000000"/>
              <w:bottom w:val="single" w:sz="4" w:space="0" w:color="000000"/>
              <w:right w:val="single" w:sz="4" w:space="0" w:color="000000"/>
            </w:tcBorders>
            <w:shd w:val="clear" w:color="auto" w:fill="D4D4D4"/>
          </w:tcPr>
          <w:p>
            <w:pPr/>
          </w:p>
        </w:tc>
        <w:tc>
          <w:tcPr>
            <w:tcW w:w="924" w:type="dxa"/>
            <w:vMerge/>
            <w:tcBorders>
              <w:left w:val="single" w:sz="4" w:space="0" w:color="000000"/>
              <w:bottom w:val="single" w:sz="4" w:space="0" w:color="000000"/>
              <w:right w:val="single" w:sz="4" w:space="0" w:color="000000"/>
            </w:tcBorders>
            <w:shd w:val="clear" w:color="auto" w:fill="D4D4D4"/>
          </w:tcPr>
          <w:p>
            <w:pPr/>
          </w:p>
        </w:tc>
        <w:tc>
          <w:tcPr>
            <w:tcW w:w="13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41" w:type="dxa"/>
            <w:vMerge/>
            <w:tcBorders>
              <w:left w:val="single" w:sz="4" w:space="0" w:color="000000"/>
              <w:bottom w:val="single" w:sz="4" w:space="0" w:color="000000"/>
              <w:right w:val="single" w:sz="4" w:space="0" w:color="000000"/>
            </w:tcBorders>
            <w:shd w:val="clear" w:color="auto" w:fill="D4D4D4"/>
          </w:tcPr>
          <w:p>
            <w:pPr/>
          </w:p>
        </w:tc>
        <w:tc>
          <w:tcPr>
            <w:tcW w:w="1048" w:type="dxa"/>
            <w:vMerge/>
            <w:tcBorders>
              <w:left w:val="single" w:sz="4" w:space="0" w:color="000000"/>
              <w:bottom w:val="single" w:sz="4" w:space="0" w:color="000000"/>
              <w:right w:val="single" w:sz="4" w:space="0" w:color="000000"/>
            </w:tcBorders>
            <w:shd w:val="clear" w:color="auto" w:fill="D4D4D4"/>
          </w:tcPr>
          <w:p>
            <w:pPr/>
          </w:p>
        </w:tc>
        <w:tc>
          <w:tcPr>
            <w:tcW w:w="790" w:type="dxa"/>
            <w:tcBorders>
              <w:top w:val="nil" w:sz="6" w:space="0" w:color="auto"/>
              <w:left w:val="single" w:sz="4" w:space="0" w:color="000000"/>
              <w:bottom w:val="single" w:sz="4" w:space="0" w:color="000000"/>
              <w:right w:val="single" w:sz="4" w:space="0" w:color="000000"/>
            </w:tcBorders>
            <w:shd w:val="clear" w:color="auto" w:fill="D4D4D4"/>
          </w:tcPr>
          <w:p>
            <w:pPr/>
          </w:p>
        </w:tc>
        <w:tc>
          <w:tcPr>
            <w:tcW w:w="783"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1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6"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6"/>
        <w:gridCol w:w="2632"/>
      </w:tblGrid>
      <w:tr>
        <w:trPr>
          <w:trHeight w:val="401" w:hRule="exact"/>
        </w:trPr>
        <w:tc>
          <w:tcPr>
            <w:tcW w:w="956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56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采用复合方式担保的具体情况说明：无</w:t>
      </w:r>
    </w:p>
    <w:p>
      <w:pPr>
        <w:spacing w:line="240" w:lineRule="auto" w:before="0"/>
        <w:rPr>
          <w:rFonts w:ascii="宋体" w:hAnsi="宋体" w:cs="宋体" w:eastAsia="宋体" w:hint="default"/>
          <w:sz w:val="18"/>
          <w:szCs w:val="18"/>
        </w:rPr>
      </w:pPr>
    </w:p>
    <w:p>
      <w:pPr>
        <w:pStyle w:val="Heading5"/>
        <w:spacing w:line="240" w:lineRule="auto" w:before="141"/>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18"/>
          <w:szCs w:val="18"/>
        </w:rPr>
      </w:pPr>
    </w:p>
    <w:p>
      <w:pPr>
        <w:pStyle w:val="BodyText"/>
        <w:spacing w:line="340" w:lineRule="auto" w:before="127"/>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13"/>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29"/>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3"/>
        <w:jc w:val="right"/>
      </w:pPr>
      <w:bookmarkStart w:name="（2）违规对外担保情况" w:id="91"/>
      <w:bookmarkEnd w:id="91"/>
      <w:r>
        <w:rPr/>
      </w:r>
      <w:bookmarkStart w:name="3、委托他人进行现金资产管理情况" w:id="92"/>
      <w:bookmarkEnd w:id="92"/>
      <w:r>
        <w:rPr/>
      </w:r>
      <w:bookmarkStart w:name="（1）委托理财情况" w:id="93"/>
      <w:bookmarkEnd w:id="93"/>
      <w:r>
        <w:rPr/>
      </w: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1337" w:hRule="exact"/>
        </w:trPr>
        <w:tc>
          <w:tcPr>
            <w:tcW w:w="1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受托人名称</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170" w:right="16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0"/>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中国银行邢台 分行营业部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中国银行邢台 分行营业部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中国银行邢台 分行营业部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37"/>
              <w:jc w:val="right"/>
              <w:rPr>
                <w:rFonts w:ascii="宋体" w:hAnsi="宋体" w:cs="宋体" w:eastAsia="宋体" w:hint="default"/>
                <w:sz w:val="18"/>
                <w:szCs w:val="18"/>
              </w:rPr>
            </w:pPr>
            <w:r>
              <w:rPr>
                <w:rFonts w:ascii="宋体" w:hAnsi="宋体" w:cs="宋体" w:eastAsia="宋体" w:hint="default"/>
                <w:sz w:val="18"/>
                <w:szCs w:val="18"/>
              </w:rPr>
              <w:t>中国银行国贸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保本保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4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大厦支行</w:t>
            </w: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17.77</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12.72</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0.82</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0.23</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中国银行国贸 大厦支行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0.60</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26.52</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33.14</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34.18</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205.48</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39.35</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37"/>
              <w:jc w:val="left"/>
              <w:rPr>
                <w:rFonts w:ascii="宋体" w:hAnsi="宋体" w:cs="宋体" w:eastAsia="宋体" w:hint="default"/>
                <w:sz w:val="18"/>
                <w:szCs w:val="18"/>
              </w:rPr>
            </w:pPr>
            <w:r>
              <w:rPr>
                <w:rFonts w:ascii="宋体" w:hAnsi="宋体" w:cs="宋体" w:eastAsia="宋体" w:hint="default"/>
                <w:sz w:val="18"/>
                <w:szCs w:val="18"/>
              </w:rPr>
              <w:t>中国农业银行 股份有限公司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广州员村支行</w:t>
            </w: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15.54</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13.67</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27.89</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17.31</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32.36</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7.17</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中国农业银行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中国建设银行 股份有限公司 广东省分行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122.16</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中国建设银行 股份有限公司 广东省分行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254.79</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中国建设银行 股份有限公司 广东省分行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131.34</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中国建设银行 股份有限公司 利通支行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中国建设银行 股份有限公司 利通支行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中国工商银行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117.04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117.04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117.04</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中国工商银行 股份有限公司 广州员村支行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114.93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114.93</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114.93</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79.73</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34.52</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兴业银行广州 越秀支行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兴业银行北京 路支行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兴业银行北京 路支行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兴业银行北京 路支行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兴业银行北京 路支行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0.84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0.84</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兴业银行北京 路支行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28.64</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广州东湖支行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38.26</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广州东湖支行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28.64</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上海浦发银行 广州东湖支行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浦发广东省营 业部</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7.42</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60.41</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121.92</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309.15</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162.74</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37.07</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44.93</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137.04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137.04</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47.18</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农商银行华夏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宁波银行深圳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宁波银行深圳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0.39</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宁波银行深圳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宁波银行深圳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0.72</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南粤银行广州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南粤银行广州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11.84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11.84</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南粤银行广州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4.22</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南粤银行广州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19.66</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267.18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267.18</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151.02</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259.29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259.29</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211.18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211.18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211.18</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50.18</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10.21</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交通银行广州 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153.12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交通银行股份 有限公司宜昌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交通银行股份 有限公司宜昌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广州银行股份 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广州银行股份 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广州农商行华 夏支行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43.75</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广发银行股份 有限公司广州 前进支行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60.41</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广发银行股份 有限公司广州 前进支行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61.64</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广发银行股份 有限公司广州 前进支行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52.77</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7"/>
              <w:jc w:val="both"/>
              <w:rPr>
                <w:rFonts w:ascii="宋体" w:hAnsi="宋体" w:cs="宋体" w:eastAsia="宋体" w:hint="default"/>
                <w:sz w:val="18"/>
                <w:szCs w:val="18"/>
              </w:rPr>
            </w:pPr>
            <w:r>
              <w:rPr>
                <w:rFonts w:ascii="宋体" w:hAnsi="宋体" w:cs="宋体" w:eastAsia="宋体" w:hint="default"/>
                <w:sz w:val="18"/>
                <w:szCs w:val="18"/>
              </w:rPr>
              <w:t>广发银行股份 有限公司广州 前进支行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16.26</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广发银行东莞</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保本浮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9985pt;width:484.1pt;height:694.95pt;mso-position-horizontal-relative:page;mso-position-vertical-relative:page;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53"/>
                    <w:gridCol w:w="617"/>
                    <w:gridCol w:w="710"/>
                    <w:gridCol w:w="708"/>
                    <w:gridCol w:w="991"/>
                    <w:gridCol w:w="852"/>
                    <w:gridCol w:w="708"/>
                    <w:gridCol w:w="850"/>
                    <w:gridCol w:w="710"/>
                    <w:gridCol w:w="708"/>
                    <w:gridCol w:w="708"/>
                    <w:gridCol w:w="852"/>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城中支行</w:t>
                        </w:r>
                      </w:p>
                    </w:tc>
                    <w:tc>
                      <w:tcPr>
                        <w:tcW w:w="61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动收益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广东华兴银行 股份有限公司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0.19</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广东华兴银行 股份有限公司 广州分行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中信银行广州 分行天河支行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10.97</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中信银行广州 分行天河支行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10.97</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中信银行广州 分行天河支行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招商银行高新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招商银行高新 支行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12.19</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both"/>
                          <w:rPr>
                            <w:rFonts w:ascii="宋体" w:hAnsi="宋体" w:cs="宋体" w:eastAsia="宋体" w:hint="default"/>
                            <w:sz w:val="18"/>
                            <w:szCs w:val="18"/>
                          </w:rPr>
                        </w:pPr>
                        <w:r>
                          <w:rPr>
                            <w:rFonts w:ascii="宋体" w:hAnsi="宋体" w:cs="宋体" w:eastAsia="宋体" w:hint="default"/>
                            <w:sz w:val="18"/>
                            <w:szCs w:val="18"/>
                          </w:rPr>
                          <w:t>光大银行广州 黄埔大道西支 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128.22</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128.22</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光大银行广州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11.65</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光大银行广州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w:t>
                        </w:r>
                        <w:r>
                          <w:rPr>
                            <w:rFonts w:ascii="Times New Roman"/>
                            <w:sz w:val="18"/>
                          </w:rPr>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光大银行广州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w:t>
                        </w:r>
                        <w:r>
                          <w:rPr>
                            <w:rFonts w:ascii="Times New Roman"/>
                            <w:sz w:val="18"/>
                          </w:rPr>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光大银行广州 分行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协议</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572,228</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86"/>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487,128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5,195.70</w:t>
                        </w:r>
                      </w:p>
                    </w:tc>
                    <w:tc>
                      <w:tcPr>
                        <w:tcW w:w="70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4,325.91</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自有闲置资金</w:t>
                        </w:r>
                      </w:p>
                    </w:tc>
                  </w:tr>
                  <w:tr>
                    <w:trPr>
                      <w:trHeight w:val="713"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 额</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 期（如有</w:t>
                        </w:r>
                        <w:r>
                          <w:rPr>
                            <w:rFonts w:ascii="Times New Roman" w:hAnsi="Times New Roman" w:cs="Times New Roman" w:eastAsia="Times New Roman" w:hint="default"/>
                            <w:sz w:val="18"/>
                            <w:szCs w:val="18"/>
                          </w:rPr>
                          <w:t>)</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 期（如有</w:t>
                        </w:r>
                        <w:r>
                          <w:rPr>
                            <w:rFonts w:ascii="Times New Roman" w:hAnsi="Times New Roman" w:cs="Times New Roman" w:eastAsia="Times New Roman" w:hint="default"/>
                            <w:sz w:val="18"/>
                            <w:szCs w:val="18"/>
                          </w:rPr>
                          <w:t>)</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74" w:hRule="exact"/>
                    </w:trPr>
                    <w:tc>
                      <w:tcPr>
                        <w:tcW w:w="25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87" w:type="dxa"/>
                        <w:gridSpan w:val="9"/>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是，公司于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日召开第四届董事会第十八次会议审议通过《关于运用闲置自 </w:t>
                        </w:r>
                        <w:r>
                          <w:rPr>
                            <w:rFonts w:ascii="宋体" w:hAnsi="宋体" w:cs="宋体" w:eastAsia="宋体" w:hint="default"/>
                            <w:spacing w:val="-3"/>
                            <w:sz w:val="18"/>
                            <w:szCs w:val="18"/>
                          </w:rPr>
                          <w:t>有资金购买保本型银行理财产品的议案》，同意公司（含全资子公司广州银通、中智融通</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pStyle w:val="BodyText"/>
        <w:spacing w:line="240" w:lineRule="auto" w:before="44"/>
        <w:ind w:left="0" w:right="111"/>
        <w:jc w:val="right"/>
      </w:pPr>
      <w:r>
        <w:rPr/>
        <w:t>、</w:t>
      </w:r>
    </w:p>
    <w:p>
      <w:pPr>
        <w:spacing w:after="0" w:line="240" w:lineRule="auto"/>
        <w:jc w:val="right"/>
        <w:sectPr>
          <w:pgSz w:w="11910" w:h="16840"/>
          <w:pgMar w:header="877" w:footer="982" w:top="1100" w:bottom="1180" w:left="980" w:right="940"/>
        </w:sectPr>
      </w:pPr>
    </w:p>
    <w:p>
      <w:pPr>
        <w:spacing w:line="240" w:lineRule="auto" w:before="3"/>
        <w:rPr>
          <w:rFonts w:ascii="宋体" w:hAnsi="宋体" w:cs="宋体" w:eastAsia="宋体" w:hint="default"/>
          <w:sz w:val="24"/>
          <w:szCs w:val="24"/>
        </w:rPr>
      </w:pPr>
    </w:p>
    <w:p>
      <w:pPr>
        <w:spacing w:line="1005" w:lineRule="exact"/>
        <w:ind w:left="648" w:right="0" w:firstLine="0"/>
        <w:rPr>
          <w:rFonts w:ascii="宋体" w:hAnsi="宋体" w:cs="宋体" w:eastAsia="宋体" w:hint="default"/>
          <w:sz w:val="20"/>
          <w:szCs w:val="20"/>
        </w:rPr>
      </w:pPr>
      <w:bookmarkStart w:name="十八、其他重大事项的说明" w:id="94"/>
      <w:bookmarkEnd w:id="94"/>
      <w:r>
        <w:rPr/>
      </w:r>
      <w:r>
        <w:rPr>
          <w:rFonts w:ascii="宋体" w:hAnsi="宋体" w:cs="宋体" w:eastAsia="宋体" w:hint="default"/>
          <w:position w:val="-19"/>
          <w:sz w:val="20"/>
          <w:szCs w:val="20"/>
        </w:rPr>
        <w:pict>
          <v:group style="width:483.85pt;height:50.3pt;mso-position-horizontal-relative:char;mso-position-vertical-relative:line" coordorigin="0,0" coordsize="9677,1006">
            <v:group style="position:absolute;left:12;top:14;width:2568;height:977" coordorigin="12,14" coordsize="2568,977">
              <v:shape style="position:absolute;left:12;top:14;width:2568;height:977" coordorigin="12,14" coordsize="2568,977" path="m12,991l2580,991,2580,14,12,14,12,991xe" filled="true" fillcolor="#d4d4d4" stroked="false">
                <v:path arrowok="t"/>
                <v:fill type="solid"/>
              </v:shape>
            </v:group>
            <v:group style="position:absolute;left:10;top:10;width:2571;height:2" coordorigin="10,10" coordsize="2571,2">
              <v:shape style="position:absolute;left:10;top:10;width:2571;height:2" coordorigin="10,10" coordsize="2571,0" path="m10,10l2580,10e" filled="false" stroked="true" strokeweight=".48pt" strokecolor="#000000">
                <v:path arrowok="t"/>
              </v:shape>
            </v:group>
            <v:group style="position:absolute;left:2590;top:10;width:7078;height:2" coordorigin="2590,10" coordsize="7078,2">
              <v:shape style="position:absolute;left:2590;top:10;width:7078;height:2" coordorigin="2590,10" coordsize="7078,0" path="m2590,10l9667,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2571;height:2" coordorigin="10,996" coordsize="2571,2">
              <v:shape style="position:absolute;left:10;top:996;width:2571;height:2" coordorigin="10,996" coordsize="2571,0" path="m10,996l2580,996e" filled="false" stroked="true" strokeweight=".48pt" strokecolor="#000000">
                <v:path arrowok="t"/>
              </v:shape>
            </v:group>
            <v:group style="position:absolute;left:2585;top:5;width:2;height:996" coordorigin="2585,5" coordsize="2,996">
              <v:shape style="position:absolute;left:2585;top:5;width:2;height:996" coordorigin="2585,5" coordsize="0,996" path="m2585,5l2585,1001e" filled="false" stroked="true" strokeweight=".48pt" strokecolor="#000000">
                <v:path arrowok="t"/>
              </v:shape>
            </v:group>
            <v:group style="position:absolute;left:2590;top:996;width:7078;height:2" coordorigin="2590,996" coordsize="7078,2">
              <v:shape style="position:absolute;left:2590;top:996;width:7078;height:2" coordorigin="2590,996" coordsize="7078,0" path="m2590,996l9667,996e" filled="false" stroked="true" strokeweight=".48pt" strokecolor="#000000">
                <v:path arrowok="t"/>
              </v:shape>
            </v:group>
            <v:group style="position:absolute;left:9672;top:5;width:2;height:996" coordorigin="9672,5" coordsize="2,996">
              <v:shape style="position:absolute;left:9672;top:5;width:2;height:996" coordorigin="9672,5" coordsize="0,996" path="m9672,5l9672,1001e" filled="false" stroked="true" strokeweight=".48pt" strokecolor="#000000">
                <v:path arrowok="t"/>
              </v:shape>
              <v:shape style="position:absolute;left:2585;top:10;width:7088;height:987" type="#_x0000_t202" filled="false" stroked="false">
                <v:textbox inset="0,0,0,0">
                  <w:txbxContent>
                    <w:p>
                      <w:pPr>
                        <w:spacing w:line="316" w:lineRule="auto" w:before="13"/>
                        <w:ind w:left="28" w:right="24" w:firstLine="0"/>
                        <w:jc w:val="left"/>
                        <w:rPr>
                          <w:rFonts w:ascii="宋体" w:hAnsi="宋体" w:cs="宋体" w:eastAsia="宋体" w:hint="default"/>
                          <w:sz w:val="18"/>
                          <w:szCs w:val="18"/>
                        </w:rPr>
                      </w:pPr>
                      <w:r>
                        <w:rPr>
                          <w:rFonts w:ascii="宋体" w:hAnsi="宋体" w:cs="宋体" w:eastAsia="宋体" w:hint="default"/>
                          <w:sz w:val="18"/>
                          <w:szCs w:val="18"/>
                        </w:rPr>
                        <w:t>运通信息、广电汇通、支点投资，控股子公司广州穗通、龙源环保、创自技术）运用闲置 自有资金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亿元（含）购买保本型银行理财产品。上述资金额度可滚动使用，授权有效期</w:t>
                      </w:r>
                    </w:p>
                    <w:p>
                      <w:pPr>
                        <w:spacing w:line="248" w:lineRule="exact"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年度股东大会通过之日起三年。</w:t>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pStyle w:val="Heading5"/>
        <w:spacing w:line="240" w:lineRule="auto" w:before="44"/>
        <w:ind w:left="652" w:right="7974"/>
        <w:jc w:val="left"/>
        <w:rPr>
          <w:b w:val="0"/>
          <w:bCs w:val="0"/>
        </w:rPr>
      </w:pPr>
      <w:r>
        <w:rPr/>
        <w:t>（</w:t>
      </w:r>
      <w:r>
        <w:rPr>
          <w:rFonts w:ascii="Times New Roman" w:hAnsi="Times New Roman" w:cs="Times New Roman" w:eastAsia="Times New Roman" w:hint="default"/>
        </w:rPr>
        <w:t>2</w:t>
      </w:r>
      <w:r>
        <w:rPr/>
        <w:t>）委托贷款</w:t>
      </w:r>
      <w:bookmarkStart w:name="（2）委托贷款情况" w:id="95"/>
      <w:bookmarkEnd w:id="95"/>
      <w:r>
        <w:rPr/>
        <w:t>情况</w:t>
      </w:r>
      <w:r>
        <w:rPr>
          <w:b w:val="0"/>
          <w:bCs w:val="0"/>
        </w:rPr>
      </w:r>
    </w:p>
    <w:p>
      <w:pPr>
        <w:spacing w:line="240" w:lineRule="auto" w:before="0"/>
        <w:rPr>
          <w:rFonts w:ascii="宋体" w:hAnsi="宋体" w:cs="宋体" w:eastAsia="宋体" w:hint="default"/>
          <w:b/>
          <w:bCs/>
          <w:sz w:val="18"/>
          <w:szCs w:val="18"/>
        </w:rPr>
      </w:pPr>
    </w:p>
    <w:p>
      <w:pPr>
        <w:pStyle w:val="BodyText"/>
        <w:spacing w:line="338" w:lineRule="auto" w:before="127"/>
        <w:ind w:left="652"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23"/>
          <w:szCs w:val="23"/>
        </w:rPr>
      </w:pPr>
    </w:p>
    <w:p>
      <w:pPr>
        <w:pStyle w:val="Heading5"/>
        <w:spacing w:line="240" w:lineRule="auto"/>
        <w:ind w:left="652" w:right="797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652" w:right="7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98"/>
        <w:jc w:val="right"/>
      </w:pPr>
      <w:r>
        <w:rPr/>
        <w:pict>
          <v:shape style="position:absolute;margin-left:29.76pt;margin-top:-176.828278pt;width:535.950pt;height:357.2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6"/>
                    <w:gridCol w:w="638"/>
                    <w:gridCol w:w="638"/>
                    <w:gridCol w:w="641"/>
                    <w:gridCol w:w="638"/>
                    <w:gridCol w:w="641"/>
                    <w:gridCol w:w="638"/>
                    <w:gridCol w:w="638"/>
                    <w:gridCol w:w="638"/>
                    <w:gridCol w:w="636"/>
                    <w:gridCol w:w="638"/>
                    <w:gridCol w:w="638"/>
                    <w:gridCol w:w="638"/>
                    <w:gridCol w:w="638"/>
                    <w:gridCol w:w="1766"/>
                  </w:tblGrid>
                  <w:tr>
                    <w:trPr>
                      <w:trHeight w:val="1962" w:hRule="exact"/>
                    </w:trPr>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134" w:right="132"/>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47"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（万 元）</w:t>
                        </w:r>
                      </w:p>
                    </w:tc>
                    <w:tc>
                      <w:tcPr>
                        <w:tcW w:w="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45" w:right="43"/>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134" w:right="134"/>
                          <w:jc w:val="both"/>
                          <w:rPr>
                            <w:rFonts w:ascii="宋体" w:hAnsi="宋体" w:cs="宋体" w:eastAsia="宋体" w:hint="default"/>
                            <w:sz w:val="18"/>
                            <w:szCs w:val="18"/>
                          </w:rPr>
                        </w:pPr>
                        <w:r>
                          <w:rPr>
                            <w:rFonts w:ascii="宋体" w:hAnsi="宋体" w:cs="宋体" w:eastAsia="宋体" w:hint="default"/>
                            <w:sz w:val="18"/>
                            <w:szCs w:val="18"/>
                          </w:rPr>
                          <w:t>（万 元）</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20"/>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134" w:right="13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45" w:right="38"/>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134" w:right="13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5" w:right="41"/>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60" w:lineRule="auto"/>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1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23" w:right="240"/>
                          <w:jc w:val="left"/>
                          <w:rPr>
                            <w:rFonts w:ascii="宋体" w:hAnsi="宋体" w:cs="宋体" w:eastAsia="宋体" w:hint="default"/>
                            <w:sz w:val="18"/>
                            <w:szCs w:val="18"/>
                          </w:rPr>
                        </w:pPr>
                        <w:r>
                          <w:rPr>
                            <w:rFonts w:ascii="宋体" w:hAnsi="宋体" w:cs="宋体" w:eastAsia="宋体" w:hint="default"/>
                            <w:sz w:val="18"/>
                            <w:szCs w:val="18"/>
                          </w:rPr>
                          <w:t>广电 运通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24" w:right="242"/>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pacing w:val="-8"/>
                            <w:sz w:val="18"/>
                          </w:rPr>
                          <w:t>ATM</w:t>
                        </w:r>
                      </w:p>
                      <w:p>
                        <w:pPr>
                          <w:pStyle w:val="TableParagraph"/>
                          <w:spacing w:line="240" w:lineRule="auto" w:before="101"/>
                          <w:ind w:left="13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26" w:right="242"/>
                          <w:jc w:val="left"/>
                          <w:rPr>
                            <w:rFonts w:ascii="宋体" w:hAnsi="宋体" w:cs="宋体" w:eastAsia="宋体" w:hint="default"/>
                            <w:sz w:val="18"/>
                            <w:szCs w:val="18"/>
                          </w:rPr>
                        </w:pPr>
                        <w:r>
                          <w:rPr>
                            <w:rFonts w:ascii="宋体" w:hAnsi="宋体" w:cs="宋体" w:eastAsia="宋体" w:hint="default"/>
                            <w:sz w:val="18"/>
                            <w:szCs w:val="18"/>
                          </w:rPr>
                          <w:t>陆续 签订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23" w:right="242"/>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33,300.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57" w:lineRule="auto"/>
                          <w:ind w:left="23" w:right="242"/>
                          <w:jc w:val="left"/>
                          <w:rPr>
                            <w:rFonts w:ascii="宋体" w:hAnsi="宋体" w:cs="宋体" w:eastAsia="宋体" w:hint="default"/>
                            <w:sz w:val="18"/>
                            <w:szCs w:val="18"/>
                          </w:rPr>
                        </w:pPr>
                        <w:r>
                          <w:rPr>
                            <w:rFonts w:ascii="宋体" w:hAnsi="宋体" w:cs="宋体" w:eastAsia="宋体" w:hint="default"/>
                            <w:sz w:val="18"/>
                            <w:szCs w:val="18"/>
                          </w:rPr>
                          <w:t>正常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10"/>
                            <w:sz w:val="18"/>
                            <w:szCs w:val="18"/>
                          </w:rPr>
                          <w:t>刊登在《证券时报》及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00" w:lineRule="auto" w:before="19"/>
                          <w:ind w:left="23" w:right="22"/>
                          <w:jc w:val="both"/>
                          <w:rPr>
                            <w:rFonts w:ascii="宋体" w:hAnsi="宋体" w:cs="宋体" w:eastAsia="宋体" w:hint="default"/>
                            <w:sz w:val="18"/>
                            <w:szCs w:val="18"/>
                          </w:rPr>
                        </w:pPr>
                        <w:r>
                          <w:rPr>
                            <w:rFonts w:ascii="宋体" w:hAnsi="宋体" w:cs="宋体" w:eastAsia="宋体" w:hint="default"/>
                            <w:spacing w:val="-1"/>
                            <w:sz w:val="18"/>
                            <w:szCs w:val="18"/>
                          </w:rPr>
                          <w:t>（</w:t>
                        </w:r>
                        <w:hyperlink r:id="rId30">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）上的《关于收到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中国银行</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设备采 购结果通知函的公告</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z w:val="18"/>
                            <w:szCs w:val="18"/>
                          </w:rPr>
                          <w:t>（公告编号：临</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2015-072</w:t>
                        </w:r>
                        <w:r>
                          <w:rPr>
                            <w:rFonts w:ascii="宋体" w:hAnsi="宋体" w:cs="宋体" w:eastAsia="宋体" w:hint="default"/>
                            <w:sz w:val="18"/>
                            <w:szCs w:val="18"/>
                          </w:rPr>
                          <w:t>）</w:t>
                        </w:r>
                      </w:p>
                    </w:tc>
                  </w:tr>
                  <w:tr>
                    <w:trPr>
                      <w:trHeight w:val="258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60" w:lineRule="auto"/>
                          <w:ind w:left="23" w:right="240"/>
                          <w:jc w:val="left"/>
                          <w:rPr>
                            <w:rFonts w:ascii="宋体" w:hAnsi="宋体" w:cs="宋体" w:eastAsia="宋体" w:hint="default"/>
                            <w:sz w:val="18"/>
                            <w:szCs w:val="18"/>
                          </w:rPr>
                        </w:pPr>
                        <w:r>
                          <w:rPr>
                            <w:rFonts w:ascii="宋体" w:hAnsi="宋体" w:cs="宋体" w:eastAsia="宋体" w:hint="default"/>
                            <w:sz w:val="18"/>
                            <w:szCs w:val="18"/>
                          </w:rPr>
                          <w:t>广电 运通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60" w:lineRule="auto"/>
                          <w:ind w:left="24" w:right="242"/>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pacing w:val="-8"/>
                            <w:sz w:val="18"/>
                          </w:rPr>
                          <w:t>ATM</w:t>
                        </w:r>
                      </w:p>
                      <w:p>
                        <w:pPr>
                          <w:pStyle w:val="TableParagraph"/>
                          <w:spacing w:line="240" w:lineRule="auto" w:before="103"/>
                          <w:ind w:left="13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60" w:lineRule="auto"/>
                          <w:ind w:left="26" w:right="242"/>
                          <w:jc w:val="left"/>
                          <w:rPr>
                            <w:rFonts w:ascii="宋体" w:hAnsi="宋体" w:cs="宋体" w:eastAsia="宋体" w:hint="default"/>
                            <w:sz w:val="18"/>
                            <w:szCs w:val="18"/>
                          </w:rPr>
                        </w:pPr>
                        <w:r>
                          <w:rPr>
                            <w:rFonts w:ascii="宋体" w:hAnsi="宋体" w:cs="宋体" w:eastAsia="宋体" w:hint="default"/>
                            <w:sz w:val="18"/>
                            <w:szCs w:val="18"/>
                          </w:rPr>
                          <w:t>陆续 签订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60" w:lineRule="auto"/>
                          <w:ind w:left="23" w:right="242"/>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59,000.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60" w:lineRule="auto"/>
                          <w:ind w:left="23" w:right="242"/>
                          <w:jc w:val="left"/>
                          <w:rPr>
                            <w:rFonts w:ascii="宋体" w:hAnsi="宋体" w:cs="宋体" w:eastAsia="宋体" w:hint="default"/>
                            <w:sz w:val="18"/>
                            <w:szCs w:val="18"/>
                          </w:rPr>
                        </w:pPr>
                        <w:r>
                          <w:rPr>
                            <w:rFonts w:ascii="宋体" w:hAnsi="宋体" w:cs="宋体" w:eastAsia="宋体" w:hint="default"/>
                            <w:sz w:val="18"/>
                            <w:szCs w:val="18"/>
                          </w:rPr>
                          <w:t>正常 履行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刊登在《证券时报》及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12" w:lineRule="auto" w:before="20"/>
                          <w:ind w:left="23" w:right="22"/>
                          <w:jc w:val="left"/>
                          <w:rPr>
                            <w:rFonts w:ascii="宋体" w:hAnsi="宋体" w:cs="宋体" w:eastAsia="宋体" w:hint="default"/>
                            <w:sz w:val="18"/>
                            <w:szCs w:val="18"/>
                          </w:rPr>
                        </w:pPr>
                        <w:r>
                          <w:rPr>
                            <w:rFonts w:ascii="宋体" w:hAnsi="宋体" w:cs="宋体" w:eastAsia="宋体" w:hint="default"/>
                            <w:spacing w:val="-1"/>
                            <w:sz w:val="18"/>
                            <w:szCs w:val="18"/>
                          </w:rPr>
                          <w:t>（</w:t>
                        </w:r>
                        <w:hyperlink r:id="rId30">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m.cn</w:t>
                        </w:r>
                        <w:r>
                          <w:rPr>
                            <w:rFonts w:ascii="宋体" w:hAnsi="宋体" w:cs="宋体" w:eastAsia="宋体" w:hint="default"/>
                            <w:spacing w:val="-8"/>
                            <w:sz w:val="18"/>
                            <w:szCs w:val="18"/>
                          </w:rPr>
                          <w:t>）上的《关于建设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银行自助设备采购项 目合同履行的进展公 </w:t>
                        </w:r>
                        <w:r>
                          <w:rPr>
                            <w:rFonts w:ascii="宋体" w:hAnsi="宋体" w:cs="宋体" w:eastAsia="宋体" w:hint="default"/>
                            <w:spacing w:val="-11"/>
                            <w:sz w:val="18"/>
                            <w:szCs w:val="18"/>
                          </w:rPr>
                          <w:t>告》（公告编号：临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2015-070</w:t>
                        </w:r>
                        <w:r>
                          <w:rPr>
                            <w:rFonts w:ascii="宋体" w:hAnsi="宋体" w:cs="宋体" w:eastAsia="宋体" w:hint="default"/>
                            <w:sz w:val="18"/>
                            <w:szCs w:val="18"/>
                          </w:rPr>
                          <w:t>）</w:t>
                        </w:r>
                      </w:p>
                    </w:tc>
                  </w:tr>
                </w:tbl>
                <w:p>
                  <w:pPr/>
                </w:p>
              </w:txbxContent>
            </v:textbox>
            <w10:wrap type="none"/>
          </v:shape>
        </w:pict>
      </w:r>
      <w:bookmarkStart w:name="4、其他重大合同" w:id="96"/>
      <w:bookmarkEnd w:id="96"/>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7"/>
        <w:ind w:left="652" w:right="6701"/>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012" w:right="670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关于公司非公开发行股票事项的进展情况</w:t>
      </w:r>
      <w:r>
        <w:rPr>
          <w:rFonts w:ascii="宋体" w:hAnsi="宋体" w:cs="宋体" w:eastAsia="宋体" w:hint="default"/>
          <w:sz w:val="18"/>
          <w:szCs w:val="18"/>
        </w:rPr>
      </w:r>
    </w:p>
    <w:p>
      <w:pPr>
        <w:pStyle w:val="BodyText"/>
        <w:spacing w:line="240" w:lineRule="auto" w:before="43"/>
        <w:ind w:left="1012" w:right="0"/>
        <w:jc w:val="left"/>
      </w:pPr>
      <w:r>
        <w:rPr/>
        <w:t>公司于</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日开市起停牌启动非公开发行</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股股票事项，发行方案最终确定为：本次非公开发行募集资金</w:t>
      </w:r>
    </w:p>
    <w:p>
      <w:pPr>
        <w:pStyle w:val="BodyText"/>
        <w:spacing w:line="240" w:lineRule="auto" w:before="62"/>
        <w:ind w:left="652" w:right="0"/>
        <w:jc w:val="left"/>
      </w:pPr>
      <w:r>
        <w:rPr/>
        <w:t>不超过</w:t>
      </w:r>
      <w:r>
        <w:rPr>
          <w:spacing w:val="-48"/>
        </w:rPr>
        <w:t> </w:t>
      </w:r>
      <w:r>
        <w:rPr>
          <w:rFonts w:ascii="Times New Roman" w:hAnsi="Times New Roman" w:cs="Times New Roman" w:eastAsia="Times New Roman" w:hint="default"/>
        </w:rPr>
        <w:t>313,719.12</w:t>
      </w:r>
      <w:r>
        <w:rPr>
          <w:rFonts w:ascii="Times New Roman" w:hAnsi="Times New Roman" w:cs="Times New Roman" w:eastAsia="Times New Roman" w:hint="default"/>
          <w:spacing w:val="-2"/>
        </w:rPr>
        <w:t> </w:t>
      </w:r>
      <w:r>
        <w:rPr/>
        <w:t>万元，发行价格为</w:t>
      </w:r>
      <w:r>
        <w:rPr>
          <w:spacing w:val="-48"/>
        </w:rPr>
        <w:t> </w:t>
      </w:r>
      <w:r>
        <w:rPr>
          <w:rFonts w:ascii="Times New Roman" w:hAnsi="Times New Roman" w:cs="Times New Roman" w:eastAsia="Times New Roman" w:hint="default"/>
        </w:rPr>
        <w:t>17.16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股，非公开发行股票的数量不超过</w:t>
      </w:r>
      <w:r>
        <w:rPr>
          <w:spacing w:val="-48"/>
        </w:rPr>
        <w:t> </w:t>
      </w:r>
      <w:r>
        <w:rPr>
          <w:rFonts w:ascii="Times New Roman" w:hAnsi="Times New Roman" w:cs="Times New Roman" w:eastAsia="Times New Roman" w:hint="default"/>
        </w:rPr>
        <w:t>182,820,000</w:t>
      </w:r>
      <w:r>
        <w:rPr>
          <w:rFonts w:ascii="Times New Roman" w:hAnsi="Times New Roman" w:cs="Times New Roman" w:eastAsia="Times New Roman" w:hint="default"/>
          <w:spacing w:val="-2"/>
        </w:rPr>
        <w:t> </w:t>
      </w:r>
      <w:r>
        <w:rPr/>
        <w:t>股，无线电集团认购不超过</w:t>
      </w:r>
    </w:p>
    <w:p>
      <w:pPr>
        <w:pStyle w:val="BodyText"/>
        <w:spacing w:line="300" w:lineRule="auto" w:before="62"/>
        <w:ind w:left="652" w:right="685"/>
        <w:jc w:val="left"/>
      </w:pPr>
      <w:r>
        <w:rPr>
          <w:rFonts w:ascii="Times New Roman" w:hAnsi="Times New Roman" w:cs="Times New Roman" w:eastAsia="Times New Roman" w:hint="default"/>
        </w:rPr>
        <w:t>139,290,000</w:t>
      </w:r>
      <w:r>
        <w:rPr>
          <w:rFonts w:ascii="Times New Roman" w:hAnsi="Times New Roman" w:cs="Times New Roman" w:eastAsia="Times New Roman" w:hint="default"/>
          <w:spacing w:val="-2"/>
        </w:rPr>
        <w:t> </w:t>
      </w:r>
      <w:r>
        <w:rPr/>
        <w:t>股，广州证券鲲鹏运通</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号定向资产管理计划（公司员工持股计划）认购不超过</w:t>
      </w:r>
      <w:r>
        <w:rPr>
          <w:spacing w:val="-48"/>
        </w:rPr>
        <w:t> </w:t>
      </w:r>
      <w:r>
        <w:rPr>
          <w:rFonts w:ascii="Times New Roman" w:hAnsi="Times New Roman" w:cs="Times New Roman" w:eastAsia="Times New Roman" w:hint="default"/>
        </w:rPr>
        <w:t>43,530,000</w:t>
      </w:r>
      <w:r>
        <w:rPr>
          <w:rFonts w:ascii="Times New Roman" w:hAnsi="Times New Roman" w:cs="Times New Roman" w:eastAsia="Times New Roman" w:hint="default"/>
          <w:spacing w:val="-2"/>
        </w:rPr>
        <w:t> </w:t>
      </w:r>
      <w:r>
        <w:rPr/>
        <w:t>股，用于建设全国 金融外包服务平台及补充流动资金。</w:t>
      </w:r>
      <w:r>
        <w:rPr>
          <w:rFonts w:ascii="Times New Roman" w:hAnsi="Times New Roman" w:cs="Times New Roman" w:eastAsia="Times New Roman" w:hint="default"/>
        </w:rPr>
        <w:t>2015</w:t>
      </w:r>
      <w:r>
        <w:rPr>
          <w:rFonts w:ascii="Times New Roman" w:hAnsi="Times New Roman" w:cs="Times New Roman" w:eastAsia="Times New Roman" w:hint="default"/>
          <w:spacing w:val="-22"/>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69"/>
        </w:rPr>
        <w:t> </w:t>
      </w:r>
      <w:r>
        <w:rPr>
          <w:rFonts w:ascii="Times New Roman" w:hAnsi="Times New Roman" w:cs="Times New Roman" w:eastAsia="Times New Roman" w:hint="default"/>
        </w:rPr>
        <w:t>31</w:t>
      </w:r>
      <w:r>
        <w:rPr/>
        <w:t>，公司收到中国证券监督管理委员会《关于核准广州广电运通金融电子</w:t>
      </w:r>
    </w:p>
    <w:p>
      <w:pPr>
        <w:spacing w:after="0" w:line="300" w:lineRule="auto"/>
        <w:jc w:val="left"/>
        <w:sectPr>
          <w:pgSz w:w="11910" w:h="16840"/>
          <w:pgMar w:header="877" w:footer="982" w:top="1100" w:bottom="1180" w:left="480" w:right="440"/>
        </w:sectPr>
      </w:pPr>
    </w:p>
    <w:p>
      <w:pPr>
        <w:spacing w:line="240" w:lineRule="auto" w:before="11"/>
        <w:rPr>
          <w:rFonts w:ascii="宋体" w:hAnsi="宋体" w:cs="宋体" w:eastAsia="宋体" w:hint="default"/>
          <w:sz w:val="21"/>
          <w:szCs w:val="21"/>
        </w:rPr>
      </w:pPr>
    </w:p>
    <w:p>
      <w:pPr>
        <w:pStyle w:val="BodyText"/>
        <w:spacing w:line="240" w:lineRule="auto" w:before="44"/>
        <w:ind w:right="94"/>
        <w:jc w:val="left"/>
      </w:pPr>
      <w:r>
        <w:rPr/>
        <w:t>股份有限公司非公开发行股票的批复</w:t>
      </w:r>
      <w:r>
        <w:rPr>
          <w:spacing w:val="-92"/>
        </w:rPr>
        <w:t>》</w:t>
      </w:r>
      <w:r>
        <w:rPr/>
        <w:t>（证监许可【</w:t>
      </w:r>
      <w:r>
        <w:rPr>
          <w:rFonts w:ascii="Times New Roman" w:hAnsi="Times New Roman" w:cs="Times New Roman" w:eastAsia="Times New Roman" w:hint="default"/>
          <w:spacing w:val="1"/>
        </w:rPr>
        <w:t>2015</w:t>
      </w:r>
      <w:r>
        <w:rPr>
          <w:spacing w:val="-3"/>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92"/>
        </w:rPr>
        <w:t>号</w:t>
      </w:r>
      <w:r>
        <w:rPr/>
        <w:t>）。</w:t>
      </w:r>
    </w:p>
    <w:p>
      <w:pPr>
        <w:pStyle w:val="BodyText"/>
        <w:spacing w:line="240" w:lineRule="auto" w:before="103"/>
        <w:ind w:left="512" w:right="94"/>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spacing w:val="-5"/>
        </w:rPr>
        <w:t>日，公司完成本次非公开发行股票上市工作，成功发行股份</w:t>
      </w:r>
      <w:r>
        <w:rPr>
          <w:spacing w:val="-44"/>
        </w:rPr>
        <w:t> </w:t>
      </w:r>
      <w:r>
        <w:rPr>
          <w:rFonts w:ascii="Times New Roman" w:hAnsi="Times New Roman" w:cs="Times New Roman" w:eastAsia="Times New Roman" w:hint="default"/>
        </w:rPr>
        <w:t>182,820,000</w:t>
      </w:r>
      <w:r>
        <w:rPr>
          <w:rFonts w:ascii="Times New Roman" w:hAnsi="Times New Roman" w:cs="Times New Roman" w:eastAsia="Times New Roman" w:hint="default"/>
          <w:spacing w:val="2"/>
        </w:rPr>
        <w:t> </w:t>
      </w:r>
      <w:r>
        <w:rPr>
          <w:spacing w:val="-7"/>
        </w:rPr>
        <w:t>股，无线电集团认购</w:t>
      </w:r>
      <w:r>
        <w:rPr>
          <w:spacing w:val="-44"/>
        </w:rPr>
        <w:t> </w:t>
      </w:r>
      <w:r>
        <w:rPr>
          <w:rFonts w:ascii="Times New Roman" w:hAnsi="Times New Roman" w:cs="Times New Roman" w:eastAsia="Times New Roman" w:hint="default"/>
        </w:rPr>
        <w:t>139,290,000</w:t>
      </w:r>
    </w:p>
    <w:p>
      <w:pPr>
        <w:pStyle w:val="BodyText"/>
        <w:spacing w:line="240" w:lineRule="auto" w:before="62"/>
        <w:ind w:left="153" w:right="94"/>
        <w:jc w:val="left"/>
        <w:rPr>
          <w:rFonts w:ascii="Times New Roman" w:hAnsi="Times New Roman" w:cs="Times New Roman" w:eastAsia="Times New Roman" w:hint="default"/>
        </w:rPr>
      </w:pPr>
      <w:r>
        <w:rPr/>
        <w:t>股，广州证券鲲鹏运通</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号定向资产管理计划（公司员工持股计划）认购</w:t>
      </w:r>
      <w:r>
        <w:rPr>
          <w:spacing w:val="-48"/>
        </w:rPr>
        <w:t> </w:t>
      </w:r>
      <w:r>
        <w:rPr>
          <w:rFonts w:ascii="Times New Roman" w:hAnsi="Times New Roman" w:cs="Times New Roman" w:eastAsia="Times New Roman" w:hint="default"/>
        </w:rPr>
        <w:t>43,530,000</w:t>
      </w:r>
      <w:r>
        <w:rPr>
          <w:rFonts w:ascii="Times New Roman" w:hAnsi="Times New Roman" w:cs="Times New Roman" w:eastAsia="Times New Roman" w:hint="default"/>
          <w:spacing w:val="-2"/>
        </w:rPr>
        <w:t> </w:t>
      </w:r>
      <w:r>
        <w:rPr/>
        <w:t>股。公司总股本变更为</w:t>
      </w:r>
      <w:r>
        <w:rPr>
          <w:spacing w:val="-48"/>
        </w:rPr>
        <w:t> </w:t>
      </w:r>
      <w:r>
        <w:rPr>
          <w:rFonts w:ascii="Times New Roman" w:hAnsi="Times New Roman" w:cs="Times New Roman" w:eastAsia="Times New Roman" w:hint="default"/>
        </w:rPr>
        <w:t>1,079,504,767</w:t>
      </w:r>
    </w:p>
    <w:p>
      <w:pPr>
        <w:pStyle w:val="BodyText"/>
        <w:spacing w:line="240" w:lineRule="auto" w:before="62"/>
        <w:ind w:left="153" w:right="94"/>
        <w:jc w:val="left"/>
      </w:pPr>
      <w:r>
        <w:rPr/>
        <w:t>股。</w:t>
      </w:r>
    </w:p>
    <w:p>
      <w:pPr>
        <w:pStyle w:val="BodyText"/>
        <w:spacing w:line="240" w:lineRule="auto" w:before="115"/>
        <w:ind w:left="513" w:right="94"/>
        <w:jc w:val="left"/>
        <w:rPr>
          <w:rFonts w:ascii="Times New Roman" w:hAnsi="Times New Roman" w:cs="Times New Roman" w:eastAsia="Times New Roman" w:hint="default"/>
        </w:rPr>
      </w:pPr>
      <w:r>
        <w:rPr/>
        <w:t>具体内容详见刊登在</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6"/>
        </w:rPr>
        <w:t>日、</w:t>
      </w:r>
      <w:r>
        <w:rPr>
          <w:rFonts w:ascii="Times New Roman" w:hAnsi="Times New Roman" w:cs="Times New Roman" w:eastAsia="Times New Roman" w:hint="default"/>
          <w:spacing w:val="-6"/>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5"/>
        </w:rPr>
        <w:t>日、</w:t>
      </w:r>
      <w:r>
        <w:rPr>
          <w:rFonts w:ascii="Times New Roman" w:hAnsi="Times New Roman" w:cs="Times New Roman" w:eastAsia="Times New Roman" w:hint="default"/>
          <w:spacing w:val="-5"/>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4"/>
        </w:rPr>
        <w:t>日、</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p>
    <w:p>
      <w:pPr>
        <w:pStyle w:val="BodyText"/>
        <w:spacing w:line="240" w:lineRule="auto" w:before="62"/>
        <w:ind w:right="94"/>
        <w:jc w:val="left"/>
      </w:pPr>
      <w:r>
        <w:rPr/>
        <w:t>日及</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日《证券时报》及巨潮资讯网（</w:t>
      </w:r>
      <w:hyperlink r:id="rId11">
        <w:r>
          <w:rPr>
            <w:rFonts w:ascii="Times New Roman" w:hAnsi="Times New Roman" w:cs="Times New Roman" w:eastAsia="Times New Roman" w:hint="default"/>
          </w:rPr>
          <w:t>http://www.cninfo.com.cn</w:t>
        </w:r>
      </w:hyperlink>
      <w:r>
        <w:rPr/>
        <w:t>）上的相关公告。</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十九、公司子公司</w:t>
      </w:r>
      <w:bookmarkStart w:name="十九、公司子公司重大事项" w:id="97"/>
      <w:bookmarkEnd w:id="97"/>
      <w:r>
        <w:rPr/>
        <w:t>重大</w:t>
      </w:r>
      <w:r>
        <w:rPr/>
        <w:t>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2863"/>
        <w:gridCol w:w="5527"/>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8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重要事项</w:t>
            </w:r>
          </w:p>
        </w:tc>
        <w:tc>
          <w:tcPr>
            <w:tcW w:w="5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08" w:right="0"/>
              <w:jc w:val="left"/>
              <w:rPr>
                <w:rFonts w:ascii="宋体" w:hAnsi="宋体" w:cs="宋体" w:eastAsia="宋体" w:hint="default"/>
                <w:sz w:val="18"/>
                <w:szCs w:val="18"/>
              </w:rPr>
            </w:pPr>
            <w:r>
              <w:rPr>
                <w:rFonts w:ascii="宋体" w:hAnsi="宋体" w:cs="宋体" w:eastAsia="宋体" w:hint="default"/>
                <w:sz w:val="18"/>
                <w:szCs w:val="18"/>
              </w:rPr>
              <w:t>临时公告披露的指定网站查询索引</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深圳银通</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公司将全资子公司深圳银通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权转让给全资子公司广州银通。</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
              <w:jc w:val="left"/>
              <w:rPr>
                <w:rFonts w:ascii="宋体" w:hAnsi="宋体" w:cs="宋体" w:eastAsia="宋体" w:hint="default"/>
                <w:sz w:val="18"/>
                <w:szCs w:val="18"/>
              </w:rPr>
            </w:pPr>
            <w:r>
              <w:rPr>
                <w:rFonts w:ascii="宋体" w:hAnsi="宋体" w:cs="宋体" w:eastAsia="宋体" w:hint="default"/>
                <w:spacing w:val="-7"/>
                <w:sz w:val="18"/>
                <w:szCs w:val="18"/>
              </w:rPr>
              <w:t>刊登在《证券时报》及巨潮资讯网（</w:t>
            </w:r>
            <w:hyperlink r:id="rId11">
              <w:r>
                <w:rPr>
                  <w:rFonts w:ascii="Times New Roman" w:hAnsi="Times New Roman" w:cs="Times New Roman" w:eastAsia="Times New Roman" w:hint="default"/>
                  <w:spacing w:val="-7"/>
                  <w:sz w:val="18"/>
                  <w:szCs w:val="18"/>
                </w:rPr>
                <w:t>http://www.cninfo.com.cn</w:t>
              </w:r>
            </w:hyperlink>
            <w:r>
              <w:rPr>
                <w:rFonts w:ascii="宋体" w:hAnsi="宋体" w:cs="宋体" w:eastAsia="宋体" w:hint="default"/>
                <w:spacing w:val="-7"/>
                <w:sz w:val="18"/>
                <w:szCs w:val="18"/>
              </w:rPr>
              <w:t>）上的《关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于公司与全资子公司股权内部转让的公告》（公告编号：临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2015-021</w:t>
            </w:r>
            <w:r>
              <w:rPr>
                <w:rFonts w:ascii="宋体" w:hAnsi="宋体" w:cs="宋体" w:eastAsia="宋体" w:hint="default"/>
                <w:sz w:val="18"/>
                <w:szCs w:val="18"/>
              </w:rPr>
              <w:t>）</w:t>
            </w:r>
          </w:p>
        </w:tc>
      </w:tr>
      <w:tr>
        <w:trPr>
          <w:trHeight w:val="133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运通信息</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7"/>
                <w:sz w:val="18"/>
                <w:szCs w:val="18"/>
              </w:rPr>
              <w:t>公司向全资子</w:t>
            </w:r>
            <w:r>
              <w:rPr>
                <w:rFonts w:ascii="宋体" w:hAnsi="宋体" w:cs="宋体" w:eastAsia="宋体" w:hint="default"/>
                <w:spacing w:val="-65"/>
                <w:sz w:val="18"/>
                <w:szCs w:val="18"/>
              </w:rPr>
              <w:t> </w:t>
            </w:r>
            <w:r>
              <w:rPr>
                <w:rFonts w:ascii="宋体" w:hAnsi="宋体" w:cs="宋体" w:eastAsia="宋体" w:hint="default"/>
                <w:spacing w:val="15"/>
                <w:sz w:val="18"/>
                <w:szCs w:val="18"/>
              </w:rPr>
              <w:t>公司运通</w:t>
            </w:r>
            <w:r>
              <w:rPr>
                <w:rFonts w:ascii="宋体" w:hAnsi="宋体" w:cs="宋体" w:eastAsia="宋体" w:hint="default"/>
                <w:spacing w:val="-65"/>
                <w:sz w:val="18"/>
                <w:szCs w:val="18"/>
              </w:rPr>
              <w:t> </w:t>
            </w:r>
            <w:r>
              <w:rPr>
                <w:rFonts w:ascii="宋体" w:hAnsi="宋体" w:cs="宋体" w:eastAsia="宋体" w:hint="default"/>
                <w:spacing w:val="10"/>
                <w:sz w:val="18"/>
                <w:szCs w:val="18"/>
              </w:rPr>
              <w:t>信息</w:t>
            </w:r>
            <w:r>
              <w:rPr>
                <w:rFonts w:ascii="宋体" w:hAnsi="宋体" w:cs="宋体" w:eastAsia="宋体" w:hint="default"/>
                <w:spacing w:val="-65"/>
                <w:sz w:val="18"/>
                <w:szCs w:val="18"/>
              </w:rPr>
              <w:t> </w:t>
            </w:r>
            <w:r>
              <w:rPr>
                <w:rFonts w:ascii="宋体" w:hAnsi="宋体" w:cs="宋体" w:eastAsia="宋体" w:hint="default"/>
                <w:spacing w:val="10"/>
                <w:sz w:val="18"/>
                <w:szCs w:val="18"/>
              </w:rPr>
              <w:t>增资</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 </w:t>
            </w:r>
            <w:r>
              <w:rPr>
                <w:rFonts w:ascii="Times New Roman" w:hAnsi="Times New Roman" w:cs="Times New Roman" w:eastAsia="Times New Roman" w:hint="default"/>
                <w:spacing w:val="17"/>
                <w:sz w:val="18"/>
                <w:szCs w:val="18"/>
              </w:rPr>
              <w:t> </w:t>
            </w:r>
            <w:r>
              <w:rPr>
                <w:rFonts w:ascii="宋体" w:hAnsi="宋体" w:cs="宋体" w:eastAsia="宋体" w:hint="default"/>
                <w:spacing w:val="12"/>
                <w:sz w:val="18"/>
                <w:szCs w:val="18"/>
              </w:rPr>
              <w:t>万元，运通信息注册资本由</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宋体" w:hAnsi="宋体" w:cs="宋体" w:eastAsia="宋体" w:hint="default"/>
                <w:spacing w:val="-7"/>
                <w:sz w:val="18"/>
                <w:szCs w:val="18"/>
              </w:rPr>
              <w:t>刊登在《证券时报》及巨潮资讯网（</w:t>
            </w:r>
            <w:hyperlink r:id="rId11">
              <w:r>
                <w:rPr>
                  <w:rFonts w:ascii="Times New Roman" w:hAnsi="Times New Roman" w:cs="Times New Roman" w:eastAsia="Times New Roman" w:hint="default"/>
                  <w:spacing w:val="-7"/>
                  <w:sz w:val="18"/>
                  <w:szCs w:val="18"/>
                </w:rPr>
                <w:t>http://www.cninfo.com.cn</w:t>
              </w:r>
            </w:hyperlink>
            <w:r>
              <w:rPr>
                <w:rFonts w:ascii="宋体" w:hAnsi="宋体" w:cs="宋体" w:eastAsia="宋体" w:hint="default"/>
                <w:spacing w:val="-7"/>
                <w:sz w:val="18"/>
                <w:szCs w:val="18"/>
              </w:rPr>
              <w:t>）上的《关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于向全资子公司广州广电运通信息科技有限公司增资的公告》（公告编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号：临</w:t>
            </w:r>
            <w:r>
              <w:rPr>
                <w:rFonts w:ascii="宋体" w:hAnsi="宋体" w:cs="宋体" w:eastAsia="宋体" w:hint="default"/>
                <w:spacing w:val="14"/>
                <w:sz w:val="18"/>
                <w:szCs w:val="18"/>
              </w:rPr>
              <w:t> </w:t>
            </w:r>
            <w:r>
              <w:rPr>
                <w:rFonts w:ascii="Times New Roman" w:hAnsi="Times New Roman" w:cs="Times New Roman" w:eastAsia="Times New Roman" w:hint="default"/>
                <w:spacing w:val="-6"/>
                <w:sz w:val="18"/>
                <w:szCs w:val="18"/>
              </w:rPr>
              <w:t>2015-074</w:t>
            </w:r>
            <w:r>
              <w:rPr>
                <w:rFonts w:ascii="宋体" w:hAnsi="宋体" w:cs="宋体" w:eastAsia="宋体" w:hint="default"/>
                <w:spacing w:val="-6"/>
                <w:sz w:val="18"/>
                <w:szCs w:val="18"/>
              </w:rPr>
              <w:t>）、《关于全资子公司运通信息完成增资及工商变更的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公告》（公告编号：临</w:t>
            </w:r>
            <w:r>
              <w:rPr>
                <w:rFonts w:ascii="宋体" w:hAnsi="宋体" w:cs="宋体" w:eastAsia="宋体" w:hint="default"/>
                <w:spacing w:val="-33"/>
                <w:sz w:val="18"/>
                <w:szCs w:val="18"/>
              </w:rPr>
              <w:t> </w:t>
            </w:r>
            <w:r>
              <w:rPr>
                <w:rFonts w:ascii="Times New Roman" w:hAnsi="Times New Roman" w:cs="Times New Roman" w:eastAsia="Times New Roman" w:hint="default"/>
                <w:spacing w:val="-19"/>
                <w:sz w:val="18"/>
                <w:szCs w:val="18"/>
              </w:rPr>
              <w:t>2016-007</w:t>
            </w:r>
            <w:r>
              <w:rPr>
                <w:rFonts w:ascii="宋体" w:hAnsi="宋体" w:cs="宋体" w:eastAsia="宋体" w:hint="default"/>
                <w:spacing w:val="-19"/>
                <w:sz w:val="18"/>
                <w:szCs w:val="18"/>
              </w:rPr>
              <w:t>）。</w:t>
            </w:r>
            <w:r>
              <w:rPr>
                <w:rFonts w:ascii="宋体" w:hAnsi="宋体" w:cs="宋体" w:eastAsia="宋体" w:hint="default"/>
                <w:sz w:val="18"/>
                <w:szCs w:val="18"/>
              </w:rPr>
            </w:r>
          </w:p>
        </w:tc>
      </w:tr>
      <w:tr>
        <w:trPr>
          <w:trHeight w:val="133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创自技术</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7"/>
                <w:sz w:val="18"/>
                <w:szCs w:val="18"/>
              </w:rPr>
              <w:t>新收购的控股子公司，公司持有其</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宋体" w:hAnsi="宋体" w:cs="宋体" w:eastAsia="宋体" w:hint="default"/>
                <w:sz w:val="18"/>
                <w:szCs w:val="18"/>
              </w:rPr>
              <w:t>的股份。</w:t>
            </w:r>
          </w:p>
        </w:tc>
        <w:tc>
          <w:tcPr>
            <w:tcW w:w="55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
              <w:jc w:val="left"/>
              <w:rPr>
                <w:rFonts w:ascii="宋体" w:hAnsi="宋体" w:cs="宋体" w:eastAsia="宋体" w:hint="default"/>
                <w:sz w:val="18"/>
                <w:szCs w:val="18"/>
              </w:rPr>
            </w:pPr>
            <w:r>
              <w:rPr>
                <w:rFonts w:ascii="宋体" w:hAnsi="宋体" w:cs="宋体" w:eastAsia="宋体" w:hint="default"/>
                <w:spacing w:val="-7"/>
                <w:sz w:val="18"/>
                <w:szCs w:val="18"/>
              </w:rPr>
              <w:t>刊登在《证券时报》及巨潮资讯网（</w:t>
            </w:r>
            <w:hyperlink r:id="rId11">
              <w:r>
                <w:rPr>
                  <w:rFonts w:ascii="Times New Roman" w:hAnsi="Times New Roman" w:cs="Times New Roman" w:eastAsia="Times New Roman" w:hint="default"/>
                  <w:spacing w:val="-7"/>
                  <w:sz w:val="18"/>
                  <w:szCs w:val="18"/>
                </w:rPr>
                <w:t>http://www.cninfo.com.cn</w:t>
              </w:r>
            </w:hyperlink>
            <w:r>
              <w:rPr>
                <w:rFonts w:ascii="宋体" w:hAnsi="宋体" w:cs="宋体" w:eastAsia="宋体" w:hint="default"/>
                <w:spacing w:val="-7"/>
                <w:sz w:val="18"/>
                <w:szCs w:val="18"/>
              </w:rPr>
              <w:t>）上的《关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9"/>
                <w:sz w:val="18"/>
                <w:szCs w:val="18"/>
              </w:rPr>
              <w:t>于收购深圳市创自技术有限公司</w:t>
            </w:r>
            <w:r>
              <w:rPr>
                <w:rFonts w:ascii="宋体" w:hAnsi="宋体" w:cs="宋体" w:eastAsia="宋体" w:hint="default"/>
                <w:spacing w:val="22"/>
                <w:sz w:val="18"/>
                <w:szCs w:val="18"/>
              </w:rPr>
              <w:t> </w:t>
            </w:r>
            <w:r>
              <w:rPr>
                <w:rFonts w:ascii="Times New Roman" w:hAnsi="Times New Roman" w:cs="Times New Roman" w:eastAsia="Times New Roman" w:hint="default"/>
                <w:spacing w:val="2"/>
                <w:sz w:val="18"/>
                <w:szCs w:val="18"/>
              </w:rPr>
              <w:t>70%</w:t>
            </w:r>
            <w:r>
              <w:rPr>
                <w:rFonts w:ascii="宋体" w:hAnsi="宋体" w:cs="宋体" w:eastAsia="宋体" w:hint="default"/>
                <w:spacing w:val="2"/>
                <w:sz w:val="18"/>
                <w:szCs w:val="18"/>
              </w:rPr>
              <w:t>股权的公告》（公告编号：临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6"/>
                <w:sz w:val="18"/>
                <w:szCs w:val="18"/>
              </w:rPr>
              <w:t>2015-052</w:t>
            </w:r>
            <w:r>
              <w:rPr>
                <w:rFonts w:ascii="宋体" w:hAnsi="宋体" w:cs="宋体" w:eastAsia="宋体" w:hint="default"/>
                <w:spacing w:val="-6"/>
                <w:sz w:val="18"/>
                <w:szCs w:val="18"/>
              </w:rPr>
              <w:t>）、《关于收购深圳市创自技术有限公司</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70%</w:t>
            </w:r>
            <w:r>
              <w:rPr>
                <w:rFonts w:ascii="宋体" w:hAnsi="宋体" w:cs="宋体" w:eastAsia="宋体" w:hint="default"/>
                <w:spacing w:val="1"/>
                <w:sz w:val="18"/>
                <w:szCs w:val="18"/>
              </w:rPr>
              <w:t>股权的进展的公</w:t>
            </w:r>
            <w:r>
              <w:rPr>
                <w:rFonts w:ascii="宋体" w:hAnsi="宋体" w:cs="宋体" w:eastAsia="宋体" w:hint="default"/>
                <w:spacing w:val="2"/>
                <w:sz w:val="18"/>
                <w:szCs w:val="18"/>
              </w:rPr>
              <w:t> </w:t>
            </w:r>
            <w:r>
              <w:rPr>
                <w:rFonts w:ascii="宋体" w:hAnsi="宋体" w:cs="宋体" w:eastAsia="宋体" w:hint="default"/>
                <w:spacing w:val="-11"/>
                <w:sz w:val="18"/>
                <w:szCs w:val="18"/>
              </w:rPr>
              <w:t>告》（公告编号：临</w:t>
            </w:r>
            <w:r>
              <w:rPr>
                <w:rFonts w:ascii="宋体" w:hAnsi="宋体" w:cs="宋体" w:eastAsia="宋体" w:hint="default"/>
                <w:spacing w:val="-35"/>
                <w:sz w:val="18"/>
                <w:szCs w:val="18"/>
              </w:rPr>
              <w:t> </w:t>
            </w:r>
            <w:r>
              <w:rPr>
                <w:rFonts w:ascii="Times New Roman" w:hAnsi="Times New Roman" w:cs="Times New Roman" w:eastAsia="Times New Roman" w:hint="default"/>
                <w:spacing w:val="-19"/>
                <w:sz w:val="18"/>
                <w:szCs w:val="18"/>
              </w:rPr>
              <w:t>2015-059</w:t>
            </w:r>
            <w:r>
              <w:rPr>
                <w:rFonts w:ascii="宋体" w:hAnsi="宋体" w:cs="宋体" w:eastAsia="宋体" w:hint="default"/>
                <w:spacing w:val="-19"/>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二十、社会责任情况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4" w:lineRule="auto" w:before="103"/>
        <w:ind w:right="190" w:firstLine="360"/>
        <w:jc w:val="both"/>
      </w:pPr>
      <w:r>
        <w:rPr/>
        <w:t>作为一家上市公司，公司在发展壮大的过程中，始终坚持积极履行社会责任。</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bookmarkStart w:name="二十、社会责任情况" w:id="98"/>
      <w:bookmarkEnd w:id="98"/>
      <w:r>
        <w:rPr>
          <w:rFonts w:ascii="Times New Roman" w:hAnsi="Times New Roman" w:cs="Times New Roman" w:eastAsia="Times New Roman" w:hint="default"/>
          <w:spacing w:val="2"/>
        </w:rPr>
      </w:r>
      <w:r>
        <w:rPr/>
        <w:t>年，公司按照“为社会、客户、合 </w:t>
      </w:r>
      <w:r>
        <w:rPr>
          <w:spacing w:val="-2"/>
        </w:rPr>
        <w:t>作伙伴、投资者和企业员工创造价值”的企业责任理念，在创造经济价值的同时，重视与股东、债权人、员工、客户、供应</w:t>
      </w:r>
      <w:r>
        <w:rPr>
          <w:spacing w:val="-65"/>
        </w:rPr>
        <w:t> </w:t>
      </w:r>
      <w:r>
        <w:rPr>
          <w:spacing w:val="-65"/>
        </w:rPr>
      </w:r>
      <w:r>
        <w:rPr>
          <w:spacing w:val="-2"/>
        </w:rPr>
        <w:t>商等利益相关方及时沟通，在合作过程中做到重信誉、重承诺、重合同、守信用，与利益相关方保持健康良好、合作共赢的</w:t>
      </w:r>
      <w:r>
        <w:rPr>
          <w:spacing w:val="-70"/>
        </w:rPr>
        <w:t> </w:t>
      </w:r>
      <w:r>
        <w:rPr>
          <w:spacing w:val="-70"/>
        </w:rPr>
      </w:r>
      <w:r>
        <w:rPr>
          <w:spacing w:val="-2"/>
        </w:rPr>
        <w:t>关系；秉承绿色经营理念，提供安全优质产品，保护员工合法权益，积极参与社会公益，促进公司与员工、社会与自然的和</w:t>
      </w:r>
      <w:r>
        <w:rPr>
          <w:spacing w:val="-68"/>
        </w:rPr>
        <w:t> </w:t>
      </w:r>
      <w:r>
        <w:rPr>
          <w:spacing w:val="-68"/>
        </w:rPr>
      </w:r>
      <w:r>
        <w:rPr/>
        <w:t>谐发展。</w:t>
      </w:r>
    </w:p>
    <w:p>
      <w:pPr>
        <w:pStyle w:val="BodyText"/>
        <w:spacing w:line="338" w:lineRule="auto" w:before="61"/>
        <w:ind w:left="512" w:right="94"/>
        <w:jc w:val="left"/>
      </w:pPr>
      <w:r>
        <w:rPr>
          <w:rFonts w:ascii="Times New Roman" w:hAnsi="Times New Roman" w:cs="Times New Roman" w:eastAsia="Times New Roman" w:hint="default"/>
        </w:rPr>
        <w:t>1</w:t>
      </w:r>
      <w:r>
        <w:rPr/>
        <w:t>、股东权益责任 </w:t>
      </w:r>
      <w:r>
        <w:rPr>
          <w:spacing w:val="-4"/>
        </w:rPr>
        <w:t>保障股东特别是中小股东的权益，是公司最基本的社会责任。报告期内，公司召开的股东大会均按要求开通了网络投票，</w:t>
      </w:r>
    </w:p>
    <w:p>
      <w:pPr>
        <w:pStyle w:val="BodyText"/>
        <w:spacing w:line="316" w:lineRule="auto" w:before="2"/>
        <w:ind w:right="94"/>
        <w:jc w:val="left"/>
      </w:pPr>
      <w:r>
        <w:rPr>
          <w:spacing w:val="-2"/>
        </w:rPr>
        <w:t>保障了股东基本的参与权和表决权。公司严格按照《公司章程》等有关规定，在征求独立董事的意见后制定年度权益分派方</w:t>
      </w:r>
      <w:r>
        <w:rPr>
          <w:spacing w:val="-66"/>
        </w:rPr>
        <w:t> </w:t>
      </w:r>
      <w:r>
        <w:rPr>
          <w:spacing w:val="-66"/>
        </w:rPr>
      </w:r>
      <w:r>
        <w:rPr/>
        <w:t>案并经董事会和股东大会审议通过，</w:t>
      </w:r>
      <w:r>
        <w:rPr>
          <w:spacing w:val="-1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4"/>
        </w:rPr>
        <w:t>月，公司</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年度权益分派方案实施完成，公司以</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w:t>
      </w:r>
    </w:p>
    <w:p>
      <w:pPr>
        <w:pStyle w:val="BodyText"/>
        <w:spacing w:line="300" w:lineRule="auto"/>
        <w:ind w:right="94"/>
        <w:jc w:val="left"/>
      </w:pPr>
      <w:r>
        <w:rPr/>
        <w:t>总股本</w:t>
      </w:r>
      <w:r>
        <w:rPr>
          <w:spacing w:val="-35"/>
        </w:rPr>
        <w:t> </w:t>
      </w:r>
      <w:r>
        <w:rPr>
          <w:rFonts w:ascii="Times New Roman" w:hAnsi="Times New Roman" w:cs="Times New Roman" w:eastAsia="Times New Roman" w:hint="default"/>
          <w:spacing w:val="-1"/>
        </w:rPr>
        <w:t>896,684,767</w:t>
      </w:r>
      <w:r>
        <w:rPr>
          <w:rFonts w:ascii="Times New Roman" w:hAnsi="Times New Roman" w:cs="Times New Roman" w:eastAsia="Times New Roman" w:hint="default"/>
          <w:spacing w:val="12"/>
        </w:rPr>
        <w:t> </w:t>
      </w:r>
      <w:r>
        <w:rPr>
          <w:spacing w:val="-1"/>
        </w:rPr>
        <w:t>股为基数，向全体股东每</w:t>
      </w:r>
      <w:r>
        <w:rPr>
          <w:spacing w:val="-35"/>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12"/>
        </w:rPr>
        <w:t> </w:t>
      </w:r>
      <w:r>
        <w:rPr>
          <w:spacing w:val="-1"/>
        </w:rPr>
        <w:t>股派发现金红利</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spacing w:val="-7"/>
        </w:rPr>
        <w:t>元（含税），共计派发了现金红利</w:t>
      </w:r>
      <w:r>
        <w:rPr>
          <w:spacing w:val="-35"/>
        </w:rPr>
        <w:t> </w:t>
      </w:r>
      <w:r>
        <w:rPr>
          <w:rFonts w:ascii="Times New Roman" w:hAnsi="Times New Roman" w:cs="Times New Roman" w:eastAsia="Times New Roman" w:hint="default"/>
          <w:spacing w:val="-1"/>
        </w:rPr>
        <w:t>538,010,860.20</w:t>
      </w:r>
      <w:r>
        <w:rPr>
          <w:rFonts w:ascii="Times New Roman" w:hAnsi="Times New Roman" w:cs="Times New Roman" w:eastAsia="Times New Roman" w:hint="default"/>
          <w:spacing w:val="12"/>
        </w:rPr>
        <w:t> </w:t>
      </w:r>
      <w:r>
        <w:rPr/>
        <w:t>元。公</w:t>
      </w:r>
      <w:r>
        <w:rPr>
          <w:spacing w:val="-83"/>
        </w:rPr>
        <w:t> </w:t>
      </w:r>
      <w:r>
        <w:rPr>
          <w:spacing w:val="-4"/>
        </w:rPr>
        <w:t>司在进行信息披露时，始终坚持真实、准确、及时、完整、公平的披露原则，秉持公平、公正、公开的原则对待全体投资者。</w:t>
      </w:r>
    </w:p>
    <w:p>
      <w:pPr>
        <w:pStyle w:val="BodyText"/>
        <w:spacing w:line="340" w:lineRule="auto" w:before="72"/>
        <w:ind w:left="512" w:right="94"/>
        <w:jc w:val="left"/>
      </w:pPr>
      <w:r>
        <w:rPr>
          <w:rFonts w:ascii="Times New Roman" w:hAnsi="Times New Roman" w:cs="Times New Roman" w:eastAsia="Times New Roman" w:hint="default"/>
        </w:rPr>
        <w:t>2</w:t>
      </w:r>
      <w:r>
        <w:rPr/>
        <w:t>、债权人、供应商权益责任 </w:t>
      </w:r>
      <w:r>
        <w:rPr>
          <w:spacing w:val="-2"/>
        </w:rPr>
        <w:t>公司一贯奉行稳健诚信的经营策略，对于债权人，充分尊重其对债权权益相关的重大信息的知情权；对于供应商，重视</w:t>
      </w:r>
    </w:p>
    <w:p>
      <w:pPr>
        <w:pStyle w:val="BodyText"/>
        <w:spacing w:line="300" w:lineRule="auto"/>
        <w:ind w:right="94"/>
        <w:jc w:val="left"/>
      </w:pPr>
      <w:r>
        <w:rPr/>
        <w:t>其权益，不无故拖欠款项。</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年，公司对供应商实施新绩效考核方案，优胜劣汰；完善供应商评审制度，细化考核打分 细则，努力做到公平、公正，与各供应商保持良好合作关系。</w:t>
      </w:r>
    </w:p>
    <w:p>
      <w:pPr>
        <w:pStyle w:val="BodyText"/>
        <w:spacing w:line="340" w:lineRule="auto" w:before="70"/>
        <w:ind w:left="512" w:right="94"/>
        <w:jc w:val="left"/>
      </w:pPr>
      <w:r>
        <w:rPr>
          <w:rFonts w:ascii="Times New Roman" w:hAnsi="Times New Roman" w:cs="Times New Roman" w:eastAsia="Times New Roman" w:hint="default"/>
        </w:rPr>
        <w:t>3</w:t>
      </w:r>
      <w:r>
        <w:rPr/>
        <w:t>、员工权益责任 </w:t>
      </w:r>
      <w:r>
        <w:rPr>
          <w:spacing w:val="-9"/>
        </w:rPr>
        <w:t>公司坚持以人为本，把人才战略作为企业发展的重点，严格遵守《劳动法》、《劳动合同法》、《妇女权益保护法》等相关</w:t>
      </w:r>
    </w:p>
    <w:p>
      <w:pPr>
        <w:spacing w:after="0" w:line="3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07" w:lineRule="auto" w:before="44"/>
        <w:ind w:right="157"/>
        <w:jc w:val="both"/>
      </w:pPr>
      <w:bookmarkStart w:name="二十一、公司债券相关情况" w:id="99"/>
      <w:bookmarkEnd w:id="99"/>
      <w:r>
        <w:rPr/>
      </w:r>
      <w:r>
        <w:rPr/>
        <w:t>法律法规，依法与各员工签订劳动合同，依法为各员工购买各项保险并及时足额缴纳，保障员工的合法权益。</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年，除 </w:t>
      </w:r>
      <w:r>
        <w:rPr>
          <w:spacing w:val="-2"/>
        </w:rPr>
        <w:t>国家规定的基本保险外，公司还为各员工够买了商业保险，为员工提供一些切实保障。公司根据不同类别的岗位制定了不同</w:t>
      </w:r>
      <w:r>
        <w:rPr>
          <w:spacing w:val="-63"/>
        </w:rPr>
        <w:t> </w:t>
      </w:r>
      <w:r>
        <w:rPr>
          <w:spacing w:val="-63"/>
        </w:rPr>
      </w:r>
      <w:r>
        <w:rPr>
          <w:spacing w:val="-2"/>
        </w:rPr>
        <w:t>的薪酬考核体系，对工作表现突出人员或团队进行物质与精神奖励；为员工提供平等的发展机会和晋升渠道，实现员工与企</w:t>
      </w:r>
      <w:r>
        <w:rPr>
          <w:spacing w:val="-63"/>
        </w:rPr>
        <w:t> </w:t>
      </w:r>
      <w:r>
        <w:rPr>
          <w:spacing w:val="-63"/>
        </w:rPr>
      </w:r>
      <w:r>
        <w:rPr/>
        <w:t>业的共同成长。公司重视人才培养，鼓励在职教育，积极提供各类职业素质提升培训；</w:t>
      </w:r>
      <w:r>
        <w:rPr>
          <w:rFonts w:ascii="Times New Roman" w:hAnsi="Times New Roman" w:cs="Times New Roman" w:eastAsia="Times New Roman" w:hint="default"/>
        </w:rPr>
        <w:t>2015 </w:t>
      </w:r>
      <w:r>
        <w:rPr/>
        <w:t>年，运通大讲堂开设了</w:t>
      </w:r>
      <w:r>
        <w:rPr>
          <w:spacing w:val="-46"/>
        </w:rPr>
        <w:t> </w:t>
      </w:r>
      <w:r>
        <w:rPr>
          <w:rFonts w:ascii="Times New Roman" w:hAnsi="Times New Roman" w:cs="Times New Roman" w:eastAsia="Times New Roman" w:hint="default"/>
        </w:rPr>
        <w:t>17 </w:t>
      </w:r>
      <w:r>
        <w:rPr>
          <w:spacing w:val="-3"/>
        </w:rPr>
        <w:t>期， </w:t>
      </w:r>
      <w:r>
        <w:rPr/>
        <w:t>内容涵盖公司多个业务方面。除外，公司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年还举办了运通好声音、趣味运动会、羽毛球比赛、摄影比赛、乒乓球赛、 绿色骑行等活动，积极关爱员工生活；不断完善职工帮困援助制度，构建温馨和谐氛围。</w:t>
      </w:r>
    </w:p>
    <w:p>
      <w:pPr>
        <w:pStyle w:val="BodyText"/>
        <w:spacing w:line="338" w:lineRule="auto" w:before="67"/>
        <w:ind w:left="512" w:right="94"/>
        <w:jc w:val="left"/>
      </w:pPr>
      <w:r>
        <w:rPr>
          <w:rFonts w:ascii="Times New Roman" w:hAnsi="Times New Roman" w:cs="Times New Roman" w:eastAsia="Times New Roman" w:hint="default"/>
        </w:rPr>
        <w:t>4</w:t>
      </w:r>
      <w:r>
        <w:rPr/>
        <w:t>、安全生产责任 安全生产是公司一直秉行的准则。公司对安全生产建立了包括安全生产目标管理、目标落实、制定安全生产管理标准、</w:t>
      </w:r>
    </w:p>
    <w:p>
      <w:pPr>
        <w:pStyle w:val="BodyText"/>
        <w:spacing w:line="307" w:lineRule="auto" w:before="2"/>
        <w:ind w:right="193"/>
        <w:jc w:val="both"/>
      </w:pPr>
      <w:r>
        <w:rPr>
          <w:spacing w:val="-2"/>
        </w:rPr>
        <w:t>贯彻执行、安全教育培训、安全生产监控检查、考核评价、持续改进、应急事故处理在内的管理制度，构建安全生产管理网</w:t>
      </w:r>
      <w:r>
        <w:rPr>
          <w:spacing w:val="-68"/>
        </w:rPr>
        <w:t> </w:t>
      </w:r>
      <w:r>
        <w:rPr>
          <w:spacing w:val="-68"/>
        </w:rPr>
      </w:r>
      <w:r>
        <w:rPr/>
        <w:t>络；全员签订安全生产合约，落实安全生产责任；制订安全生产考核标准，组织安全生产交叉考核；</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年，公司园区安 </w:t>
      </w:r>
      <w:r>
        <w:rPr>
          <w:spacing w:val="-2"/>
        </w:rPr>
        <w:t>全生产零事故。为进一步加强安全生产，公司</w:t>
      </w:r>
      <w:r>
        <w:rPr>
          <w:spacing w:val="-3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spacing w:val="-5"/>
        </w:rPr>
        <w:t>年制订了《安全技术管理规范》、开展“安全生产月”活动、进行季度安</w:t>
      </w:r>
      <w:r>
        <w:rPr>
          <w:spacing w:val="-88"/>
        </w:rPr>
        <w:t> </w:t>
      </w:r>
      <w:r>
        <w:rPr>
          <w:spacing w:val="-88"/>
        </w:rPr>
      </w:r>
      <w:r>
        <w:rPr/>
        <w:t>全检查等，保障公司稳定发展。</w:t>
      </w:r>
    </w:p>
    <w:p>
      <w:pPr>
        <w:pStyle w:val="BodyText"/>
        <w:spacing w:line="240" w:lineRule="auto" w:before="67"/>
        <w:ind w:left="512" w:right="94"/>
        <w:jc w:val="left"/>
      </w:pPr>
      <w:r>
        <w:rPr>
          <w:rFonts w:ascii="Times New Roman" w:hAnsi="Times New Roman" w:cs="Times New Roman" w:eastAsia="Times New Roman" w:hint="default"/>
        </w:rPr>
        <w:t>5</w:t>
      </w:r>
      <w:r>
        <w:rPr/>
        <w:t>、商品质量责任</w:t>
      </w:r>
    </w:p>
    <w:p>
      <w:pPr>
        <w:pStyle w:val="BodyText"/>
        <w:spacing w:line="304" w:lineRule="auto" w:before="103"/>
        <w:ind w:right="190" w:firstLine="359"/>
        <w:jc w:val="both"/>
      </w:pPr>
      <w:r>
        <w:rPr>
          <w:spacing w:val="-2"/>
        </w:rPr>
        <w:t>公司坚持“质量是我们的自尊心”原则。</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6"/>
        </w:rPr>
        <w:t>年，公司参加政府质量评奖，荣获“萝岗区区长质量奖”；</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6"/>
        </w:rPr>
        <w:t> </w:t>
      </w:r>
      <w:r>
        <w:rPr>
          <w:spacing w:val="-2"/>
        </w:rPr>
        <w:t>月，公司同</w:t>
      </w:r>
      <w:r>
        <w:rPr/>
        <w:t> </w:t>
      </w:r>
      <w:r>
        <w:rPr>
          <w:spacing w:val="-11"/>
          <w:w w:val="99"/>
        </w:rPr>
        <w:t>时获得国际信息安全管理体系（</w:t>
      </w:r>
      <w:r>
        <w:rPr>
          <w:rFonts w:ascii="Times New Roman" w:hAnsi="Times New Roman" w:cs="Times New Roman" w:eastAsia="Times New Roman" w:hint="default"/>
          <w:spacing w:val="-11"/>
          <w:w w:val="99"/>
        </w:rPr>
        <w:t>ISO27001</w:t>
      </w:r>
      <w:r>
        <w:rPr>
          <w:spacing w:val="-11"/>
          <w:w w:val="99"/>
        </w:rPr>
        <w:t>）、国际职业健康安全管理体系（</w:t>
      </w:r>
      <w:r>
        <w:rPr>
          <w:rFonts w:ascii="Times New Roman" w:hAnsi="Times New Roman" w:cs="Times New Roman" w:eastAsia="Times New Roman" w:hint="default"/>
          <w:spacing w:val="-11"/>
          <w:w w:val="99"/>
        </w:rPr>
        <w:t>OHSAS18001</w:t>
      </w:r>
      <w:r>
        <w:rPr>
          <w:spacing w:val="-11"/>
          <w:w w:val="99"/>
        </w:rPr>
        <w:t>）认证证书，在原有的质量（</w:t>
      </w:r>
      <w:r>
        <w:rPr>
          <w:rFonts w:ascii="Times New Roman" w:hAnsi="Times New Roman" w:cs="Times New Roman" w:eastAsia="Times New Roman" w:hint="default"/>
          <w:spacing w:val="-11"/>
          <w:w w:val="99"/>
        </w:rPr>
        <w:t>ISO9001</w:t>
      </w:r>
      <w:r>
        <w:rPr>
          <w:spacing w:val="-11"/>
          <w:w w:val="99"/>
        </w:rPr>
        <w:t>）、</w:t>
      </w:r>
      <w:r>
        <w:rPr>
          <w:spacing w:val="-62"/>
          <w:w w:val="99"/>
        </w:rPr>
        <w:t> </w:t>
      </w:r>
      <w:r>
        <w:rPr/>
        <w:t>环境（</w:t>
      </w:r>
      <w:r>
        <w:rPr>
          <w:rFonts w:ascii="Times New Roman" w:hAnsi="Times New Roman" w:cs="Times New Roman" w:eastAsia="Times New Roman" w:hint="default"/>
        </w:rPr>
        <w:t>ISO14001</w:t>
      </w:r>
      <w:r>
        <w:rPr/>
        <w:t>）及有害物质（</w:t>
      </w:r>
      <w:r>
        <w:rPr>
          <w:rFonts w:ascii="Times New Roman" w:hAnsi="Times New Roman" w:cs="Times New Roman" w:eastAsia="Times New Roman" w:hint="default"/>
        </w:rPr>
        <w:t>QC080000</w:t>
      </w:r>
      <w:r>
        <w:rPr/>
        <w:t>）管理体系的基础上，成为国内首家同时获得五个国际管理体系认证的 </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25"/>
        </w:rPr>
        <w:t> </w:t>
      </w:r>
      <w:r>
        <w:rPr/>
        <w:t>企 </w:t>
      </w:r>
      <w:r>
        <w:rPr>
          <w:spacing w:val="-2"/>
        </w:rPr>
        <w:t>业。公司质量管理部门通过与业务系统建立定期质量沟通反馈处理机制、积极组织质量知识培训考核、对重大质量问题进行</w:t>
      </w:r>
      <w:r>
        <w:rPr>
          <w:spacing w:val="-63"/>
        </w:rPr>
        <w:t> </w:t>
      </w:r>
      <w:r>
        <w:rPr>
          <w:spacing w:val="-63"/>
        </w:rPr>
      </w:r>
      <w:r>
        <w:rPr/>
        <w:t>跟进调查等，严格把控产品质量，为客户提供优质的产品。</w:t>
      </w:r>
    </w:p>
    <w:p>
      <w:pPr>
        <w:pStyle w:val="BodyText"/>
        <w:spacing w:line="340" w:lineRule="auto" w:before="66"/>
        <w:ind w:left="512" w:right="94"/>
        <w:jc w:val="left"/>
      </w:pPr>
      <w:r>
        <w:rPr>
          <w:rFonts w:ascii="Times New Roman" w:hAnsi="Times New Roman" w:cs="Times New Roman" w:eastAsia="Times New Roman" w:hint="default"/>
        </w:rPr>
        <w:t>6</w:t>
      </w:r>
      <w:r>
        <w:rPr/>
        <w:t>、环境保护责任 </w:t>
      </w:r>
      <w:r>
        <w:rPr>
          <w:spacing w:val="-2"/>
        </w:rPr>
        <w:t>作为高科技电子企业，公司生产以装配为主，无水污染、基本无大气、噪声污染，经营活动对自然生态环境产生的直接</w:t>
      </w:r>
    </w:p>
    <w:p>
      <w:pPr>
        <w:pStyle w:val="BodyText"/>
        <w:spacing w:line="300" w:lineRule="auto"/>
        <w:ind w:right="193"/>
        <w:jc w:val="both"/>
      </w:pPr>
      <w:r>
        <w:rPr/>
        <w:t>影响甚微。公司一向秉承绿色经营的理念，积极倡导无纸化办公，呼吁员工践行低碳生活；</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月，公司连续第九年 发起“地球一小时”系列活动；积极倡导凭条无纸化、账单电子化及智能社区银行普及化，呼吁更多的人加入环保事业。</w:t>
      </w:r>
    </w:p>
    <w:p>
      <w:pPr>
        <w:pStyle w:val="BodyText"/>
        <w:spacing w:line="338" w:lineRule="auto" w:before="72"/>
        <w:ind w:left="512" w:right="94"/>
        <w:jc w:val="left"/>
      </w:pPr>
      <w:r>
        <w:rPr>
          <w:rFonts w:ascii="Times New Roman" w:hAnsi="Times New Roman" w:cs="Times New Roman" w:eastAsia="Times New Roman" w:hint="default"/>
        </w:rPr>
        <w:t>7</w:t>
      </w:r>
      <w:r>
        <w:rPr/>
        <w:t>、社会公益责任 </w:t>
      </w:r>
      <w:r>
        <w:rPr>
          <w:spacing w:val="-2"/>
        </w:rPr>
        <w:t>公司在努力创造企业价值的同时，注重社会价值的创造。在面临国内外严峻经济形势和经营成本上升的双重压力下，公</w:t>
      </w:r>
    </w:p>
    <w:p>
      <w:pPr>
        <w:pStyle w:val="BodyText"/>
        <w:spacing w:line="316" w:lineRule="auto" w:before="2"/>
        <w:ind w:right="195"/>
        <w:jc w:val="both"/>
      </w:pPr>
      <w:r>
        <w:rPr>
          <w:spacing w:val="-2"/>
        </w:rPr>
        <w:t>司努力保持发展，吸纳更多就业人员；业务持续增长，为地区财政创收；积极投身社会公益慈善事业，将企业取得的经营成</w:t>
      </w:r>
      <w:r>
        <w:rPr>
          <w:spacing w:val="-67"/>
        </w:rPr>
        <w:t> </w:t>
      </w:r>
      <w:r>
        <w:rPr>
          <w:spacing w:val="-67"/>
        </w:rPr>
      </w:r>
      <w:r>
        <w:rPr/>
        <w:t>果反馈给社会，努力创造和谐公共关系，提升公司品牌形象。</w:t>
      </w:r>
    </w:p>
    <w:p>
      <w:pPr>
        <w:pStyle w:val="BodyText"/>
        <w:spacing w:line="338" w:lineRule="auto" w:before="59"/>
        <w:ind w:right="94" w:firstLine="360"/>
        <w:jc w:val="left"/>
      </w:pPr>
      <w:r>
        <w:rPr>
          <w:spacing w:val="-2"/>
        </w:rPr>
        <w:t>未来，公司在经营发展的同时将持续履行社会责任，兼顾各利益相关者利益，坚持绿色经营理念，努力打造广受客户青</w:t>
      </w:r>
      <w:r>
        <w:rPr/>
        <w:t> 睐、赢得社会信赖的知名品牌，实现商业利益与社会责任的和谐统一。 上市公司及其子公司是否属于国家环境保护部门规定的重污染行业</w:t>
      </w:r>
    </w:p>
    <w:p>
      <w:pPr>
        <w:pStyle w:val="BodyText"/>
        <w:spacing w:line="240" w:lineRule="auto" w:before="4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7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963" w:right="94"/>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一、股份变动</w:t>
      </w:r>
      <w:bookmarkStart w:name="一、股份变动情况" w:id="102"/>
      <w:bookmarkEnd w:id="102"/>
      <w:r>
        <w:rPr/>
        <w:t>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0" w:right="193"/>
        <w:jc w:val="right"/>
      </w:pPr>
      <w:bookmarkStart w:name="1、股份变动情况" w:id="103"/>
      <w:bookmarkEnd w:id="103"/>
      <w:r>
        <w:rPr/>
      </w: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09"/>
        <w:gridCol w:w="1039"/>
        <w:gridCol w:w="900"/>
        <w:gridCol w:w="605"/>
        <w:gridCol w:w="1015"/>
        <w:gridCol w:w="540"/>
        <w:gridCol w:w="720"/>
        <w:gridCol w:w="1078"/>
        <w:gridCol w:w="1063"/>
        <w:gridCol w:w="739"/>
      </w:tblGrid>
      <w:tr>
        <w:trPr>
          <w:trHeight w:val="403" w:hRule="exact"/>
        </w:trPr>
        <w:tc>
          <w:tcPr>
            <w:tcW w:w="2009" w:type="dxa"/>
            <w:vMerge w:val="restart"/>
            <w:tcBorders>
              <w:top w:val="single" w:sz="4" w:space="0" w:color="000000"/>
              <w:left w:val="single" w:sz="4" w:space="0" w:color="000000"/>
              <w:right w:val="single" w:sz="4" w:space="0" w:color="000000"/>
            </w:tcBorders>
            <w:shd w:val="clear" w:color="auto" w:fill="D4D4D4"/>
          </w:tcPr>
          <w:p>
            <w:pP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5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8" w:hRule="exact"/>
        </w:trPr>
        <w:tc>
          <w:tcPr>
            <w:tcW w:w="2009" w:type="dxa"/>
            <w:vMerge/>
            <w:tcBorders>
              <w:left w:val="single" w:sz="4" w:space="0" w:color="000000"/>
              <w:bottom w:val="nil" w:sz="6" w:space="0" w:color="auto"/>
              <w:right w:val="single" w:sz="4" w:space="0" w:color="000000"/>
            </w:tcBorders>
            <w:shd w:val="clear" w:color="auto" w:fill="D4D4D4"/>
          </w:tcPr>
          <w:p>
            <w:pPr/>
          </w:p>
        </w:tc>
        <w:tc>
          <w:tcPr>
            <w:tcW w:w="1039" w:type="dxa"/>
            <w:vMerge w:val="restart"/>
            <w:tcBorders>
              <w:top w:val="single" w:sz="4" w:space="0" w:color="000000"/>
              <w:left w:val="single" w:sz="4" w:space="0" w:color="000000"/>
              <w:right w:val="single" w:sz="4" w:space="0" w:color="000000"/>
            </w:tcBorders>
            <w:shd w:val="clear" w:color="auto" w:fill="D4D4D4"/>
          </w:tcPr>
          <w:p>
            <w:pPr/>
          </w:p>
        </w:tc>
        <w:tc>
          <w:tcPr>
            <w:tcW w:w="900" w:type="dxa"/>
            <w:vMerge w:val="restart"/>
            <w:tcBorders>
              <w:top w:val="single" w:sz="4" w:space="0" w:color="000000"/>
              <w:left w:val="single" w:sz="4" w:space="0" w:color="000000"/>
              <w:right w:val="single" w:sz="4" w:space="0" w:color="000000"/>
            </w:tcBorders>
            <w:shd w:val="clear" w:color="auto" w:fill="D4D4D4"/>
          </w:tcPr>
          <w:p>
            <w:pPr/>
          </w:p>
        </w:tc>
        <w:tc>
          <w:tcPr>
            <w:tcW w:w="60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15" w:type="dxa"/>
            <w:vMerge w:val="restart"/>
            <w:tcBorders>
              <w:top w:val="single" w:sz="4" w:space="0" w:color="000000"/>
              <w:left w:val="single" w:sz="4" w:space="0" w:color="000000"/>
              <w:right w:val="single" w:sz="4" w:space="0" w:color="000000"/>
            </w:tcBorders>
            <w:shd w:val="clear" w:color="auto" w:fill="D4D4D4"/>
          </w:tcPr>
          <w:p>
            <w:pPr/>
          </w:p>
        </w:tc>
        <w:tc>
          <w:tcPr>
            <w:tcW w:w="54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720" w:type="dxa"/>
            <w:vMerge w:val="restart"/>
            <w:tcBorders>
              <w:top w:val="single" w:sz="4" w:space="0" w:color="000000"/>
              <w:left w:val="single" w:sz="4" w:space="0" w:color="000000"/>
              <w:right w:val="single" w:sz="4" w:space="0" w:color="000000"/>
            </w:tcBorders>
            <w:shd w:val="clear" w:color="auto" w:fill="D4D4D4"/>
          </w:tcPr>
          <w:p>
            <w:pPr/>
          </w:p>
        </w:tc>
        <w:tc>
          <w:tcPr>
            <w:tcW w:w="1078" w:type="dxa"/>
            <w:vMerge w:val="restart"/>
            <w:tcBorders>
              <w:top w:val="single" w:sz="4" w:space="0" w:color="000000"/>
              <w:left w:val="single" w:sz="4" w:space="0" w:color="000000"/>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
        </w:tc>
        <w:tc>
          <w:tcPr>
            <w:tcW w:w="739" w:type="dxa"/>
            <w:vMerge w:val="restart"/>
            <w:tcBorders>
              <w:top w:val="single" w:sz="4" w:space="0" w:color="000000"/>
              <w:left w:val="single" w:sz="4" w:space="0" w:color="000000"/>
              <w:right w:val="single" w:sz="4" w:space="0" w:color="000000"/>
            </w:tcBorders>
            <w:shd w:val="clear" w:color="auto" w:fill="D4D4D4"/>
          </w:tcPr>
          <w:p>
            <w:pPr/>
          </w:p>
        </w:tc>
      </w:tr>
      <w:tr>
        <w:trPr>
          <w:trHeight w:val="188"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39" w:type="dxa"/>
            <w:vMerge/>
            <w:tcBorders>
              <w:left w:val="single" w:sz="4" w:space="0" w:color="000000"/>
              <w:bottom w:val="nil" w:sz="6" w:space="0" w:color="auto"/>
              <w:right w:val="single" w:sz="4" w:space="0" w:color="000000"/>
            </w:tcBorders>
            <w:shd w:val="clear" w:color="auto" w:fill="D4D4D4"/>
          </w:tcPr>
          <w:p>
            <w:pPr/>
          </w:p>
        </w:tc>
        <w:tc>
          <w:tcPr>
            <w:tcW w:w="900" w:type="dxa"/>
            <w:vMerge/>
            <w:tcBorders>
              <w:left w:val="single" w:sz="4" w:space="0" w:color="000000"/>
              <w:bottom w:val="nil" w:sz="6" w:space="0" w:color="auto"/>
              <w:right w:val="single" w:sz="4" w:space="0" w:color="000000"/>
            </w:tcBorders>
            <w:shd w:val="clear" w:color="auto" w:fill="D4D4D4"/>
          </w:tcPr>
          <w:p>
            <w:pPr/>
          </w:p>
        </w:tc>
        <w:tc>
          <w:tcPr>
            <w:tcW w:w="605" w:type="dxa"/>
            <w:vMerge w:val="restart"/>
            <w:tcBorders>
              <w:top w:val="nil" w:sz="6" w:space="0" w:color="auto"/>
              <w:left w:val="single" w:sz="4" w:space="0" w:color="000000"/>
              <w:right w:val="single" w:sz="4" w:space="0" w:color="000000"/>
            </w:tcBorders>
            <w:shd w:val="clear" w:color="auto" w:fill="D4D4D4"/>
          </w:tcPr>
          <w:p>
            <w:pPr>
              <w:pStyle w:val="TableParagraph"/>
              <w:spacing w:line="357" w:lineRule="auto" w:before="62"/>
              <w:ind w:left="117" w:right="115"/>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1015" w:type="dxa"/>
            <w:vMerge/>
            <w:tcBorders>
              <w:left w:val="single" w:sz="4" w:space="0" w:color="000000"/>
              <w:bottom w:val="nil" w:sz="6" w:space="0" w:color="auto"/>
              <w:right w:val="single" w:sz="4" w:space="0" w:color="000000"/>
            </w:tcBorders>
            <w:shd w:val="clear" w:color="auto" w:fill="D4D4D4"/>
          </w:tcPr>
          <w:p>
            <w:pPr/>
          </w:p>
        </w:tc>
        <w:tc>
          <w:tcPr>
            <w:tcW w:w="540" w:type="dxa"/>
            <w:vMerge/>
            <w:tcBorders>
              <w:left w:val="single" w:sz="4" w:space="0" w:color="000000"/>
              <w:right w:val="single" w:sz="4" w:space="0" w:color="000000"/>
            </w:tcBorders>
            <w:shd w:val="clear" w:color="auto" w:fill="D4D4D4"/>
          </w:tcPr>
          <w:p>
            <w:pPr/>
          </w:p>
        </w:tc>
        <w:tc>
          <w:tcPr>
            <w:tcW w:w="720" w:type="dxa"/>
            <w:vMerge/>
            <w:tcBorders>
              <w:left w:val="single" w:sz="4" w:space="0" w:color="000000"/>
              <w:bottom w:val="nil" w:sz="6" w:space="0" w:color="auto"/>
              <w:right w:val="single" w:sz="4" w:space="0" w:color="000000"/>
            </w:tcBorders>
            <w:shd w:val="clear" w:color="auto" w:fill="D4D4D4"/>
          </w:tcPr>
          <w:p>
            <w:pPr/>
          </w:p>
        </w:tc>
        <w:tc>
          <w:tcPr>
            <w:tcW w:w="1078"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c>
          <w:tcPr>
            <w:tcW w:w="739" w:type="dxa"/>
            <w:vMerge/>
            <w:tcBorders>
              <w:left w:val="single" w:sz="4" w:space="0" w:color="000000"/>
              <w:bottom w:val="nil" w:sz="6" w:space="0" w:color="auto"/>
              <w:right w:val="single" w:sz="4" w:space="0" w:color="000000"/>
            </w:tcBorders>
            <w:shd w:val="clear" w:color="auto" w:fill="D4D4D4"/>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4D4D4"/>
          </w:tcPr>
          <w:p>
            <w:pPr/>
          </w:p>
        </w:tc>
        <w:tc>
          <w:tcPr>
            <w:tcW w:w="103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5" w:type="dxa"/>
            <w:vMerge/>
            <w:tcBorders>
              <w:left w:val="single" w:sz="4" w:space="0" w:color="000000"/>
              <w:right w:val="single" w:sz="4" w:space="0" w:color="000000"/>
            </w:tcBorders>
            <w:shd w:val="clear" w:color="auto" w:fill="D4D4D4"/>
          </w:tcPr>
          <w:p>
            <w:pPr/>
          </w:p>
        </w:tc>
        <w:tc>
          <w:tcPr>
            <w:tcW w:w="10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40" w:type="dxa"/>
            <w:vMerge/>
            <w:tcBorders>
              <w:left w:val="single" w:sz="4" w:space="0" w:color="000000"/>
              <w:right w:val="single" w:sz="4" w:space="0" w:color="000000"/>
            </w:tcBorders>
            <w:shd w:val="clear" w:color="auto" w:fill="D4D4D4"/>
          </w:tcPr>
          <w:p>
            <w:pPr/>
          </w:p>
        </w:tc>
        <w:tc>
          <w:tcPr>
            <w:tcW w:w="72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1039" w:type="dxa"/>
            <w:vMerge/>
            <w:tcBorders>
              <w:left w:val="single" w:sz="4" w:space="0" w:color="000000"/>
              <w:bottom w:val="nil" w:sz="6" w:space="0" w:color="auto"/>
              <w:right w:val="single" w:sz="4" w:space="0" w:color="000000"/>
            </w:tcBorders>
            <w:shd w:val="clear" w:color="auto" w:fill="D4D4D4"/>
          </w:tcPr>
          <w:p>
            <w:pPr/>
          </w:p>
        </w:tc>
        <w:tc>
          <w:tcPr>
            <w:tcW w:w="900" w:type="dxa"/>
            <w:vMerge/>
            <w:tcBorders>
              <w:left w:val="single" w:sz="4" w:space="0" w:color="000000"/>
              <w:bottom w:val="nil" w:sz="6" w:space="0" w:color="auto"/>
              <w:right w:val="single" w:sz="4" w:space="0" w:color="000000"/>
            </w:tcBorders>
            <w:shd w:val="clear" w:color="auto" w:fill="D4D4D4"/>
          </w:tcPr>
          <w:p>
            <w:pPr/>
          </w:p>
        </w:tc>
        <w:tc>
          <w:tcPr>
            <w:tcW w:w="605" w:type="dxa"/>
            <w:vMerge/>
            <w:tcBorders>
              <w:left w:val="single" w:sz="4" w:space="0" w:color="000000"/>
              <w:right w:val="single" w:sz="4" w:space="0" w:color="000000"/>
            </w:tcBorders>
            <w:shd w:val="clear" w:color="auto" w:fill="D4D4D4"/>
          </w:tcPr>
          <w:p>
            <w:pPr/>
          </w:p>
        </w:tc>
        <w:tc>
          <w:tcPr>
            <w:tcW w:w="1015" w:type="dxa"/>
            <w:vMerge/>
            <w:tcBorders>
              <w:left w:val="single" w:sz="4" w:space="0" w:color="000000"/>
              <w:bottom w:val="nil" w:sz="6" w:space="0" w:color="auto"/>
              <w:right w:val="single" w:sz="4" w:space="0" w:color="000000"/>
            </w:tcBorders>
            <w:shd w:val="clear" w:color="auto" w:fill="D4D4D4"/>
          </w:tcPr>
          <w:p>
            <w:pPr/>
          </w:p>
        </w:tc>
        <w:tc>
          <w:tcPr>
            <w:tcW w:w="540" w:type="dxa"/>
            <w:vMerge/>
            <w:tcBorders>
              <w:left w:val="single" w:sz="4" w:space="0" w:color="000000"/>
              <w:right w:val="single" w:sz="4" w:space="0" w:color="000000"/>
            </w:tcBorders>
            <w:shd w:val="clear" w:color="auto" w:fill="D4D4D4"/>
          </w:tcPr>
          <w:p>
            <w:pPr/>
          </w:p>
        </w:tc>
        <w:tc>
          <w:tcPr>
            <w:tcW w:w="720" w:type="dxa"/>
            <w:vMerge/>
            <w:tcBorders>
              <w:left w:val="single" w:sz="4" w:space="0" w:color="000000"/>
              <w:bottom w:val="nil" w:sz="6" w:space="0" w:color="auto"/>
              <w:right w:val="single" w:sz="4" w:space="0" w:color="000000"/>
            </w:tcBorders>
            <w:shd w:val="clear" w:color="auto" w:fill="D4D4D4"/>
          </w:tcPr>
          <w:p>
            <w:pPr/>
          </w:p>
        </w:tc>
        <w:tc>
          <w:tcPr>
            <w:tcW w:w="1078"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bottom w:val="nil" w:sz="6" w:space="0" w:color="auto"/>
              <w:right w:val="single" w:sz="4" w:space="0" w:color="000000"/>
            </w:tcBorders>
            <w:shd w:val="clear" w:color="auto" w:fill="D4D4D4"/>
          </w:tcPr>
          <w:p>
            <w:pPr/>
          </w:p>
        </w:tc>
        <w:tc>
          <w:tcPr>
            <w:tcW w:w="739"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2009" w:type="dxa"/>
            <w:vMerge/>
            <w:tcBorders>
              <w:left w:val="single" w:sz="4" w:space="0" w:color="000000"/>
              <w:bottom w:val="single" w:sz="4" w:space="0" w:color="000000"/>
              <w:right w:val="single" w:sz="4" w:space="0" w:color="000000"/>
            </w:tcBorders>
            <w:shd w:val="clear" w:color="auto" w:fill="D4D4D4"/>
          </w:tcPr>
          <w:p>
            <w:pPr/>
          </w:p>
        </w:tc>
        <w:tc>
          <w:tcPr>
            <w:tcW w:w="1039" w:type="dxa"/>
            <w:tcBorders>
              <w:top w:val="nil" w:sz="6" w:space="0" w:color="auto"/>
              <w:left w:val="single" w:sz="4" w:space="0" w:color="000000"/>
              <w:bottom w:val="single" w:sz="4" w:space="0" w:color="000000"/>
              <w:right w:val="single" w:sz="4" w:space="0" w:color="000000"/>
            </w:tcBorders>
            <w:shd w:val="clear" w:color="auto" w:fill="D4D4D4"/>
          </w:tcPr>
          <w:p>
            <w:pPr/>
          </w:p>
        </w:tc>
        <w:tc>
          <w:tcPr>
            <w:tcW w:w="900" w:type="dxa"/>
            <w:tcBorders>
              <w:top w:val="nil" w:sz="6" w:space="0" w:color="auto"/>
              <w:left w:val="single" w:sz="4" w:space="0" w:color="000000"/>
              <w:bottom w:val="single" w:sz="4" w:space="0" w:color="000000"/>
              <w:right w:val="single" w:sz="4" w:space="0" w:color="000000"/>
            </w:tcBorders>
            <w:shd w:val="clear" w:color="auto" w:fill="D4D4D4"/>
          </w:tcPr>
          <w:p>
            <w:pPr/>
          </w:p>
        </w:tc>
        <w:tc>
          <w:tcPr>
            <w:tcW w:w="605" w:type="dxa"/>
            <w:vMerge/>
            <w:tcBorders>
              <w:left w:val="single" w:sz="4" w:space="0" w:color="000000"/>
              <w:bottom w:val="single" w:sz="4" w:space="0" w:color="000000"/>
              <w:right w:val="single" w:sz="4" w:space="0" w:color="000000"/>
            </w:tcBorders>
            <w:shd w:val="clear" w:color="auto" w:fill="D4D4D4"/>
          </w:tcPr>
          <w:p>
            <w:pPr/>
          </w:p>
        </w:tc>
        <w:tc>
          <w:tcPr>
            <w:tcW w:w="10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40" w:type="dxa"/>
            <w:vMerge/>
            <w:tcBorders>
              <w:left w:val="single" w:sz="4" w:space="0" w:color="000000"/>
              <w:bottom w:val="single" w:sz="4" w:space="0" w:color="000000"/>
              <w:right w:val="single" w:sz="4" w:space="0" w:color="000000"/>
            </w:tcBorders>
            <w:shd w:val="clear" w:color="auto" w:fill="D4D4D4"/>
          </w:tcPr>
          <w:p>
            <w:pPr/>
          </w:p>
        </w:tc>
        <w:tc>
          <w:tcPr>
            <w:tcW w:w="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107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3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33,641,193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c>
          <w:tcPr>
            <w:tcW w:w="605" w:type="dxa"/>
            <w:tcBorders>
              <w:top w:val="single" w:sz="54" w:space="0" w:color="D4D4D4"/>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33,586,309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33,641,193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33,586,309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33,641,193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33,586,309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5"/>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863,043,574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96.25%</w:t>
            </w: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863,098,458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96.25%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863,043,574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96.25%</w:t>
            </w: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863,098,458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96.25%</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9" w:type="dxa"/>
            <w:tcBorders>
              <w:top w:val="single" w:sz="4" w:space="0" w:color="000000"/>
              <w:left w:val="single" w:sz="10" w:space="0" w:color="D4D4D4"/>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896,684,767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896,684,767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94"/>
        <w:jc w:val="left"/>
      </w:pPr>
      <w:r>
        <w:rPr/>
        <w:t>股份变动的原因</w:t>
      </w:r>
    </w:p>
    <w:p>
      <w:pPr>
        <w:pStyle w:val="BodyText"/>
        <w:spacing w:line="340" w:lineRule="auto" w:before="115"/>
        <w:ind w:left="512" w:right="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本次股份变动的原因系董事、监事及高管的限售股在本期按规定自动进行解锁所致，董事、监事及高管所持股份的解锁</w:t>
      </w:r>
    </w:p>
    <w:p>
      <w:pPr>
        <w:pStyle w:val="BodyText"/>
        <w:spacing w:line="360" w:lineRule="auto"/>
        <w:ind w:right="6754"/>
        <w:jc w:val="left"/>
      </w:pPr>
      <w:r>
        <w:rPr/>
        <w:t>情况按照中国证监会的相关规定执行。 股份变动的批准情况</w:t>
      </w:r>
    </w:p>
    <w:p>
      <w:pPr>
        <w:pStyle w:val="BodyText"/>
        <w:spacing w:line="340" w:lineRule="auto" w:before="2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3"/>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left="372" w:right="0"/>
        <w:jc w:val="left"/>
      </w:pPr>
      <w:bookmarkStart w:name="3、现存的内部职工股情况" w:id="104"/>
      <w:bookmarkEnd w:id="104"/>
      <w:r>
        <w:rPr/>
      </w:r>
      <w:bookmarkStart w:name="三、股东和实际控制人情况" w:id="105"/>
      <w:bookmarkEnd w:id="105"/>
      <w:r>
        <w:rPr/>
      </w:r>
      <w:bookmarkStart w:name="1、公司股东数量及持股情况" w:id="106"/>
      <w:bookmarkEnd w:id="106"/>
      <w:r>
        <w:rPr/>
      </w:r>
      <w:r>
        <w:rPr/>
        <w:t>公司认为必要或证券监管机构要求披露的其他内容</w:t>
      </w:r>
    </w:p>
    <w:p>
      <w:pPr>
        <w:pStyle w:val="BodyText"/>
        <w:spacing w:line="240" w:lineRule="auto" w:before="117"/>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7"/>
        <w:ind w:left="372" w:right="0"/>
        <w:jc w:val="left"/>
        <w:rPr>
          <w:b w:val="0"/>
          <w:bCs w:val="0"/>
        </w:rPr>
      </w:pPr>
      <w:r>
        <w:rPr>
          <w:rFonts w:ascii="Times New Roman" w:hAnsi="Times New Roman" w:cs="Times New Roman" w:eastAsia="Times New Roman" w:hint="default"/>
        </w:rPr>
        <w:t>2</w:t>
      </w:r>
      <w:r>
        <w:rPr/>
        <w:t>、限售</w:t>
      </w:r>
      <w:bookmarkStart w:name="2、限售股份变动情况" w:id="107"/>
      <w:bookmarkEnd w:id="107"/>
      <w:r>
        <w:rPr/>
        <w:t>股份</w:t>
      </w:r>
      <w:r>
        <w:rPr/>
        <w:t>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44"/>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373"/>
        <w:jc w:val="right"/>
      </w:pPr>
      <w:r>
        <w:rPr/>
        <w:t>单位：股</w:t>
      </w:r>
    </w:p>
    <w:p>
      <w:pPr>
        <w:spacing w:line="240" w:lineRule="auto" w:before="4"/>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018"/>
        <w:gridCol w:w="1018"/>
        <w:gridCol w:w="1018"/>
        <w:gridCol w:w="1020"/>
        <w:gridCol w:w="1018"/>
        <w:gridCol w:w="2004"/>
        <w:gridCol w:w="3053"/>
      </w:tblGrid>
      <w:tr>
        <w:trPr>
          <w:trHeight w:val="713" w:hRule="exact"/>
        </w:trPr>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49"/>
              <w:ind w:left="415" w:right="5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49"/>
              <w:ind w:left="235" w:right="5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49"/>
              <w:ind w:left="235" w:right="53"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49"/>
              <w:ind w:left="415" w:right="5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0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305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16,062,992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16,062,991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3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218,920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218,920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5,241,979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5,241,979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5,910,283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5,910,283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3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885,284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33,821</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851,463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冯丰穗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201,860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201,860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3,933,016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3,933,016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3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491,309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491,309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312,504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312,504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李叶东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100,446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25,112</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75,334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38"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蒋春晨</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282,600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282,600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解永生</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4,050</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341" w:hRule="exact"/>
        </w:trPr>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018" w:type="dxa"/>
            <w:tcBorders>
              <w:top w:val="single" w:sz="4" w:space="0" w:color="000000"/>
              <w:left w:val="single" w:sz="12" w:space="0" w:color="DDDDDD"/>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33,641,193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58,934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33,586,309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372" w:right="0"/>
        <w:jc w:val="left"/>
        <w:rPr>
          <w:b w:val="0"/>
          <w:bCs w:val="0"/>
        </w:rPr>
      </w:pPr>
      <w:r>
        <w:rPr/>
        <w:t>二、证券发行与上市情况</w:t>
      </w:r>
      <w:r>
        <w:rPr>
          <w:b w:val="0"/>
          <w:bCs w:val="0"/>
        </w:rPr>
      </w:r>
    </w:p>
    <w:p>
      <w:pPr>
        <w:spacing w:line="240" w:lineRule="auto" w:before="6"/>
        <w:rPr>
          <w:rFonts w:ascii="宋体" w:hAnsi="宋体" w:cs="宋体" w:eastAsia="宋体" w:hint="default"/>
          <w:b/>
          <w:bCs/>
          <w:sz w:val="26"/>
          <w:szCs w:val="26"/>
        </w:rPr>
      </w:pPr>
    </w:p>
    <w:p>
      <w:pPr>
        <w:pStyle w:val="Heading5"/>
        <w:spacing w:line="240" w:lineRule="auto"/>
        <w:ind w:left="372"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left="372"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left="372"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left="3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372"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left="372"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373"/>
        <w:jc w:val="right"/>
      </w:pPr>
      <w:bookmarkStart w:name="二、证券发行与上市情况" w:id="108"/>
      <w:bookmarkEnd w:id="108"/>
      <w:r>
        <w:rPr/>
      </w:r>
      <w:bookmarkStart w:name="1、报告期内证券发行（不含优先股）情况" w:id="109"/>
      <w:bookmarkEnd w:id="109"/>
      <w:r>
        <w:rPr/>
      </w:r>
      <w:bookmarkStart w:name="2、公司股份总数及股东结构的变动、公司资产和负债结构的变动情况说明" w:id="110"/>
      <w:bookmarkEnd w:id="110"/>
      <w:r>
        <w:rPr/>
      </w:r>
      <w:r>
        <w:rPr/>
        <w:t>单位：股</w:t>
      </w:r>
    </w:p>
    <w:p>
      <w:pPr>
        <w:spacing w:after="0" w:line="240" w:lineRule="auto"/>
        <w:jc w:val="right"/>
        <w:sectPr>
          <w:pgSz w:w="11910" w:h="16840"/>
          <w:pgMar w:header="877" w:footer="982" w:top="1100" w:bottom="1180" w:left="760" w:right="76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1879"/>
        <w:gridCol w:w="533"/>
        <w:gridCol w:w="439"/>
        <w:gridCol w:w="696"/>
        <w:gridCol w:w="850"/>
        <w:gridCol w:w="1133"/>
        <w:gridCol w:w="1027"/>
        <w:gridCol w:w="425"/>
        <w:gridCol w:w="391"/>
        <w:gridCol w:w="286"/>
        <w:gridCol w:w="1133"/>
        <w:gridCol w:w="708"/>
        <w:gridCol w:w="530"/>
      </w:tblGrid>
      <w:tr>
        <w:trPr>
          <w:trHeight w:val="1026"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42"/>
              <w:jc w:val="left"/>
              <w:rPr>
                <w:rFonts w:ascii="宋体" w:hAnsi="宋体" w:cs="宋体" w:eastAsia="宋体" w:hint="default"/>
                <w:sz w:val="18"/>
                <w:szCs w:val="18"/>
              </w:rPr>
            </w:pPr>
            <w:r>
              <w:rPr>
                <w:rFonts w:ascii="宋体" w:hAnsi="宋体" w:cs="宋体" w:eastAsia="宋体" w:hint="default"/>
                <w:sz w:val="18"/>
                <w:szCs w:val="18"/>
              </w:rPr>
              <w:t>报告期末普通股股东 总数</w:t>
            </w:r>
          </w:p>
        </w:tc>
        <w:tc>
          <w:tcPr>
            <w:tcW w:w="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4" w:right="0"/>
              <w:jc w:val="left"/>
              <w:rPr>
                <w:rFonts w:ascii="Times New Roman" w:hAnsi="Times New Roman" w:cs="Times New Roman" w:eastAsia="Times New Roman" w:hint="default"/>
                <w:sz w:val="18"/>
                <w:szCs w:val="18"/>
              </w:rPr>
            </w:pPr>
            <w:r>
              <w:rPr>
                <w:rFonts w:ascii="Times New Roman"/>
                <w:sz w:val="18"/>
              </w:rPr>
              <w:t>26,860</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68"/>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29,333</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5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3" w:right="10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030"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9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714" w:hRule="exact"/>
        </w:trPr>
        <w:tc>
          <w:tcPr>
            <w:tcW w:w="241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357" w:lineRule="auto" w:before="49"/>
              <w:ind w:left="240" w:right="23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90"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51" w:right="144"/>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87" w:right="18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4" w:right="163" w:hanging="272"/>
              <w:jc w:val="left"/>
              <w:rPr>
                <w:rFonts w:ascii="宋体" w:hAnsi="宋体" w:cs="宋体" w:eastAsia="宋体" w:hint="default"/>
                <w:sz w:val="18"/>
                <w:szCs w:val="18"/>
              </w:rPr>
            </w:pPr>
            <w:r>
              <w:rPr>
                <w:rFonts w:ascii="宋体" w:hAnsi="宋体" w:cs="宋体" w:eastAsia="宋体" w:hint="default"/>
                <w:sz w:val="18"/>
                <w:szCs w:val="18"/>
              </w:rPr>
              <w:t>质押或冻结 情况</w:t>
            </w:r>
          </w:p>
        </w:tc>
      </w:tr>
      <w:tr>
        <w:trPr>
          <w:trHeight w:val="714" w:hRule="exact"/>
        </w:trPr>
        <w:tc>
          <w:tcPr>
            <w:tcW w:w="2412" w:type="dxa"/>
            <w:gridSpan w:val="2"/>
            <w:vMerge/>
            <w:tcBorders>
              <w:left w:val="single" w:sz="4" w:space="0" w:color="000000"/>
              <w:bottom w:val="single" w:sz="4" w:space="0" w:color="000000"/>
              <w:right w:val="single" w:sz="4" w:space="0" w:color="000000"/>
            </w:tcBorders>
            <w:shd w:val="clear" w:color="auto" w:fill="D4D4D4"/>
          </w:tcPr>
          <w:p>
            <w:pPr/>
          </w:p>
        </w:tc>
        <w:tc>
          <w:tcPr>
            <w:tcW w:w="1135" w:type="dxa"/>
            <w:gridSpan w:val="2"/>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1027" w:type="dxa"/>
            <w:vMerge/>
            <w:tcBorders>
              <w:left w:val="single" w:sz="4" w:space="0" w:color="000000"/>
              <w:bottom w:val="single" w:sz="4" w:space="0" w:color="000000"/>
              <w:right w:val="single" w:sz="4" w:space="0" w:color="000000"/>
            </w:tcBorders>
            <w:shd w:val="clear" w:color="auto" w:fill="D4D4D4"/>
          </w:tcPr>
          <w:p>
            <w:pPr/>
          </w:p>
        </w:tc>
        <w:tc>
          <w:tcPr>
            <w:tcW w:w="1102" w:type="dxa"/>
            <w:gridSpan w:val="3"/>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67" w:right="16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70" w:right="168"/>
              <w:jc w:val="left"/>
              <w:rPr>
                <w:rFonts w:ascii="宋体" w:hAnsi="宋体" w:cs="宋体" w:eastAsia="宋体" w:hint="default"/>
                <w:sz w:val="18"/>
                <w:szCs w:val="18"/>
              </w:rPr>
            </w:pPr>
            <w:r>
              <w:rPr>
                <w:rFonts w:ascii="宋体" w:hAnsi="宋体" w:cs="宋体" w:eastAsia="宋体" w:hint="default"/>
                <w:sz w:val="18"/>
                <w:szCs w:val="18"/>
              </w:rPr>
              <w:t>数 量</w:t>
            </w:r>
          </w:p>
        </w:tc>
      </w:tr>
      <w:tr>
        <w:trPr>
          <w:trHeight w:val="401"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47.70%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427,718,964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427,718,964</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40,518,733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629,925</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40,518,733</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23,689,704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-5,999,908</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23,689,704</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21,417,322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16,062,991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5,354,331</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2"/>
                <w:sz w:val="18"/>
                <w:szCs w:val="18"/>
              </w:rPr>
              <w:t>新华人寿保险股份有限公司</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 分 红 － 个 人 分 </w:t>
            </w:r>
            <w:r>
              <w:rPr>
                <w:rFonts w:ascii="宋体" w:hAnsi="宋体" w:cs="宋体" w:eastAsia="宋体" w:hint="default"/>
                <w:spacing w:val="35"/>
                <w:sz w:val="18"/>
                <w:szCs w:val="18"/>
              </w:rPr>
              <w:t> </w:t>
            </w:r>
            <w:r>
              <w:rPr>
                <w:rFonts w:ascii="宋体" w:hAnsi="宋体" w:cs="宋体" w:eastAsia="宋体" w:hint="default"/>
                <w:sz w:val="18"/>
                <w:szCs w:val="18"/>
              </w:rPr>
              <w:t>红</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深</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18,058,637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8,821,877</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18,058,637</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曾文</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0.88%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7,880,378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5,910,283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1,970,095</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6,989,306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5,241,979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1,747,327</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102"/>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36"/>
                <w:sz w:val="18"/>
              </w:rPr>
              <w:t> </w:t>
            </w:r>
            <w:r>
              <w:rPr>
                <w:rFonts w:ascii="Times New Roman"/>
                <w:spacing w:val="-5"/>
                <w:sz w:val="18"/>
              </w:rPr>
              <w:t>GATES</w:t>
            </w:r>
            <w:r>
              <w:rPr>
                <w:rFonts w:ascii="Times New Roman"/>
                <w:w w:val="99"/>
                <w:sz w:val="18"/>
              </w:rPr>
              <w:t> </w:t>
            </w:r>
            <w:r>
              <w:rPr>
                <w:rFonts w:ascii="Times New Roman"/>
                <w:spacing w:val="-3"/>
                <w:sz w:val="18"/>
              </w:rPr>
              <w:t>FOUNDATION</w:t>
            </w:r>
            <w:r>
              <w:rPr>
                <w:rFonts w:ascii="Times New Roman"/>
                <w:spacing w:val="-1"/>
                <w:sz w:val="18"/>
              </w:rPr>
              <w:t> </w:t>
            </w:r>
            <w:r>
              <w:rPr>
                <w:rFonts w:ascii="Times New Roman"/>
                <w:sz w:val="18"/>
              </w:rPr>
              <w:t>TRUST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6,952,959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-951,600</w:t>
            </w: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6,952,959</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99"/>
              <w:jc w:val="left"/>
              <w:rPr>
                <w:rFonts w:ascii="宋体" w:hAnsi="宋体" w:cs="宋体" w:eastAsia="宋体" w:hint="default"/>
                <w:sz w:val="18"/>
                <w:szCs w:val="18"/>
              </w:rPr>
            </w:pPr>
            <w:r>
              <w:rPr>
                <w:rFonts w:ascii="宋体" w:hAnsi="宋体" w:cs="宋体" w:eastAsia="宋体" w:hint="default"/>
                <w:spacing w:val="2"/>
                <w:sz w:val="18"/>
                <w:szCs w:val="18"/>
              </w:rPr>
              <w:t>中国工商银行－华安中小盘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成长混合型证券投资基金</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6,780,000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6,780,000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35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参</w:t>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648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35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82"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公司前十名股东中：第四名股东赵友永先生为广州无线电集团有限公司的董事 </w:t>
            </w:r>
            <w:r>
              <w:rPr>
                <w:rFonts w:ascii="宋体" w:hAnsi="宋体" w:cs="宋体" w:eastAsia="宋体" w:hint="default"/>
                <w:spacing w:val="-2"/>
                <w:sz w:val="18"/>
                <w:szCs w:val="18"/>
              </w:rPr>
              <w:t>长，第七名股东曾文先生为公司董事，第八名股东叶子瑜先生为公司董事、总经</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理，存在关联关系；未知其他股东之间是否存在关联关系，也未知是否属于一致</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行动人。</w:t>
            </w:r>
          </w:p>
        </w:tc>
      </w:tr>
      <w:tr>
        <w:trPr>
          <w:trHeight w:val="402" w:hRule="exact"/>
        </w:trPr>
        <w:tc>
          <w:tcPr>
            <w:tcW w:w="10030"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5530" w:type="dxa"/>
            <w:gridSpan w:val="6"/>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379" w:right="103" w:hanging="272"/>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26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5530" w:type="dxa"/>
            <w:gridSpan w:val="6"/>
            <w:vMerge/>
            <w:tcBorders>
              <w:left w:val="single" w:sz="4" w:space="0" w:color="000000"/>
              <w:bottom w:val="single" w:sz="4" w:space="0" w:color="000000"/>
              <w:right w:val="single" w:sz="4" w:space="0" w:color="000000"/>
            </w:tcBorders>
            <w:shd w:val="clear" w:color="auto" w:fill="D4D4D4"/>
          </w:tcPr>
          <w:p>
            <w:pPr/>
          </w:p>
        </w:tc>
        <w:tc>
          <w:tcPr>
            <w:tcW w:w="1843" w:type="dxa"/>
            <w:gridSpan w:val="3"/>
            <w:vMerge/>
            <w:tcBorders>
              <w:left w:val="single" w:sz="4" w:space="0" w:color="000000"/>
              <w:bottom w:val="single" w:sz="4" w:space="0" w:color="000000"/>
              <w:right w:val="single" w:sz="4" w:space="0" w:color="000000"/>
            </w:tcBorders>
            <w:shd w:val="clear" w:color="auto" w:fill="D4D4D4"/>
          </w:tcPr>
          <w:p>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3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55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0" w:right="0"/>
              <w:jc w:val="left"/>
              <w:rPr>
                <w:rFonts w:ascii="Times New Roman" w:hAnsi="Times New Roman" w:cs="Times New Roman" w:eastAsia="Times New Roman" w:hint="default"/>
                <w:sz w:val="18"/>
                <w:szCs w:val="18"/>
              </w:rPr>
            </w:pPr>
            <w:r>
              <w:rPr>
                <w:rFonts w:ascii="Times New Roman"/>
                <w:sz w:val="18"/>
              </w:rPr>
              <w:t>427,718,964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3" w:right="0"/>
              <w:jc w:val="left"/>
              <w:rPr>
                <w:rFonts w:ascii="Times New Roman" w:hAnsi="Times New Roman" w:cs="Times New Roman" w:eastAsia="Times New Roman" w:hint="default"/>
                <w:sz w:val="18"/>
                <w:szCs w:val="18"/>
              </w:rPr>
            </w:pPr>
            <w:r>
              <w:rPr>
                <w:rFonts w:ascii="Times New Roman"/>
                <w:sz w:val="18"/>
              </w:rPr>
              <w:t>427,718,964</w:t>
            </w:r>
          </w:p>
        </w:tc>
      </w:tr>
      <w:tr>
        <w:trPr>
          <w:trHeight w:val="401" w:hRule="exact"/>
        </w:trPr>
        <w:tc>
          <w:tcPr>
            <w:tcW w:w="55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全国社保基金一零四组合</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1" w:right="0"/>
              <w:jc w:val="left"/>
              <w:rPr>
                <w:rFonts w:ascii="Times New Roman" w:hAnsi="Times New Roman" w:cs="Times New Roman" w:eastAsia="Times New Roman" w:hint="default"/>
                <w:sz w:val="18"/>
                <w:szCs w:val="18"/>
              </w:rPr>
            </w:pPr>
            <w:r>
              <w:rPr>
                <w:rFonts w:ascii="Times New Roman"/>
                <w:sz w:val="18"/>
              </w:rPr>
              <w:t>40,518,733</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40,518,733</w:t>
            </w:r>
          </w:p>
        </w:tc>
      </w:tr>
      <w:tr>
        <w:trPr>
          <w:trHeight w:val="403" w:hRule="exact"/>
        </w:trPr>
        <w:tc>
          <w:tcPr>
            <w:tcW w:w="55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梅州敬基实业有限公司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1" w:right="0"/>
              <w:jc w:val="left"/>
              <w:rPr>
                <w:rFonts w:ascii="Times New Roman" w:hAnsi="Times New Roman" w:cs="Times New Roman" w:eastAsia="Times New Roman" w:hint="default"/>
                <w:sz w:val="18"/>
                <w:szCs w:val="18"/>
              </w:rPr>
            </w:pPr>
            <w:r>
              <w:rPr>
                <w:rFonts w:ascii="Times New Roman"/>
                <w:sz w:val="18"/>
              </w:rPr>
              <w:t>23,689,704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4" w:right="0"/>
              <w:jc w:val="left"/>
              <w:rPr>
                <w:rFonts w:ascii="Times New Roman" w:hAnsi="Times New Roman" w:cs="Times New Roman" w:eastAsia="Times New Roman" w:hint="default"/>
                <w:sz w:val="18"/>
                <w:szCs w:val="18"/>
              </w:rPr>
            </w:pPr>
            <w:r>
              <w:rPr>
                <w:rFonts w:ascii="Times New Roman"/>
                <w:sz w:val="18"/>
              </w:rPr>
              <w:t>23,689,704</w:t>
            </w:r>
          </w:p>
        </w:tc>
      </w:tr>
      <w:tr>
        <w:trPr>
          <w:trHeight w:val="403" w:hRule="exact"/>
        </w:trPr>
        <w:tc>
          <w:tcPr>
            <w:tcW w:w="55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深</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1" w:right="0"/>
              <w:jc w:val="left"/>
              <w:rPr>
                <w:rFonts w:ascii="Times New Roman" w:hAnsi="Times New Roman" w:cs="Times New Roman" w:eastAsia="Times New Roman" w:hint="default"/>
                <w:sz w:val="18"/>
                <w:szCs w:val="18"/>
              </w:rPr>
            </w:pPr>
            <w:r>
              <w:rPr>
                <w:rFonts w:ascii="Times New Roman"/>
                <w:sz w:val="18"/>
              </w:rPr>
              <w:t>18,058,637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18,058,637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60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530"/>
        <w:gridCol w:w="1843"/>
        <w:gridCol w:w="1418"/>
        <w:gridCol w:w="1238"/>
      </w:tblGrid>
      <w:tr>
        <w:trPr>
          <w:trHeight w:val="401"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BILL &amp; MELINDA </w:t>
            </w:r>
            <w:r>
              <w:rPr>
                <w:rFonts w:ascii="Times New Roman"/>
                <w:spacing w:val="-5"/>
                <w:sz w:val="18"/>
              </w:rPr>
              <w:t>GATES </w:t>
            </w:r>
            <w:r>
              <w:rPr>
                <w:rFonts w:ascii="Times New Roman"/>
                <w:spacing w:val="-3"/>
                <w:sz w:val="18"/>
              </w:rPr>
              <w:t>FOUNDATION</w:t>
            </w:r>
            <w:r>
              <w:rPr>
                <w:rFonts w:ascii="Times New Roman"/>
                <w:spacing w:val="-13"/>
                <w:sz w:val="18"/>
              </w:rPr>
              <w:t> </w:t>
            </w:r>
            <w:r>
              <w:rPr>
                <w:rFonts w:ascii="Times New Roman"/>
                <w:sz w:val="18"/>
              </w:rPr>
              <w:t>TRUST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6,952,959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6,952,959</w:t>
            </w: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中国工商银行－华安中小盘成长混合型证券投资基金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6,780,000</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6,269,200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6,269,200</w:t>
            </w:r>
          </w:p>
        </w:tc>
      </w:tr>
      <w:tr>
        <w:trPr>
          <w:trHeight w:val="401"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新华人寿保险股份有限公司－分红－团体分红</w:t>
            </w:r>
            <w:r>
              <w:rPr>
                <w:rFonts w:ascii="Times New Roman" w:hAnsi="Times New Roman" w:cs="Times New Roman" w:eastAsia="Times New Roman" w:hint="default"/>
                <w:sz w:val="18"/>
                <w:szCs w:val="18"/>
              </w:rPr>
              <w:t>-018L-FH001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6,009,837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6,009,837</w:t>
            </w:r>
          </w:p>
        </w:tc>
      </w:tr>
      <w:tr>
        <w:trPr>
          <w:trHeight w:val="715"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99"/>
              <w:jc w:val="left"/>
              <w:rPr>
                <w:rFonts w:ascii="宋体" w:hAnsi="宋体" w:cs="宋体" w:eastAsia="宋体" w:hint="default"/>
                <w:sz w:val="18"/>
                <w:szCs w:val="18"/>
              </w:rPr>
            </w:pPr>
            <w:r>
              <w:rPr>
                <w:rFonts w:ascii="宋体" w:hAnsi="宋体" w:cs="宋体" w:eastAsia="宋体" w:hint="default"/>
                <w:spacing w:val="2"/>
                <w:sz w:val="18"/>
                <w:szCs w:val="18"/>
              </w:rPr>
              <w:t>中国农业银行股份有限公司－富国中证国有企业改革指数分级证券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投资基金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5,758,783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5,758,783</w:t>
            </w:r>
          </w:p>
        </w:tc>
      </w:tr>
      <w:tr>
        <w:trPr>
          <w:trHeight w:val="1337"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r>
              <w:rPr>
                <w:rFonts w:ascii="宋体" w:hAnsi="宋体" w:cs="宋体" w:eastAsia="宋体" w:hint="default"/>
                <w:spacing w:val="-3"/>
                <w:sz w:val="18"/>
                <w:szCs w:val="18"/>
              </w:rPr>
              <w:t>股</w:t>
            </w:r>
            <w:r>
              <w:rPr>
                <w:rFonts w:ascii="宋体" w:hAnsi="宋体" w:cs="宋体" w:eastAsia="宋体" w:hint="default"/>
                <w:sz w:val="18"/>
                <w:szCs w:val="18"/>
              </w:rPr>
              <w:t>东和前</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名股东之间关联关系或一致行动的说明</w:t>
            </w:r>
          </w:p>
        </w:tc>
        <w:tc>
          <w:tcPr>
            <w:tcW w:w="45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8"/>
              <w:jc w:val="left"/>
              <w:rPr>
                <w:rFonts w:ascii="宋体" w:hAnsi="宋体" w:cs="宋体" w:eastAsia="宋体" w:hint="default"/>
                <w:sz w:val="18"/>
                <w:szCs w:val="18"/>
              </w:rPr>
            </w:pPr>
            <w:r>
              <w:rPr>
                <w:rFonts w:ascii="宋体" w:hAnsi="宋体" w:cs="宋体" w:eastAsia="宋体" w:hint="default"/>
                <w:spacing w:val="-2"/>
                <w:sz w:val="18"/>
                <w:szCs w:val="18"/>
              </w:rPr>
              <w:t>前十名无限售流通股股东中：第一大股东广州无线电集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团有限公司与第三大股东梅州敬基实业有限公司同为 </w:t>
            </w:r>
            <w:r>
              <w:rPr>
                <w:rFonts w:ascii="宋体" w:hAnsi="宋体" w:cs="宋体" w:eastAsia="宋体" w:hint="default"/>
                <w:spacing w:val="-2"/>
                <w:sz w:val="18"/>
                <w:szCs w:val="18"/>
              </w:rPr>
              <w:t>公司发起人股东，但不存在关联关系，未知其他股东之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间是否存在关联关系，也未知是否属于一致行动人。</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w:t>
            </w:r>
            <w:r>
              <w:rPr>
                <w:rFonts w:ascii="宋体" w:hAnsi="宋体" w:cs="宋体" w:eastAsia="宋体" w:hint="default"/>
                <w:spacing w:val="-3"/>
                <w:sz w:val="18"/>
                <w:szCs w:val="18"/>
              </w:rPr>
              <w:t>融</w:t>
            </w:r>
            <w:r>
              <w:rPr>
                <w:rFonts w:ascii="宋体" w:hAnsi="宋体" w:cs="宋体" w:eastAsia="宋体" w:hint="default"/>
                <w:sz w:val="18"/>
                <w:szCs w:val="18"/>
              </w:rPr>
              <w:t>券业务情况说明（如有</w:t>
            </w:r>
            <w:r>
              <w:rPr>
                <w:rFonts w:ascii="宋体" w:hAnsi="宋体" w:cs="宋体" w:eastAsia="宋体" w:hint="default"/>
                <w:spacing w:val="-92"/>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45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公司前十名普通股股东未参与融资融券业务。</w:t>
            </w:r>
          </w:p>
        </w:tc>
      </w:tr>
    </w:tbl>
    <w:p>
      <w:pPr>
        <w:pStyle w:val="BodyText"/>
        <w:spacing w:line="240" w:lineRule="auto" w:before="49"/>
        <w:ind w:left="532"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left="532"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32"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5"/>
        <w:spacing w:line="240" w:lineRule="auto" w:before="129"/>
        <w:ind w:left="53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7"/>
        <w:ind w:left="532" w:right="7434"/>
        <w:jc w:val="left"/>
      </w:pPr>
      <w:r>
        <w:rPr/>
        <w:t>控股股东性质：地方国有控股 控股股东类型：法人</w:t>
      </w:r>
    </w:p>
    <w:tbl>
      <w:tblPr>
        <w:tblW w:w="0" w:type="auto"/>
        <w:jc w:val="left"/>
        <w:tblInd w:w="420" w:type="dxa"/>
        <w:tblLayout w:type="fixed"/>
        <w:tblCellMar>
          <w:top w:w="0" w:type="dxa"/>
          <w:left w:w="0" w:type="dxa"/>
          <w:bottom w:w="0" w:type="dxa"/>
          <w:right w:w="0" w:type="dxa"/>
        </w:tblCellMar>
        <w:tblLook w:val="01E0"/>
      </w:tblPr>
      <w:tblGrid>
        <w:gridCol w:w="1526"/>
        <w:gridCol w:w="1277"/>
        <w:gridCol w:w="991"/>
        <w:gridCol w:w="1277"/>
        <w:gridCol w:w="4498"/>
      </w:tblGrid>
      <w:tr>
        <w:trPr>
          <w:trHeight w:val="754" w:hRule="exact"/>
        </w:trPr>
        <w:tc>
          <w:tcPr>
            <w:tcW w:w="15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82" w:right="15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60" w:lineRule="auto" w:before="49"/>
              <w:ind w:left="453" w:right="271"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4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公司控股股东情况" w:id="111"/>
            <w:bookmarkEnd w:id="111"/>
            <w:r>
              <w:rPr/>
            </w:r>
            <w:r>
              <w:rPr>
                <w:rFonts w:ascii="宋体" w:hAnsi="宋体" w:cs="宋体" w:eastAsia="宋体" w:hint="default"/>
                <w:sz w:val="18"/>
                <w:szCs w:val="18"/>
              </w:rPr>
              <w:t>主要经营业务</w:t>
            </w:r>
          </w:p>
        </w:tc>
      </w:tr>
      <w:tr>
        <w:trPr>
          <w:trHeight w:val="383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98" w:right="127" w:hanging="272"/>
              <w:jc w:val="left"/>
              <w:rPr>
                <w:rFonts w:ascii="宋体" w:hAnsi="宋体" w:cs="宋体" w:eastAsia="宋体" w:hint="default"/>
                <w:sz w:val="18"/>
                <w:szCs w:val="18"/>
              </w:rPr>
            </w:pPr>
            <w:r>
              <w:rPr>
                <w:rFonts w:ascii="宋体" w:hAnsi="宋体" w:cs="宋体" w:eastAsia="宋体" w:hint="default"/>
                <w:sz w:val="18"/>
                <w:szCs w:val="18"/>
              </w:rPr>
              <w:t>广州无线电集团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23121622-0</w:t>
            </w:r>
          </w:p>
        </w:tc>
        <w:tc>
          <w:tcPr>
            <w:tcW w:w="4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4"/>
                <w:sz w:val="18"/>
                <w:szCs w:val="18"/>
              </w:rPr>
              <w:t>资产管理（不含许可审批项目）；计算机应用电子设备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制造；通信系统设备制造；通信终端设备制造；雷达及</w:t>
            </w:r>
            <w:r>
              <w:rPr>
                <w:rFonts w:ascii="宋体" w:hAnsi="宋体" w:cs="宋体" w:eastAsia="宋体" w:hint="default"/>
                <w:sz w:val="18"/>
                <w:szCs w:val="18"/>
              </w:rPr>
              <w:t> </w:t>
            </w:r>
            <w:r>
              <w:rPr>
                <w:rFonts w:ascii="宋体" w:hAnsi="宋体" w:cs="宋体" w:eastAsia="宋体" w:hint="default"/>
                <w:spacing w:val="-6"/>
                <w:sz w:val="18"/>
                <w:szCs w:val="18"/>
              </w:rPr>
              <w:t>配套设备制造；计算机技术开发、技术服务；软件开发；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信息技术咨询服务；房地产开发经营；房屋租赁；货物</w:t>
            </w:r>
            <w:r>
              <w:rPr>
                <w:rFonts w:ascii="宋体" w:hAnsi="宋体" w:cs="宋体" w:eastAsia="宋体" w:hint="default"/>
                <w:sz w:val="18"/>
                <w:szCs w:val="18"/>
              </w:rPr>
              <w:t> </w:t>
            </w:r>
            <w:r>
              <w:rPr>
                <w:rFonts w:ascii="宋体" w:hAnsi="宋体" w:cs="宋体" w:eastAsia="宋体" w:hint="default"/>
                <w:spacing w:val="-4"/>
                <w:sz w:val="18"/>
                <w:szCs w:val="18"/>
              </w:rPr>
              <w:t>进出口（专营专控商品除外）；技术进出口；商品批发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贸易（许可审批类商品除外）；塑料零件制造；音响设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备制造；影视录放设备制造；光电子器件及其他电子器</w:t>
            </w:r>
            <w:r>
              <w:rPr>
                <w:rFonts w:ascii="宋体" w:hAnsi="宋体" w:cs="宋体" w:eastAsia="宋体" w:hint="default"/>
                <w:sz w:val="18"/>
                <w:szCs w:val="18"/>
              </w:rPr>
              <w:t> </w:t>
            </w:r>
            <w:r>
              <w:rPr>
                <w:rFonts w:ascii="宋体" w:hAnsi="宋体" w:cs="宋体" w:eastAsia="宋体" w:hint="default"/>
                <w:spacing w:val="-6"/>
                <w:sz w:val="18"/>
                <w:szCs w:val="18"/>
              </w:rPr>
              <w:t>件制造；绘图、计算及测量仪器制造；计算机整机制造；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计算机零部件制造；金属切削机床制造；电子、通信与</w:t>
            </w:r>
            <w:r>
              <w:rPr>
                <w:rFonts w:ascii="宋体" w:hAnsi="宋体" w:cs="宋体" w:eastAsia="宋体" w:hint="default"/>
                <w:sz w:val="18"/>
                <w:szCs w:val="18"/>
              </w:rPr>
              <w:t> 自动控制技术研究、开发；电子产品设计服务；通信工 </w:t>
            </w:r>
            <w:r>
              <w:rPr>
                <w:rFonts w:ascii="宋体" w:hAnsi="宋体" w:cs="宋体" w:eastAsia="宋体" w:hint="default"/>
                <w:spacing w:val="-4"/>
                <w:sz w:val="18"/>
                <w:szCs w:val="18"/>
              </w:rPr>
              <w:t>程设计服务；商品零售贸易（许可审批类商品除外）；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专用设备修理；电气设备修理；软件服务。</w:t>
            </w:r>
          </w:p>
        </w:tc>
      </w:tr>
      <w:tr>
        <w:trPr>
          <w:trHeight w:val="133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1"/>
              <w:jc w:val="both"/>
              <w:rPr>
                <w:rFonts w:ascii="宋体" w:hAnsi="宋体" w:cs="宋体" w:eastAsia="宋体" w:hint="default"/>
                <w:sz w:val="18"/>
                <w:szCs w:val="18"/>
              </w:rPr>
            </w:pPr>
            <w:r>
              <w:rPr>
                <w:rFonts w:ascii="宋体" w:hAnsi="宋体" w:cs="宋体" w:eastAsia="宋体" w:hint="default"/>
                <w:sz w:val="18"/>
                <w:szCs w:val="18"/>
              </w:rPr>
              <w:t>控股股东报告期 内控股和参股的 其他境内外上市 公司的股权情况</w:t>
            </w:r>
          </w:p>
        </w:tc>
        <w:tc>
          <w:tcPr>
            <w:tcW w:w="8042"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48"/>
              <w:ind w:left="102" w:right="101"/>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日，控股股东无线电集团持有海格通信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21.22%</w:t>
            </w:r>
            <w:r>
              <w:rPr>
                <w:rFonts w:ascii="宋体" w:hAnsi="宋体" w:cs="宋体" w:eastAsia="宋体" w:hint="default"/>
                <w:sz w:val="18"/>
                <w:szCs w:val="18"/>
              </w:rPr>
              <w:t>股权、持有吉林金浦钛业股份有 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1.39%</w:t>
            </w:r>
            <w:r>
              <w:rPr>
                <w:rFonts w:ascii="宋体" w:hAnsi="宋体" w:cs="宋体" w:eastAsia="宋体" w:hint="default"/>
                <w:sz w:val="18"/>
                <w:szCs w:val="18"/>
              </w:rPr>
              <w:t>股权、持有广州珠江钢琴集团股份有限公司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0.83%</w:t>
            </w:r>
            <w:r>
              <w:rPr>
                <w:rFonts w:ascii="宋体" w:hAnsi="宋体" w:cs="宋体" w:eastAsia="宋体" w:hint="default"/>
                <w:sz w:val="18"/>
                <w:szCs w:val="18"/>
              </w:rPr>
              <w:t>股权、持有广州广电计量检测股份有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66.67%</w:t>
            </w:r>
            <w:r>
              <w:rPr>
                <w:rFonts w:ascii="宋体" w:hAnsi="宋体" w:cs="宋体" w:eastAsia="宋体" w:hint="default"/>
                <w:sz w:val="18"/>
                <w:szCs w:val="18"/>
              </w:rPr>
              <w:t>。</w:t>
            </w:r>
          </w:p>
        </w:tc>
      </w:tr>
    </w:tbl>
    <w:p>
      <w:pPr>
        <w:pStyle w:val="BodyText"/>
        <w:spacing w:line="240" w:lineRule="auto" w:before="69"/>
        <w:ind w:left="532" w:right="0"/>
        <w:jc w:val="left"/>
      </w:pPr>
      <w:r>
        <w:rPr/>
        <w:t>控股股东报告期内变更</w:t>
      </w:r>
    </w:p>
    <w:p>
      <w:pPr>
        <w:pStyle w:val="BodyText"/>
        <w:spacing w:line="240" w:lineRule="auto" w:before="117"/>
        <w:ind w:left="53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60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bookmarkStart w:name="4、其他持股在10%以上的法人股东" w:id="112"/>
      <w:bookmarkEnd w:id="112"/>
      <w:r>
        <w:rPr/>
      </w:r>
      <w:bookmarkStart w:name="5、控股股东、实际控制人、重组方及其他承诺主体股份限制减持情况" w:id="113"/>
      <w:bookmarkEnd w:id="113"/>
      <w:r>
        <w:rPr/>
      </w:r>
      <w:r>
        <w:rPr/>
        <w:t>公司报告期控股股东未发生变更。</w:t>
      </w:r>
    </w:p>
    <w:p>
      <w:pPr>
        <w:spacing w:line="240" w:lineRule="auto" w:before="0"/>
        <w:rPr>
          <w:rFonts w:ascii="宋体" w:hAnsi="宋体" w:cs="宋体" w:eastAsia="宋体" w:hint="default"/>
          <w:sz w:val="18"/>
          <w:szCs w:val="18"/>
        </w:rPr>
      </w:pPr>
    </w:p>
    <w:p>
      <w:pPr>
        <w:pStyle w:val="Heading5"/>
        <w:spacing w:line="240" w:lineRule="auto" w:before="143"/>
        <w:ind w:right="0"/>
        <w:jc w:val="left"/>
        <w:rPr>
          <w:b w:val="0"/>
          <w:bCs w:val="0"/>
        </w:rPr>
      </w:pPr>
      <w:r>
        <w:rPr>
          <w:rFonts w:ascii="Times New Roman" w:hAnsi="Times New Roman" w:cs="Times New Roman" w:eastAsia="Times New Roman" w:hint="default"/>
        </w:rPr>
        <w:t>3</w:t>
      </w:r>
      <w:r>
        <w:rPr/>
        <w:t>、公司</w:t>
      </w:r>
      <w:bookmarkStart w:name="3、公司实际控制人情况" w:id="114"/>
      <w:bookmarkEnd w:id="114"/>
      <w:r>
        <w:rPr/>
        <w:t>实际</w:t>
      </w:r>
      <w:r>
        <w:rPr/>
        <w:t>控制人情况</w:t>
      </w:r>
      <w:r>
        <w:rPr>
          <w:b w:val="0"/>
          <w:bCs w:val="0"/>
        </w:rPr>
      </w:r>
    </w:p>
    <w:p>
      <w:pPr>
        <w:spacing w:line="240" w:lineRule="auto" w:before="0"/>
        <w:rPr>
          <w:rFonts w:ascii="宋体" w:hAnsi="宋体" w:cs="宋体" w:eastAsia="宋体" w:hint="default"/>
          <w:b/>
          <w:bCs/>
          <w:sz w:val="18"/>
          <w:szCs w:val="18"/>
        </w:rPr>
      </w:pPr>
    </w:p>
    <w:p>
      <w:pPr>
        <w:pStyle w:val="BodyText"/>
        <w:spacing w:line="357" w:lineRule="auto" w:before="127"/>
        <w:ind w:right="6894"/>
        <w:jc w:val="left"/>
      </w:pPr>
      <w:r>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551"/>
        <w:gridCol w:w="2126"/>
        <w:gridCol w:w="1702"/>
        <w:gridCol w:w="1702"/>
        <w:gridCol w:w="1488"/>
      </w:tblGrid>
      <w:tr>
        <w:trPr>
          <w:trHeight w:val="401"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广州市国资委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周建军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98"/>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0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69"/>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
          <w:szCs w:val="2"/>
        </w:rPr>
      </w:pPr>
    </w:p>
    <w:p>
      <w:pPr>
        <w:spacing w:line="2784" w:lineRule="exact"/>
        <w:ind w:left="276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2795522" cy="176831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1" cstate="print"/>
                    <a:stretch>
                      <a:fillRect/>
                    </a:stretch>
                  </pic:blipFill>
                  <pic:spPr>
                    <a:xfrm>
                      <a:off x="0" y="0"/>
                      <a:ext cx="2795522" cy="1768316"/>
                    </a:xfrm>
                    <a:prstGeom prst="rect">
                      <a:avLst/>
                    </a:prstGeom>
                  </pic:spPr>
                </pic:pic>
              </a:graphicData>
            </a:graphic>
          </wp:inline>
        </w:drawing>
      </w:r>
      <w:r>
        <w:rPr>
          <w:rFonts w:ascii="宋体" w:hAnsi="宋体" w:cs="宋体" w:eastAsia="宋体" w:hint="default"/>
          <w:position w:val="-55"/>
          <w:sz w:val="20"/>
          <w:szCs w:val="20"/>
        </w:rPr>
      </w:r>
    </w:p>
    <w:p>
      <w:pPr>
        <w:pStyle w:val="BodyText"/>
        <w:spacing w:line="240" w:lineRule="auto" w:before="65"/>
        <w:ind w:right="0"/>
        <w:jc w:val="left"/>
      </w:pPr>
      <w:r>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9"/>
        <w:ind w:right="0"/>
        <w:jc w:val="left"/>
        <w:rPr>
          <w:b w:val="0"/>
          <w:bCs w:val="0"/>
        </w:rPr>
      </w:pPr>
      <w:r>
        <w:rPr>
          <w:rFonts w:ascii="Times New Roman" w:hAnsi="Times New Roman" w:cs="Times New Roman" w:eastAsia="Times New Roman" w:hint="default"/>
        </w:rPr>
        <w:t>4</w:t>
      </w:r>
      <w:r>
        <w:rPr/>
        <w:t>、其他持股在</w:t>
      </w:r>
      <w:r>
        <w:rPr>
          <w:spacing w:val="-50"/>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84"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7"/>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339"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1"/>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812" w:right="0"/>
        <w:jc w:val="left"/>
        <w:rPr>
          <w:b w:val="0"/>
          <w:bCs w:val="0"/>
        </w:rPr>
      </w:pPr>
      <w:r>
        <w:rPr/>
        <w:t>一、董事、监</w:t>
      </w:r>
      <w:bookmarkStart w:name="一、董事、监事和高级管理人员持股变动" w:id="119"/>
      <w:bookmarkEnd w:id="119"/>
      <w:r>
        <w:rPr/>
        <w:t>事</w:t>
      </w:r>
      <w:r>
        <w:rPr/>
        <w:t>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708"/>
        <w:gridCol w:w="994"/>
        <w:gridCol w:w="566"/>
        <w:gridCol w:w="283"/>
        <w:gridCol w:w="283"/>
        <w:gridCol w:w="1560"/>
        <w:gridCol w:w="1702"/>
        <w:gridCol w:w="991"/>
        <w:gridCol w:w="799"/>
        <w:gridCol w:w="797"/>
        <w:gridCol w:w="799"/>
        <w:gridCol w:w="1006"/>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赵友永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21,417,322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21,417,322</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杨海洲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291,893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291,893</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叶子瑜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6,989,306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6,989,306</w:t>
            </w:r>
          </w:p>
        </w:tc>
      </w:tr>
      <w:tr>
        <w:trPr>
          <w:trHeight w:val="7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罗攀峰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59"/>
              <w:jc w:val="left"/>
              <w:rPr>
                <w:rFonts w:ascii="宋体" w:hAnsi="宋体" w:cs="宋体" w:eastAsia="宋体" w:hint="default"/>
                <w:sz w:val="18"/>
                <w:szCs w:val="18"/>
              </w:rPr>
            </w:pPr>
            <w:r>
              <w:rPr>
                <w:rFonts w:ascii="宋体" w:hAnsi="宋体" w:cs="宋体" w:eastAsia="宋体" w:hint="default"/>
                <w:sz w:val="18"/>
                <w:szCs w:val="18"/>
              </w:rPr>
              <w:t>董事、常务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2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p>
            <w:pPr>
              <w:pStyle w:val="TableParagraph"/>
              <w:spacing w:line="580" w:lineRule="exact"/>
              <w:ind w:right="-36"/>
              <w:jc w:val="left"/>
              <w:rPr>
                <w:rFonts w:ascii="宋体" w:hAnsi="宋体" w:cs="宋体" w:eastAsia="宋体" w:hint="default"/>
                <w:sz w:val="20"/>
                <w:szCs w:val="20"/>
              </w:rPr>
            </w:pPr>
            <w:r>
              <w:rPr>
                <w:rFonts w:ascii="宋体" w:hAnsi="宋体" w:cs="宋体" w:eastAsia="宋体" w:hint="default"/>
                <w:position w:val="-11"/>
                <w:sz w:val="20"/>
                <w:szCs w:val="20"/>
              </w:rPr>
              <w:pict>
                <v:group style="width:84.6pt;height:29.05pt;mso-position-horizontal-relative:char;mso-position-vertical-relative:line" coordorigin="0,0" coordsize="1692,581">
                  <v:group style="position:absolute;left:0;top:0;width:1692;height:178" coordorigin="0,0" coordsize="1692,178">
                    <v:shape style="position:absolute;left:0;top:0;width:1692;height:178" coordorigin="0,0" coordsize="1692,178" path="m0,178l1692,178,1692,0,0,0,0,178xe" filled="true" fillcolor="#ffffff" stroked="false">
                      <v:path arrowok="t"/>
                      <v:fill type="solid"/>
                    </v:shape>
                  </v:group>
                  <v:group style="position:absolute;left:12;top:178;width:2;height:392" coordorigin="12,178" coordsize="2,392">
                    <v:shape style="position:absolute;left:12;top:178;width:2;height:392" coordorigin="12,178" coordsize="0,392" path="m12,178l12,569e" filled="false" stroked="true" strokeweight="1.2pt" strokecolor="#ffffff">
                      <v:path arrowok="t"/>
                    </v:shape>
                  </v:group>
                  <v:group style="position:absolute;left:24;top:178;width:1644;height:392" coordorigin="24,178" coordsize="1644,392">
                    <v:shape style="position:absolute;left:24;top:178;width:1644;height:392" coordorigin="24,178" coordsize="1644,392" path="m24,569l1668,569,1668,178,24,178,24,569xe" filled="true" fillcolor="#ffffff" stroked="false">
                      <v:path arrowok="t"/>
                      <v:fill type="solid"/>
                    </v:shape>
                  </v:group>
                </v:group>
              </w:pict>
            </w:r>
            <w:r>
              <w:rPr>
                <w:rFonts w:ascii="宋体" w:hAnsi="宋体" w:cs="宋体" w:eastAsia="宋体" w:hint="default"/>
                <w:position w:val="-11"/>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7,880,378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7,880,378</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肖勋勇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董事、总经 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刘佩莲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高符生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祝立新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1,135,284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1,135,284</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杨永明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冯丰穗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职工监事、 工会主席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269,148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269,148</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陈振光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5,244,021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5,244,021</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416,672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416,672</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陈建良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655,079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655,079</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李叶东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100,446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100,446</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蒋春晨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p>
            <w:pPr>
              <w:pStyle w:val="TableParagraph"/>
              <w:spacing w:line="561"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84.6pt;height:28.1pt;mso-position-horizontal-relative:char;mso-position-vertical-relative:line" coordorigin="0,0" coordsize="1692,562">
                  <v:group style="position:absolute;left:0;top:0;width:1692;height:156" coordorigin="0,0" coordsize="1692,156">
                    <v:shape style="position:absolute;left:0;top:0;width:1692;height:156" coordorigin="0,0" coordsize="1692,156" path="m0,156l1692,156,1692,0,0,0,0,156xe" filled="true" fillcolor="#ffffff" stroked="false">
                      <v:path arrowok="t"/>
                      <v:fill type="solid"/>
                    </v:shape>
                  </v:group>
                  <v:group style="position:absolute;left:12;top:156;width:2;height:394" coordorigin="12,156" coordsize="2,394">
                    <v:shape style="position:absolute;left:12;top:156;width:2;height:394" coordorigin="12,156" coordsize="0,394" path="m12,156l12,550e" filled="false" stroked="true" strokeweight="1.2pt" strokecolor="#ffffff">
                      <v:path arrowok="t"/>
                    </v:shape>
                  </v:group>
                  <v:group style="position:absolute;left:24;top:156;width:1644;height:394" coordorigin="24,156" coordsize="1644,394">
                    <v:shape style="position:absolute;left:24;top:156;width:1644;height:394" coordorigin="24,156" coordsize="1644,394" path="m24,550l1668,550,1668,156,24,156,24,550xe" filled="true" fillcolor="#ffffff" stroked="false">
                      <v:path arrowok="t"/>
                      <v:fill type="solid"/>
                    </v:shape>
                  </v:group>
                </v:group>
              </w:pict>
            </w:r>
            <w:r>
              <w:rPr>
                <w:rFonts w:ascii="宋体" w:hAnsi="宋体" w:cs="宋体" w:eastAsia="宋体" w:hint="default"/>
                <w:position w:val="-10"/>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376,800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376,800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解永生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5,400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44,781,749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44,781,749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320" w:right="880"/>
        </w:sectPr>
      </w:pPr>
    </w:p>
    <w:p>
      <w:pPr>
        <w:spacing w:line="240" w:lineRule="auto" w:before="9"/>
        <w:rPr>
          <w:rFonts w:ascii="宋体" w:hAnsi="宋体" w:cs="宋体" w:eastAsia="宋体" w:hint="default"/>
          <w:b/>
          <w:bCs/>
          <w:sz w:val="19"/>
          <w:szCs w:val="19"/>
        </w:rPr>
      </w:pPr>
    </w:p>
    <w:p>
      <w:pPr>
        <w:pStyle w:val="Heading2"/>
        <w:spacing w:line="240" w:lineRule="auto" w:before="26"/>
        <w:ind w:left="212" w:right="24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816"/>
        <w:gridCol w:w="1169"/>
        <w:gridCol w:w="850"/>
        <w:gridCol w:w="1843"/>
        <w:gridCol w:w="4889"/>
      </w:tblGrid>
      <w:tr>
        <w:trPr>
          <w:trHeight w:val="401" w:hRule="exact"/>
        </w:trPr>
        <w:tc>
          <w:tcPr>
            <w:tcW w:w="8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21"/>
              <w:jc w:val="right"/>
              <w:rPr>
                <w:rFonts w:ascii="宋体" w:hAnsi="宋体" w:cs="宋体" w:eastAsia="宋体" w:hint="default"/>
                <w:sz w:val="18"/>
                <w:szCs w:val="18"/>
              </w:rPr>
            </w:pPr>
            <w:r>
              <w:rPr>
                <w:rFonts w:ascii="宋体" w:hAnsi="宋体" w:cs="宋体" w:eastAsia="宋体" w:hint="default"/>
                <w:sz w:val="18"/>
                <w:szCs w:val="18"/>
              </w:rPr>
              <w:t>姓名</w:t>
            </w:r>
          </w:p>
        </w:tc>
        <w:tc>
          <w:tcPr>
            <w:tcW w:w="11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1" w:right="0"/>
              <w:jc w:val="left"/>
              <w:rPr>
                <w:rFonts w:ascii="宋体" w:hAnsi="宋体" w:cs="宋体" w:eastAsia="宋体" w:hint="default"/>
                <w:sz w:val="18"/>
                <w:szCs w:val="18"/>
              </w:rPr>
            </w:pPr>
            <w:bookmarkStart w:name="二、公司董事、监事、高级管理人员变动情况" w:id="120"/>
            <w:bookmarkEnd w:id="120"/>
            <w:r>
              <w:rPr/>
            </w:r>
            <w:r>
              <w:rPr>
                <w:rFonts w:ascii="宋体" w:hAnsi="宋体" w:cs="宋体" w:eastAsia="宋体" w:hint="default"/>
                <w:sz w:val="18"/>
                <w:szCs w:val="18"/>
              </w:rPr>
              <w:t>担任的职务</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高符生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因个人原因不再担任上市公司独立董事之职。</w:t>
            </w:r>
          </w:p>
        </w:tc>
      </w:tr>
      <w:tr>
        <w:trPr>
          <w:trHeight w:val="102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1"/>
              <w:jc w:val="left"/>
              <w:rPr>
                <w:rFonts w:ascii="宋体" w:hAnsi="宋体" w:cs="宋体" w:eastAsia="宋体" w:hint="default"/>
                <w:sz w:val="18"/>
                <w:szCs w:val="18"/>
              </w:rPr>
            </w:pPr>
            <w:r>
              <w:rPr>
                <w:rFonts w:ascii="宋体" w:hAnsi="宋体" w:cs="宋体" w:eastAsia="宋体" w:hint="default"/>
                <w:spacing w:val="7"/>
                <w:sz w:val="18"/>
                <w:szCs w:val="18"/>
              </w:rPr>
              <w:t>由于独立董事高符生的辞职将会导致公司独立董事人数少 </w:t>
            </w:r>
            <w:r>
              <w:rPr>
                <w:rFonts w:ascii="宋体" w:hAnsi="宋体" w:cs="宋体" w:eastAsia="宋体" w:hint="default"/>
                <w:sz w:val="18"/>
                <w:szCs w:val="18"/>
              </w:rPr>
              <w:t>于董事会总人数的三分之一，公司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p>
          <w:p>
            <w:pPr>
              <w:pStyle w:val="TableParagraph"/>
              <w:spacing w:line="240" w:lineRule="auto" w:before="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年第一次临时股东大会选举杨闰为公司独立董事。</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罗攀峰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 将公司常务副总经理罗攀峰选举为公司第四届董事会董事。</w:t>
            </w:r>
          </w:p>
        </w:tc>
      </w:tr>
      <w:tr>
        <w:trPr>
          <w:trHeight w:val="7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解永生</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96"/>
              <w:jc w:val="left"/>
              <w:rPr>
                <w:rFonts w:ascii="宋体" w:hAnsi="宋体" w:cs="宋体" w:eastAsia="宋体" w:hint="default"/>
                <w:sz w:val="18"/>
                <w:szCs w:val="18"/>
              </w:rPr>
            </w:pPr>
            <w:r>
              <w:rPr>
                <w:rFonts w:ascii="宋体" w:hAnsi="宋体" w:cs="宋体" w:eastAsia="宋体" w:hint="default"/>
                <w:sz w:val="18"/>
                <w:szCs w:val="18"/>
              </w:rPr>
              <w:t>根据公司经营管理的需要，公司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 四届董事会第二次会议聘任解永生为公司副总经理。</w:t>
            </w:r>
          </w:p>
        </w:tc>
      </w:tr>
      <w:tr>
        <w:trPr>
          <w:trHeight w:val="71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8"/>
              <w:jc w:val="righ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8" w:firstLine="38"/>
              <w:jc w:val="left"/>
              <w:rPr>
                <w:rFonts w:ascii="宋体" w:hAnsi="宋体" w:cs="宋体" w:eastAsia="宋体" w:hint="default"/>
                <w:sz w:val="18"/>
                <w:szCs w:val="18"/>
              </w:rPr>
            </w:pPr>
            <w:r>
              <w:rPr>
                <w:rFonts w:ascii="宋体" w:hAnsi="宋体" w:cs="宋体" w:eastAsia="宋体" w:hint="default"/>
                <w:spacing w:val="-2"/>
                <w:sz w:val="18"/>
                <w:szCs w:val="18"/>
              </w:rPr>
              <w:t>因公司经营管理需要不再担任公司董事一职，仍担任公司董</w:t>
            </w:r>
            <w:r>
              <w:rPr>
                <w:rFonts w:ascii="宋体" w:hAnsi="宋体" w:cs="宋体" w:eastAsia="宋体" w:hint="default"/>
                <w:sz w:val="18"/>
                <w:szCs w:val="18"/>
              </w:rPr>
              <w:t> 事会秘书职务。</w:t>
            </w:r>
          </w:p>
        </w:tc>
      </w:tr>
      <w:tr>
        <w:trPr>
          <w:trHeight w:val="715"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肖勋勇</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根据公司经营管理的需要</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日召开的</w:t>
            </w:r>
            <w:r>
              <w:rPr>
                <w:rFonts w:ascii="宋体" w:hAnsi="宋体" w:cs="宋体" w:eastAsia="宋体" w:hint="default"/>
                <w:spacing w:val="-6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15</w:t>
            </w:r>
            <w:r>
              <w:rPr>
                <w:rFonts w:ascii="Times New Roman" w:hAnsi="Times New Roman" w:cs="Times New Roman" w:eastAsia="Times New Roman" w:hint="default"/>
                <w:sz w:val="18"/>
                <w:szCs w:val="18"/>
              </w:rPr>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年第二次临时股东大会选举肖勋勇为公司董事。</w:t>
            </w:r>
          </w:p>
        </w:tc>
      </w:tr>
    </w:tbl>
    <w:p>
      <w:pPr>
        <w:spacing w:line="240" w:lineRule="auto" w:before="1"/>
        <w:rPr>
          <w:rFonts w:ascii="宋体" w:hAnsi="宋体" w:cs="宋体" w:eastAsia="宋体" w:hint="default"/>
          <w:b/>
          <w:bCs/>
          <w:sz w:val="18"/>
          <w:szCs w:val="18"/>
        </w:rPr>
      </w:pPr>
    </w:p>
    <w:p>
      <w:pPr>
        <w:pStyle w:val="Heading2"/>
        <w:spacing w:line="240" w:lineRule="auto" w:before="26"/>
        <w:ind w:left="212" w:right="240"/>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240"/>
        <w:jc w:val="left"/>
      </w:pPr>
      <w:bookmarkStart w:name="三、任职情况" w:id="121"/>
      <w:bookmarkEnd w:id="121"/>
      <w:r>
        <w:rPr/>
      </w:r>
      <w:r>
        <w:rPr/>
        <w:t>公司现任董事、监事、高级管理人员专业背景、主要工作经历以及目前在公司的主要职责</w:t>
      </w:r>
    </w:p>
    <w:p>
      <w:pPr>
        <w:pStyle w:val="BodyText"/>
        <w:spacing w:line="340" w:lineRule="auto" w:before="117"/>
        <w:ind w:left="572" w:right="184" w:firstLine="2"/>
        <w:jc w:val="left"/>
      </w:pPr>
      <w:r>
        <w:rPr>
          <w:rFonts w:ascii="Times New Roman" w:hAnsi="Times New Roman" w:cs="Times New Roman" w:eastAsia="Times New Roman" w:hint="default"/>
        </w:rPr>
        <w:t>1</w:t>
      </w:r>
      <w:r>
        <w:rPr/>
        <w:t>、第四届董事会成员 赵友永先生，中国国籍，</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3</w:t>
      </w:r>
      <w:r>
        <w:rPr/>
        <w:t>月出生，研究生学历，高级会计师。曾任广州无线电厂财务处副处长、处长、副总会</w:t>
      </w:r>
    </w:p>
    <w:p>
      <w:pPr>
        <w:pStyle w:val="BodyText"/>
        <w:spacing w:line="215" w:lineRule="exact"/>
        <w:ind w:left="212" w:right="104"/>
        <w:jc w:val="left"/>
      </w:pPr>
      <w:r>
        <w:rPr>
          <w:spacing w:val="-4"/>
        </w:rPr>
        <w:t>计师，无线电集团副总经理、总裁、董事长，运通电子总经理、董事长。现任本公司、广电计量董事长，无线电集团董事长、</w:t>
      </w:r>
    </w:p>
    <w:p>
      <w:pPr>
        <w:pStyle w:val="BodyText"/>
        <w:spacing w:line="316" w:lineRule="auto" w:before="76"/>
        <w:ind w:left="212" w:right="104"/>
        <w:jc w:val="left"/>
      </w:pPr>
      <w:r>
        <w:rPr>
          <w:spacing w:val="-2"/>
        </w:rPr>
        <w:t>党委书记，广电房地产、海格通信、广电物业、武汉广电房地产开发有限公司、武汉广电海格房地产开发有限公司、北京海</w:t>
      </w:r>
      <w:r>
        <w:rPr>
          <w:spacing w:val="-68"/>
        </w:rPr>
        <w:t> </w:t>
      </w:r>
      <w:r>
        <w:rPr>
          <w:spacing w:val="-68"/>
        </w:rPr>
      </w:r>
      <w:r>
        <w:rPr/>
        <w:t>格资产管理有限公司、广州穗通、支点投资、广州银通董事。其担任本公司董事长的任期为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14" w:lineRule="auto" w:before="37"/>
        <w:ind w:left="212" w:right="94" w:firstLine="360"/>
        <w:jc w:val="left"/>
      </w:pPr>
      <w:r>
        <w:rPr/>
        <w:t>杨海洲先生，中国国籍，</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6</w:t>
      </w:r>
      <w:r>
        <w:rPr/>
        <w:t>月出生，研究生学历。曾任无线电集团总经理助理、副总裁，广州海格通信有限公司 </w:t>
      </w:r>
      <w:r>
        <w:rPr>
          <w:spacing w:val="-2"/>
        </w:rPr>
        <w:t>副董事长、总经理，广州海格通信产业集团有限公司副董事长、总经理。现任本公司董事，无线电集团副董事长、总裁、党</w:t>
      </w:r>
      <w:r>
        <w:rPr>
          <w:spacing w:val="-73"/>
        </w:rPr>
        <w:t> </w:t>
      </w:r>
      <w:r>
        <w:rPr>
          <w:spacing w:val="-73"/>
        </w:rPr>
      </w:r>
      <w:r>
        <w:rPr/>
        <w:t>委副书记，海格通信、海华电子、北京海格神舟通信科技有限公司、广州海格机械有限公司、广州润芯信息技术有限公司、 </w:t>
      </w:r>
      <w:r>
        <w:rPr>
          <w:spacing w:val="-2"/>
        </w:rPr>
        <w:t>北京爱尔达电子设备有限公司、北京海格资产管理有限公司、北京摩诘创新科技股份有限公司、深圳市嵘兴实业发展有限公</w:t>
      </w:r>
      <w:r>
        <w:rPr>
          <w:spacing w:val="-63"/>
        </w:rPr>
        <w:t> </w:t>
      </w:r>
      <w:r>
        <w:rPr>
          <w:spacing w:val="-63"/>
        </w:rPr>
      </w:r>
      <w:r>
        <w:rPr>
          <w:spacing w:val="-2"/>
        </w:rPr>
        <w:t>司、广东怡创科技股份有限公司、四川海格恒通专网科技有限公司董事长，广电房地产、广电计量、广电物业、陕西海通天</w:t>
      </w:r>
      <w:r>
        <w:rPr>
          <w:spacing w:val="-68"/>
        </w:rPr>
        <w:t> </w:t>
      </w:r>
      <w:r>
        <w:rPr>
          <w:spacing w:val="-68"/>
        </w:rPr>
      </w:r>
      <w:r>
        <w:rPr>
          <w:spacing w:val="-2"/>
        </w:rPr>
        <w:t>线有限责任公司、武汉广电海格房地产开发有限公司、武汉广电房地产开发有限公司、广州寰坤通信科技发展有限公司、通</w:t>
      </w:r>
      <w:r>
        <w:rPr>
          <w:spacing w:val="-64"/>
        </w:rPr>
        <w:t> </w:t>
      </w:r>
      <w:r>
        <w:rPr>
          <w:spacing w:val="-64"/>
        </w:rPr>
      </w:r>
      <w:r>
        <w:rPr>
          <w:spacing w:val="-2"/>
        </w:rPr>
        <w:t>导信息、北京海格云熙技术有限公司、河南海格经纬信息技术有限公司、西安海格华瑞电子科技有限责任公司、广东南方海</w:t>
      </w:r>
      <w:r>
        <w:rPr>
          <w:spacing w:val="-65"/>
        </w:rPr>
        <w:t> </w:t>
      </w:r>
      <w:r>
        <w:rPr>
          <w:spacing w:val="-65"/>
        </w:rPr>
      </w:r>
      <w:r>
        <w:rPr/>
        <w:t>岸科技服务有限公司董事。其担任本公司董事的任期为</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42"/>
        <w:ind w:left="212" w:right="104" w:firstLine="360"/>
        <w:jc w:val="left"/>
      </w:pPr>
      <w:r>
        <w:rPr>
          <w:spacing w:val="-2"/>
        </w:rPr>
        <w:t>叶子瑜先生，中国国籍，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6</w:t>
      </w:r>
      <w:r>
        <w:rPr>
          <w:spacing w:val="-2"/>
        </w:rPr>
        <w:t>月出生，研究生学历，高级工程师。曾任国营</w:t>
      </w:r>
      <w:r>
        <w:rPr>
          <w:rFonts w:ascii="Times New Roman" w:hAnsi="Times New Roman" w:cs="Times New Roman" w:eastAsia="Times New Roman" w:hint="default"/>
          <w:spacing w:val="-2"/>
        </w:rPr>
        <w:t>750</w:t>
      </w:r>
      <w:r>
        <w:rPr>
          <w:spacing w:val="-2"/>
        </w:rPr>
        <w:t>厂技术工艺科助理工程师，海华电子</w:t>
      </w:r>
      <w:r>
        <w:rPr/>
        <w:t> </w:t>
      </w:r>
      <w:r>
        <w:rPr>
          <w:spacing w:val="-2"/>
        </w:rPr>
        <w:t>工程师、高级工程师、拓展部经理、总工程师，广州科苑电子有限公司副总经理，无线电集团军工通讯总公司总工程师，运</w:t>
      </w:r>
      <w:r>
        <w:rPr>
          <w:spacing w:val="-68"/>
        </w:rPr>
        <w:t> </w:t>
      </w:r>
      <w:r>
        <w:rPr>
          <w:spacing w:val="-68"/>
        </w:rPr>
      </w:r>
      <w:r>
        <w:rPr>
          <w:spacing w:val="-4"/>
        </w:rPr>
        <w:t>通电子副总经理。现任本公司董事、总经理，广州银通、广电汇通、龙源环保、中智融通、运通国际、运通信息、创自技术、</w:t>
      </w:r>
      <w:r>
        <w:rPr>
          <w:spacing w:val="-50"/>
        </w:rPr>
        <w:t> </w:t>
      </w:r>
      <w:r>
        <w:rPr>
          <w:spacing w:val="-50"/>
        </w:rPr>
      </w:r>
      <w:r>
        <w:rPr>
          <w:spacing w:val="-2"/>
        </w:rPr>
        <w:t>广州穗通、北京广电科技董事长，广百小额贷董事，支点投资执行董事、总经理，其担任本公司董事、总经理的任期为</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46"/>
        <w:ind w:left="212" w:right="104" w:firstLine="360"/>
        <w:jc w:val="left"/>
      </w:pPr>
      <w:r>
        <w:rPr/>
        <w:t>罗攀峰先生，中国国籍，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月出生，研究生学历。曾任本公司系统集成部经理、金融市场部经理、市场总监、总 </w:t>
      </w:r>
      <w:r>
        <w:rPr>
          <w:spacing w:val="-4"/>
        </w:rPr>
        <w:t>经理助理、副总经理，现任本公司董事、常务副总经理，广电汇通、运通信息、北京广电科技董事、总经理，中智融通董事。</w:t>
      </w:r>
      <w:r>
        <w:rPr>
          <w:spacing w:val="-46"/>
        </w:rPr>
        <w:t> </w:t>
      </w:r>
      <w:r>
        <w:rPr>
          <w:spacing w:val="-46"/>
        </w:rPr>
      </w:r>
      <w:r>
        <w:rPr/>
        <w:t>其担任本公司董事的任期为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月（其担任本公司副总经理的任期为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0" w:lineRule="auto" w:before="43"/>
        <w:ind w:left="213" w:right="184" w:firstLine="359"/>
        <w:jc w:val="left"/>
      </w:pPr>
      <w:r>
        <w:rPr/>
        <w:t>曾文先生，中国国籍，拥有新西兰居留权，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月出生，本科学历，工程师。曾任福建建筑工程专科学校教师，福 </w:t>
      </w:r>
      <w:r>
        <w:rPr>
          <w:spacing w:val="-2"/>
        </w:rPr>
        <w:t>建实达电脑有限公司产品经理，广州文东电子有限公司市场总监，吉山通讯科技有限公司市场总监，长天国际控股有限公司</w:t>
      </w:r>
    </w:p>
    <w:p>
      <w:pPr>
        <w:spacing w:after="0" w:line="300" w:lineRule="auto"/>
        <w:jc w:val="left"/>
        <w:sectPr>
          <w:pgSz w:w="11910" w:h="16840"/>
          <w:pgMar w:header="877" w:footer="982" w:top="1100" w:bottom="1180" w:left="92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t>华南区总监，深圳奥尊电脑公司金融事业部副总经理，运通电子市场总监、副总经理，本公司副总经理。现任本公司董事。 其担任本公司董事的任期为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0" w:lineRule="auto" w:before="40"/>
        <w:ind w:right="193" w:firstLine="360"/>
        <w:jc w:val="both"/>
      </w:pPr>
      <w:r>
        <w:rPr>
          <w:spacing w:val="-2"/>
        </w:rPr>
        <w:t>肖勋勇先生，中国国籍，</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12</w:t>
      </w:r>
      <w:r>
        <w:rPr>
          <w:spacing w:val="-2"/>
        </w:rPr>
        <w:t>月生，研究生学历。曾任美的集团企划投资经理、无线电集团投资发展部副部长、部</w:t>
      </w:r>
      <w:r>
        <w:rPr/>
        <w:t> 长，现任海格通信董事，本公司董事、总经理助理。其担任本公司董事的任期为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51"/>
        <w:ind w:left="153" w:right="93" w:firstLine="360"/>
        <w:jc w:val="left"/>
      </w:pPr>
      <w:r>
        <w:rPr/>
        <w:t>刘佩莲女士，中国香港籍，</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8</w:t>
      </w:r>
      <w:r>
        <w:rPr/>
        <w:t>月出生，研究生学历，会计师、中国注册会计师、中国注册税务师，取得深交所授 予的独立董事资格证书。曾任立信羊城会计师事务所有限公司董事、副主任会计师，立信羊城会计师事务所有限公司顾问， </w:t>
      </w:r>
      <w:r>
        <w:rPr>
          <w:spacing w:val="-2"/>
        </w:rPr>
        <w:t>武汉万鸿集团股份有限公司、广东科达洁能股份有限公司、广东鸿特精密技术股份有限公司独立董事。现任青海华鼎实业股</w:t>
      </w:r>
      <w:r>
        <w:rPr>
          <w:spacing w:val="-63"/>
        </w:rPr>
        <w:t> </w:t>
      </w:r>
      <w:r>
        <w:rPr>
          <w:spacing w:val="-63"/>
        </w:rPr>
      </w:r>
      <w:r>
        <w:rPr/>
        <w:t>份有限公司顾问，力量矿业能源有限公司独立非执行董事，本公司独立董事。其担任本公司独立董事的任期为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p>
    <w:p>
      <w:pPr>
        <w:pStyle w:val="BodyText"/>
        <w:spacing w:line="312" w:lineRule="auto" w:before="46"/>
        <w:ind w:left="153" w:right="190" w:firstLine="360"/>
        <w:jc w:val="both"/>
      </w:pPr>
      <w:r>
        <w:rPr/>
        <w:t>张宗贵先生，中国国籍，</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2</w:t>
      </w:r>
      <w:r>
        <w:rPr/>
        <w:t>月出生，研究生学历，中级经济师，取得深交所授予的独立董事资格证书。曾任广州 </w:t>
      </w:r>
      <w:r>
        <w:rPr>
          <w:spacing w:val="-2"/>
        </w:rPr>
        <w:t>机电工业资产经营有限公司资产运营部副经理、规划运营部经理，无线电集团发展规划部部长、总裁助理。现任广州中值投</w:t>
      </w:r>
      <w:r>
        <w:rPr>
          <w:spacing w:val="-64"/>
        </w:rPr>
        <w:t> </w:t>
      </w:r>
      <w:r>
        <w:rPr>
          <w:spacing w:val="-64"/>
        </w:rPr>
      </w:r>
      <w:r>
        <w:rPr>
          <w:spacing w:val="-2"/>
        </w:rPr>
        <w:t>资管理有限公司总裁，广州中值创新投资企业（有限合伙）、广州中值传媒产业投资企业（有限合伙）执行事务合伙人，本</w:t>
      </w:r>
      <w:r>
        <w:rPr>
          <w:spacing w:val="-73"/>
        </w:rPr>
        <w:t> </w:t>
      </w:r>
      <w:r>
        <w:rPr>
          <w:spacing w:val="-73"/>
        </w:rPr>
      </w:r>
      <w:r>
        <w:rPr/>
        <w:t>公司独立董事。其担任本公司独立董事的任期为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44"/>
        <w:ind w:left="153" w:right="190" w:firstLine="360"/>
        <w:jc w:val="both"/>
      </w:pPr>
      <w:r>
        <w:rPr/>
        <w:t>杨闰女士，中国国籍，</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月出生，研究生学历，律师，取得深交所授予的独立董事资格证书。曾任广东广大律师 </w:t>
      </w:r>
      <w:r>
        <w:rPr>
          <w:spacing w:val="-2"/>
        </w:rPr>
        <w:t>事务所律师助理。现任广东广大律师事务所律师、高级合伙人，广东天禾农资股份有限公司、仙乐健康科技股份有限公司独</w:t>
      </w:r>
      <w:r>
        <w:rPr>
          <w:spacing w:val="-65"/>
        </w:rPr>
        <w:t> </w:t>
      </w:r>
      <w:r>
        <w:rPr>
          <w:spacing w:val="-65"/>
        </w:rPr>
      </w:r>
      <w:r>
        <w:rPr/>
        <w:t>立董事，本公司独立董事。其担任本公司独立董事的任期为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40" w:lineRule="auto" w:before="43"/>
        <w:ind w:left="510" w:right="186" w:firstLine="2"/>
        <w:jc w:val="left"/>
      </w:pPr>
      <w:r>
        <w:rPr>
          <w:rFonts w:ascii="Times New Roman" w:hAnsi="Times New Roman" w:cs="Times New Roman" w:eastAsia="Times New Roman" w:hint="default"/>
        </w:rPr>
        <w:t>2</w:t>
      </w:r>
      <w:r>
        <w:rPr/>
        <w:t>、第四届监事会成员 祝立新先生，中国国籍，</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w:t>
      </w:r>
      <w:r>
        <w:rPr/>
        <w:t>月出生，研究生学历，会计师。曾任广州无线电厂广电部会计，无线电集团审计室副</w:t>
      </w:r>
    </w:p>
    <w:p>
      <w:pPr>
        <w:pStyle w:val="BodyText"/>
        <w:spacing w:line="215" w:lineRule="exact"/>
        <w:ind w:left="153" w:right="0"/>
        <w:jc w:val="left"/>
      </w:pPr>
      <w:r>
        <w:rPr/>
        <w:t>主任、财务部副部长、部长、审计部部长、总裁助理，海格通信副总经理。现任本公司监事会主席、无线电集团副总裁，海</w:t>
      </w:r>
    </w:p>
    <w:p>
      <w:pPr>
        <w:pStyle w:val="BodyText"/>
        <w:spacing w:line="240" w:lineRule="auto" w:before="76"/>
        <w:ind w:left="153" w:right="94"/>
        <w:jc w:val="left"/>
      </w:pPr>
      <w:r>
        <w:rPr/>
        <w:t>格通信监事会主席。其担任本公司监事会主席的任期为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103"/>
        <w:ind w:left="153" w:right="195" w:firstLine="360"/>
        <w:jc w:val="both"/>
      </w:pPr>
      <w:r>
        <w:rPr/>
        <w:t>杨永明先生，中国国籍，</w:t>
      </w:r>
      <w:r>
        <w:rPr>
          <w:rFonts w:ascii="Times New Roman" w:hAnsi="Times New Roman" w:cs="Times New Roman" w:eastAsia="Times New Roman" w:hint="default"/>
        </w:rPr>
        <w:t>1972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 </w:t>
      </w:r>
      <w:r>
        <w:rPr/>
        <w:t>月出生，大学本科学历，政工师。曾任无线电集团团委副书记、团委书记、审计监 </w:t>
      </w:r>
      <w:r>
        <w:rPr>
          <w:spacing w:val="-2"/>
        </w:rPr>
        <w:t>察部副部长、纪委副书记。现任本公司监事，无线电集团职工监事、工会副主席、工会办公室主任，广电计量监事。其担任</w:t>
      </w:r>
      <w:r>
        <w:rPr>
          <w:spacing w:val="-73"/>
        </w:rPr>
        <w:t> </w:t>
      </w:r>
      <w:r>
        <w:rPr>
          <w:spacing w:val="-73"/>
        </w:rPr>
      </w:r>
      <w:r>
        <w:rPr/>
        <w:t>本公司监事的任期为</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p>
    <w:p>
      <w:pPr>
        <w:pStyle w:val="BodyText"/>
        <w:spacing w:line="309" w:lineRule="auto" w:before="43"/>
        <w:ind w:right="190" w:firstLine="357"/>
        <w:jc w:val="both"/>
      </w:pPr>
      <w:r>
        <w:rPr>
          <w:spacing w:val="-2"/>
        </w:rPr>
        <w:t>冯丰穗女士，中国国籍，</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11</w:t>
      </w:r>
      <w:r>
        <w:rPr>
          <w:spacing w:val="-2"/>
        </w:rPr>
        <w:t>月出生，本科学历，会计师。曾任广州市糖烟酒公司宣传科干事，无线电印制板厂行</w:t>
      </w:r>
      <w:r>
        <w:rPr/>
        <w:t> </w:t>
      </w:r>
      <w:r>
        <w:rPr>
          <w:spacing w:val="-2"/>
        </w:rPr>
        <w:t>政主管、出纳、会计主管，运通电子人力资源部主管、副经理、经理。现任本公司职工监事及工会主席。其担任本公司监事</w:t>
      </w:r>
      <w:r>
        <w:rPr>
          <w:spacing w:val="-73"/>
        </w:rPr>
        <w:t> </w:t>
      </w:r>
      <w:r>
        <w:rPr>
          <w:spacing w:val="-73"/>
        </w:rPr>
      </w:r>
      <w:r>
        <w:rPr/>
        <w:t>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38" w:lineRule="auto" w:before="46"/>
        <w:ind w:left="510" w:right="1826" w:firstLine="2"/>
        <w:jc w:val="left"/>
      </w:pPr>
      <w:r>
        <w:rPr>
          <w:rFonts w:ascii="Times New Roman" w:hAnsi="Times New Roman" w:cs="Times New Roman" w:eastAsia="Times New Roman" w:hint="default"/>
        </w:rPr>
        <w:t>3</w:t>
      </w:r>
      <w:r>
        <w:rPr/>
        <w:t>、高级管理人员 叶子瑜先生，本公司总经理，简历参阅本年度报告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、第四届董事会成员</w:t>
      </w:r>
      <w:r>
        <w:rPr>
          <w:rFonts w:ascii="Times New Roman" w:hAnsi="Times New Roman" w:cs="Times New Roman" w:eastAsia="Times New Roman" w:hint="default"/>
        </w:rPr>
        <w:t>”</w:t>
      </w:r>
      <w:r>
        <w:rPr/>
        <w:t>。 罗攀峰先生，本公司常务副总经理，简历参阅本年度报告</w:t>
      </w:r>
      <w:r>
        <w:rPr>
          <w:rFonts w:ascii="Times New Roman" w:hAnsi="Times New Roman" w:cs="Times New Roman" w:eastAsia="Times New Roman" w:hint="default"/>
        </w:rPr>
        <w:t>“</w:t>
      </w:r>
      <w:r>
        <w:rPr/>
        <w:t>第八节、三、</w:t>
      </w:r>
      <w:r>
        <w:rPr>
          <w:rFonts w:ascii="Times New Roman" w:hAnsi="Times New Roman" w:cs="Times New Roman" w:eastAsia="Times New Roman" w:hint="default"/>
        </w:rPr>
        <w:t>1</w:t>
      </w:r>
      <w:r>
        <w:rPr/>
        <w:t>、第四届董事会成员</w:t>
      </w:r>
      <w:r>
        <w:rPr>
          <w:rFonts w:ascii="Times New Roman" w:hAnsi="Times New Roman" w:cs="Times New Roman" w:eastAsia="Times New Roman" w:hint="default"/>
        </w:rPr>
        <w:t>”</w:t>
      </w:r>
      <w:r>
        <w:rPr/>
        <w:t>。</w:t>
      </w:r>
    </w:p>
    <w:p>
      <w:pPr>
        <w:pStyle w:val="BodyText"/>
        <w:spacing w:line="309" w:lineRule="auto" w:before="22"/>
        <w:ind w:right="101" w:firstLine="360"/>
        <w:jc w:val="both"/>
      </w:pPr>
      <w:r>
        <w:rPr>
          <w:spacing w:val="-2"/>
        </w:rPr>
        <w:t>陈振光先生，中国国籍，</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11</w:t>
      </w:r>
      <w:r>
        <w:rPr>
          <w:spacing w:val="-2"/>
        </w:rPr>
        <w:t>月出生，研究生学历，工程师。曾任国营</w:t>
      </w:r>
      <w:r>
        <w:rPr>
          <w:rFonts w:ascii="Times New Roman" w:hAnsi="Times New Roman" w:cs="Times New Roman" w:eastAsia="Times New Roman" w:hint="default"/>
          <w:spacing w:val="-2"/>
        </w:rPr>
        <w:t>750</w:t>
      </w:r>
      <w:r>
        <w:rPr>
          <w:spacing w:val="-2"/>
        </w:rPr>
        <w:t>厂收录机分厂技术员，海华电子工程师，</w:t>
      </w:r>
      <w:r>
        <w:rPr/>
        <w:t> 无线电集团军工通讯总公司工程师、中心实验室主任，运通电子总经理助理、副总经理。现任本公司副总经理，广电汇通、 广州银通董事，广州穗通董事、总经理。其担任本公司副总经理的任期为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7" w:lineRule="auto" w:before="46"/>
        <w:ind w:right="193" w:firstLine="360"/>
        <w:jc w:val="both"/>
      </w:pPr>
      <w:r>
        <w:rPr/>
        <w:t>束萌先生，中国国籍，</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2</w:t>
      </w:r>
      <w:r>
        <w:rPr/>
        <w:t>月出生，本科学历，高级工程师。曾任安徽凤阳县化肥厂电工，淮南矿业学院教师，中 </w:t>
      </w:r>
      <w:r>
        <w:rPr>
          <w:spacing w:val="-2"/>
        </w:rPr>
        <w:t>国农业银行安徽省分行副科长、副处长、处长，北京龙翔达信息技术有限公司副总经理，运通电子副总经理。现任本公司副</w:t>
      </w:r>
      <w:r>
        <w:rPr>
          <w:spacing w:val="-65"/>
        </w:rPr>
        <w:t> </w:t>
      </w:r>
      <w:r>
        <w:rPr>
          <w:spacing w:val="-65"/>
        </w:rPr>
      </w:r>
      <w:r>
        <w:rPr/>
        <w:t>总经理，广电汇通、运通信息、广州银通、北京广电科技董事，中智融通执行董事。其担任本公司副总经理的任期为</w:t>
      </w:r>
      <w:r>
        <w:rPr>
          <w:rFonts w:ascii="Times New Roman" w:hAnsi="Times New Roman" w:cs="Times New Roman" w:eastAsia="Times New Roman" w:hint="default"/>
        </w:rPr>
        <w:t>2005</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45"/>
        <w:ind w:right="193" w:firstLine="360"/>
        <w:jc w:val="both"/>
      </w:pPr>
      <w:r>
        <w:rPr/>
        <w:t>陈建良先生，中国国籍，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月出生，研究生学历，工程师。曾任广州无线电厂电视机分厂结构设计师、设计室主 </w:t>
      </w:r>
      <w:r>
        <w:rPr>
          <w:spacing w:val="-2"/>
        </w:rPr>
        <w:t>任和采购部经理，运通电子结构设计部经理、物料部经理、总经理助理。现任本公司副总经理，广州银通董事、总经理，广</w:t>
      </w:r>
      <w:r>
        <w:rPr>
          <w:spacing w:val="-73"/>
        </w:rPr>
        <w:t> </w:t>
      </w:r>
      <w:r>
        <w:rPr>
          <w:spacing w:val="-73"/>
        </w:rPr>
      </w:r>
      <w:r>
        <w:rPr/>
        <w:t>电汇通、中智融通、运通信息、广州穗通、北京广电科技董事，其担任本公司副总经理的任期为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9" w:lineRule="auto" w:before="46"/>
        <w:ind w:right="190" w:firstLine="360"/>
        <w:jc w:val="both"/>
      </w:pPr>
      <w:r>
        <w:rPr/>
        <w:t>李叶东先生，中国国籍，</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月出生，本科学历。曾任合肥天鹅空调器科技有限公司助理工程师，东莞大同机械有 </w:t>
      </w:r>
      <w:r>
        <w:rPr>
          <w:spacing w:val="-2"/>
        </w:rPr>
        <w:t>限公司工程部副经理，顺德科达自动化有限公司项目主管，广州神通电信科技有限公司工程师，运通电子硬件工程师、硬件</w:t>
      </w:r>
      <w:r>
        <w:rPr>
          <w:spacing w:val="-64"/>
        </w:rPr>
        <w:t> </w:t>
      </w:r>
      <w:r>
        <w:rPr>
          <w:spacing w:val="-64"/>
        </w:rPr>
      </w:r>
      <w:r>
        <w:rPr>
          <w:spacing w:val="-2"/>
        </w:rPr>
        <w:t>开发部模块组主任、海外客户服务部副经理、经理、总经理助理。现任本公司副总经理，运通国际董事、总经理。其担任本</w:t>
      </w:r>
    </w:p>
    <w:p>
      <w:pPr>
        <w:spacing w:after="0" w:line="309"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40" w:lineRule="auto" w:before="44"/>
        <w:ind w:left="755" w:right="141" w:hanging="363"/>
        <w:jc w:val="left"/>
      </w:pPr>
      <w:r>
        <w:rPr/>
        <w:t>公司副总经理的任期为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 魏东先生，中国国籍，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2</w:t>
      </w:r>
      <w:r>
        <w:rPr/>
        <w:t>月出生，研究生学历。曾任本公司工业设计部工程师、工业设计部取款机芯组主任、上</w:t>
      </w:r>
    </w:p>
    <w:p>
      <w:pPr>
        <w:pStyle w:val="BodyText"/>
        <w:spacing w:line="215" w:lineRule="exact"/>
        <w:ind w:left="392" w:right="0"/>
        <w:jc w:val="left"/>
      </w:pPr>
      <w:r>
        <w:rPr/>
        <w:t>海研发中心经理、研究院副总工程师、制造中心生产总监、总经理助理。现任本公司副总经理，中智融通董事，其担任公司</w:t>
      </w:r>
    </w:p>
    <w:p>
      <w:pPr>
        <w:pStyle w:val="BodyText"/>
        <w:spacing w:line="338" w:lineRule="auto" w:before="76"/>
        <w:ind w:left="752" w:right="141" w:hanging="360"/>
        <w:jc w:val="left"/>
      </w:pPr>
      <w:r>
        <w:rPr/>
        <w:t>副总经理的任期为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 </w:t>
      </w:r>
      <w:r>
        <w:rPr>
          <w:spacing w:val="-2"/>
        </w:rPr>
        <w:t>蒋春晨先生，中国国籍，</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月出生，本科学历，会计师，中国注册会计师协会非执业会员。曾任江西电视机厂主</w:t>
      </w:r>
    </w:p>
    <w:p>
      <w:pPr>
        <w:pStyle w:val="BodyText"/>
        <w:spacing w:line="217" w:lineRule="exact"/>
        <w:ind w:left="392" w:right="0"/>
        <w:jc w:val="left"/>
      </w:pPr>
      <w:r>
        <w:rPr/>
        <w:t>办会计，赣新电视有限公司财务主管，中国人寿保险公司吉安分公司会计师，无线电集团审计师，运通电子财务部经理。现</w:t>
      </w:r>
    </w:p>
    <w:p>
      <w:pPr>
        <w:pStyle w:val="BodyText"/>
        <w:spacing w:line="309" w:lineRule="auto" w:before="76"/>
        <w:ind w:left="392" w:right="150"/>
        <w:jc w:val="both"/>
      </w:pPr>
      <w:r>
        <w:rPr>
          <w:spacing w:val="-2"/>
        </w:rPr>
        <w:t>任本公司副总经理、财务负责人、财务总监，运通信息、创自技术、北京广电科技董事，支点投资董事、财务总监，广百小</w:t>
      </w:r>
      <w:r>
        <w:rPr>
          <w:spacing w:val="-65"/>
        </w:rPr>
        <w:t> </w:t>
      </w:r>
      <w:r>
        <w:rPr>
          <w:spacing w:val="-65"/>
        </w:rPr>
      </w:r>
      <w:r>
        <w:rPr/>
        <w:t>额贷、广电汇通、中智融通、龙源环保、广州银通、广州穗通、力沛咨询监事。其担任本公司副总经理的任期为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spacing w:val="-85"/>
        </w:rPr>
        <w:t> </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月（其担任本公司财务负责人、财务总监的任期为</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0" w:lineRule="auto" w:before="46"/>
        <w:ind w:left="392" w:right="153" w:firstLine="360"/>
        <w:jc w:val="both"/>
      </w:pPr>
      <w:r>
        <w:rPr/>
        <w:t>解永生先生，中国国籍，</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月出生，研究生学历。曾任本公司副总工程师、轨道交通事业部总监、总经理助理； 现任本公司副总经理，创自技术董事。其担任本公司副总经理的任期为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300" w:lineRule="auto" w:before="53"/>
        <w:ind w:left="392" w:right="150" w:firstLine="360"/>
        <w:jc w:val="both"/>
      </w:pPr>
      <w:r>
        <w:rPr/>
        <w:t>任斌女士，中国国籍，</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月出生，本科学历，会计师、经济师、中国注册会计师、中国注册资产评估师，具备证 </w:t>
      </w:r>
      <w:r>
        <w:rPr>
          <w:spacing w:val="-2"/>
        </w:rPr>
        <w:t>券、期货从业资格。曾任新疆独山子天利高新技术股份有限公司董事会秘书。现任本公司董事会秘书，任期为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w:t>
      </w:r>
      <w:r>
        <w:rPr>
          <w:spacing w:val="-6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p>
    <w:p>
      <w:pPr>
        <w:pStyle w:val="BodyText"/>
        <w:spacing w:line="240" w:lineRule="auto" w:before="51"/>
        <w:ind w:left="392" w:right="141"/>
        <w:jc w:val="left"/>
      </w:pPr>
      <w:r>
        <w:rPr/>
        <w:t>在股东单位任职情况</w:t>
      </w:r>
    </w:p>
    <w:p>
      <w:pPr>
        <w:pStyle w:val="BodyText"/>
        <w:spacing w:line="240" w:lineRule="auto" w:before="117"/>
        <w:ind w:left="392"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135"/>
        <w:gridCol w:w="1274"/>
        <w:gridCol w:w="2837"/>
        <w:gridCol w:w="1982"/>
        <w:gridCol w:w="994"/>
        <w:gridCol w:w="1562"/>
      </w:tblGrid>
      <w:tr>
        <w:trPr>
          <w:trHeight w:val="754"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49"/>
              <w:ind w:left="381" w:right="199" w:hanging="180"/>
              <w:jc w:val="left"/>
              <w:rPr>
                <w:rFonts w:ascii="宋体" w:hAnsi="宋体" w:cs="宋体" w:eastAsia="宋体" w:hint="default"/>
                <w:sz w:val="18"/>
                <w:szCs w:val="18"/>
              </w:rPr>
            </w:pPr>
            <w:r>
              <w:rPr>
                <w:rFonts w:ascii="宋体" w:hAnsi="宋体" w:cs="宋体" w:eastAsia="宋体" w:hint="default"/>
                <w:b/>
                <w:bCs/>
                <w:sz w:val="18"/>
                <w:szCs w:val="18"/>
              </w:rPr>
              <w:t>任职人员</w:t>
            </w:r>
            <w:r>
              <w:rPr>
                <w:rFonts w:ascii="宋体" w:hAnsi="宋体" w:cs="宋体" w:eastAsia="宋体" w:hint="default"/>
                <w:b/>
                <w:bCs/>
                <w:w w:val="99"/>
                <w:sz w:val="18"/>
                <w:szCs w:val="18"/>
              </w:rPr>
              <w:t> </w:t>
            </w:r>
            <w:r>
              <w:rPr>
                <w:rFonts w:ascii="宋体" w:hAnsi="宋体" w:cs="宋体" w:eastAsia="宋体" w:hint="default"/>
                <w:b/>
                <w:bCs/>
                <w:sz w:val="18"/>
                <w:szCs w:val="18"/>
              </w:rPr>
              <w:t>姓名</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57" w:lineRule="auto" w:before="49"/>
              <w:ind w:left="451" w:right="269" w:hanging="180"/>
              <w:jc w:val="left"/>
              <w:rPr>
                <w:rFonts w:ascii="宋体" w:hAnsi="宋体" w:cs="宋体" w:eastAsia="宋体" w:hint="default"/>
                <w:sz w:val="18"/>
                <w:szCs w:val="18"/>
              </w:rPr>
            </w:pPr>
            <w:r>
              <w:rPr>
                <w:rFonts w:ascii="宋体" w:hAnsi="宋体" w:cs="宋体" w:eastAsia="宋体" w:hint="default"/>
                <w:b/>
                <w:bCs/>
                <w:sz w:val="18"/>
                <w:szCs w:val="18"/>
              </w:rPr>
              <w:t>股东单位</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b/>
                <w:bCs/>
                <w:sz w:val="18"/>
                <w:szCs w:val="18"/>
              </w:rPr>
              <w:t>在股东单位担任的职务</w:t>
            </w:r>
            <w:r>
              <w:rPr>
                <w:rFonts w:ascii="宋体" w:hAnsi="宋体" w:cs="宋体" w:eastAsia="宋体" w:hint="default"/>
                <w:sz w:val="18"/>
                <w:szCs w:val="18"/>
              </w:rPr>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任期起始日期</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311" w:right="127" w:hanging="180"/>
              <w:jc w:val="left"/>
              <w:rPr>
                <w:rFonts w:ascii="宋体" w:hAnsi="宋体" w:cs="宋体" w:eastAsia="宋体" w:hint="default"/>
                <w:sz w:val="18"/>
                <w:szCs w:val="18"/>
              </w:rPr>
            </w:pPr>
            <w:r>
              <w:rPr>
                <w:rFonts w:ascii="宋体" w:hAnsi="宋体" w:cs="宋体" w:eastAsia="宋体" w:hint="default"/>
                <w:b/>
                <w:bCs/>
                <w:sz w:val="18"/>
                <w:szCs w:val="18"/>
              </w:rPr>
              <w:t>任期终止</w:t>
            </w:r>
            <w:r>
              <w:rPr>
                <w:rFonts w:ascii="宋体" w:hAnsi="宋体" w:cs="宋体" w:eastAsia="宋体" w:hint="default"/>
                <w:b/>
                <w:bCs/>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232" w:right="142" w:hanging="89"/>
              <w:jc w:val="left"/>
              <w:rPr>
                <w:rFonts w:ascii="宋体" w:hAnsi="宋体" w:cs="宋体" w:eastAsia="宋体" w:hint="default"/>
                <w:sz w:val="18"/>
                <w:szCs w:val="18"/>
              </w:rPr>
            </w:pPr>
            <w:r>
              <w:rPr>
                <w:rFonts w:ascii="宋体" w:hAnsi="宋体" w:cs="宋体" w:eastAsia="宋体" w:hint="default"/>
                <w:b/>
                <w:bCs/>
                <w:sz w:val="18"/>
                <w:szCs w:val="18"/>
              </w:rPr>
              <w:t>在股东单位是否</w:t>
            </w:r>
            <w:r>
              <w:rPr>
                <w:rFonts w:ascii="宋体" w:hAnsi="宋体" w:cs="宋体" w:eastAsia="宋体" w:hint="default"/>
                <w:b/>
                <w:bCs/>
                <w:w w:val="99"/>
                <w:sz w:val="18"/>
                <w:szCs w:val="18"/>
              </w:rPr>
              <w:t> </w:t>
            </w:r>
            <w:r>
              <w:rPr>
                <w:rFonts w:ascii="宋体" w:hAnsi="宋体" w:cs="宋体" w:eastAsia="宋体" w:hint="default"/>
                <w:b/>
                <w:bCs/>
                <w:sz w:val="18"/>
                <w:szCs w:val="18"/>
              </w:rPr>
              <w:t>领取报酬津贴</w:t>
            </w:r>
            <w:r>
              <w:rPr>
                <w:rFonts w:ascii="宋体" w:hAnsi="宋体" w:cs="宋体" w:eastAsia="宋体" w:hint="default"/>
                <w:sz w:val="18"/>
                <w:szCs w:val="18"/>
              </w:rPr>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董事长、党委书记</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副董事长、总裁、党委副书记</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无线电集团</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pacing w:val="-6"/>
                <w:sz w:val="18"/>
                <w:szCs w:val="18"/>
              </w:rPr>
              <w:t>职工监事、工会副主席、工会办公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室主任</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73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392" w:right="141"/>
        <w:jc w:val="left"/>
      </w:pPr>
      <w:r>
        <w:rPr/>
        <w:t>在其他单位任职情况</w:t>
      </w:r>
    </w:p>
    <w:p>
      <w:pPr>
        <w:pStyle w:val="BodyText"/>
        <w:spacing w:line="240" w:lineRule="auto" w:before="117"/>
        <w:ind w:left="392"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364" w:type="dxa"/>
        <w:tblLayout w:type="fixed"/>
        <w:tblCellMar>
          <w:top w:w="0" w:type="dxa"/>
          <w:left w:w="0" w:type="dxa"/>
          <w:bottom w:w="0" w:type="dxa"/>
          <w:right w:w="0" w:type="dxa"/>
        </w:tblCellMar>
        <w:tblLook w:val="01E0"/>
      </w:tblPr>
      <w:tblGrid>
        <w:gridCol w:w="744"/>
        <w:gridCol w:w="3288"/>
        <w:gridCol w:w="1063"/>
        <w:gridCol w:w="1591"/>
        <w:gridCol w:w="1613"/>
        <w:gridCol w:w="1387"/>
      </w:tblGrid>
      <w:tr>
        <w:trPr>
          <w:trHeight w:val="714" w:hRule="exact"/>
        </w:trPr>
        <w:tc>
          <w:tcPr>
            <w:tcW w:w="7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4" w:right="168"/>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48" w:right="59"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北京海格资产管理有限公司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武汉广电房地产开发有限公司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武汉广电海格房地产开发有限公司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vMerge/>
            <w:tcBorders>
              <w:left w:val="single" w:sz="4" w:space="0" w:color="000000"/>
              <w:bottom w:val="single" w:sz="4" w:space="0" w:color="000000"/>
              <w:right w:val="single" w:sz="4" w:space="0" w:color="000000"/>
            </w:tcBorders>
          </w:tcPr>
          <w:p>
            <w:pP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87"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74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744"/>
        <w:gridCol w:w="3288"/>
        <w:gridCol w:w="1063"/>
        <w:gridCol w:w="1591"/>
        <w:gridCol w:w="1613"/>
        <w:gridCol w:w="1387"/>
      </w:tblGrid>
      <w:tr>
        <w:trPr>
          <w:trHeight w:val="401" w:hRule="exact"/>
        </w:trPr>
        <w:tc>
          <w:tcPr>
            <w:tcW w:w="744" w:type="dxa"/>
            <w:vMerge w:val="restart"/>
            <w:tcBorders>
              <w:top w:val="single" w:sz="4" w:space="0" w:color="000000"/>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海华电子企业（中国）有限公司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北京海格神舟通信科技有限公司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北京海格资产管理有限公司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广东南方海岸科技服务有限公司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北京爱尔达电子设备有限公司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广州润芯信息技术有限公司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四川海格恒通专网科技有限公司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陕西海通天线有限责任公司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广州寰坤通信科技发展有限公司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武汉广电海格房地产开发有限公司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广州广电房地产开发集团股份有限公司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河南海格经纬信息技术有限公司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西安海格华瑞电子科技有限责任公司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武汉广电房地产开发有限公司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深圳市嵘兴实业发展有限公司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北京摩诘创新科技股份有限公司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广东怡创科技股份有限公司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北京海格云熙技术有限公司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87" w:type="dxa"/>
            <w:vMerge/>
            <w:tcBorders>
              <w:left w:val="single" w:sz="4" w:space="0" w:color="000000"/>
              <w:bottom w:val="single" w:sz="4" w:space="0" w:color="000000"/>
              <w:right w:val="single" w:sz="4" w:space="0" w:color="000000"/>
            </w:tcBorders>
          </w:tcPr>
          <w:p>
            <w:pP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744"/>
        <w:gridCol w:w="3288"/>
        <w:gridCol w:w="1063"/>
        <w:gridCol w:w="1591"/>
        <w:gridCol w:w="1613"/>
        <w:gridCol w:w="1387"/>
      </w:tblGrid>
      <w:tr>
        <w:trPr>
          <w:trHeight w:val="401" w:hRule="exact"/>
        </w:trPr>
        <w:tc>
          <w:tcPr>
            <w:tcW w:w="744" w:type="dxa"/>
            <w:vMerge w:val="restart"/>
            <w:tcBorders>
              <w:top w:val="single" w:sz="4" w:space="0" w:color="000000"/>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青海华鼎实业股份有限公司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广东科达洁能股份有限公司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力量矿业能源有限公司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广东鸿特精密技术股份有限公司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张宗贵</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广州中值投资管理有限公司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广州中值创新投资企业（有限合伙）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广州中值传媒产业投资企业（有限合伙）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广东广大律师事务所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广东天禾农资股份有限公司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仙乐健康科技股份有限公司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744"/>
        <w:gridCol w:w="3288"/>
        <w:gridCol w:w="1063"/>
        <w:gridCol w:w="1591"/>
        <w:gridCol w:w="1613"/>
        <w:gridCol w:w="1387"/>
      </w:tblGrid>
      <w:tr>
        <w:trPr>
          <w:trHeight w:val="401" w:hRule="exact"/>
        </w:trPr>
        <w:tc>
          <w:tcPr>
            <w:tcW w:w="744" w:type="dxa"/>
            <w:vMerge w:val="restart"/>
            <w:tcBorders>
              <w:top w:val="single" w:sz="4" w:space="0" w:color="000000"/>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广电运通国际有限公司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董事、财务总</w:t>
            </w:r>
            <w:r>
              <w:rPr>
                <w:rFonts w:ascii="宋体" w:hAnsi="宋体" w:cs="宋体" w:eastAsia="宋体" w:hint="default"/>
                <w:sz w:val="18"/>
                <w:szCs w:val="18"/>
              </w:rPr>
              <w:t> 监</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vMerge/>
            <w:tcBorders>
              <w:left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44" w:type="dxa"/>
            <w:vMerge/>
            <w:tcBorders>
              <w:left w:val="single" w:sz="4" w:space="0" w:color="000000"/>
              <w:bottom w:val="single" w:sz="4" w:space="0" w:color="000000"/>
              <w:right w:val="single" w:sz="4" w:space="0" w:color="000000"/>
            </w:tcBorders>
          </w:tcPr>
          <w:p>
            <w:pP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403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6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2" w:right="0" w:hanging="360"/>
        <w:jc w:val="left"/>
      </w:pPr>
      <w:r>
        <w:rPr/>
        <w:t>董事、监事、高级管理人员报酬的决策程序、确定依据、实际支付情况 </w:t>
      </w:r>
      <w:r>
        <w:rPr>
          <w:spacing w:val="-2"/>
        </w:rPr>
        <w:t>在公司任职的董事、监事未在公司领薪，兼任公司董事、监事的高管、员工不以董事、监</w:t>
      </w:r>
      <w:bookmarkStart w:name="四、董事、监事、高级管理人员报酬情况" w:id="122"/>
      <w:bookmarkEnd w:id="122"/>
      <w:r>
        <w:rPr>
          <w:spacing w:val="-2"/>
        </w:rPr>
        <w:t>事职务领取报酬</w:t>
      </w:r>
      <w:r>
        <w:rPr>
          <w:spacing w:val="-2"/>
        </w:rPr>
        <w:t>。高管人员按</w:t>
      </w:r>
    </w:p>
    <w:p>
      <w:pPr>
        <w:pStyle w:val="BodyText"/>
        <w:spacing w:line="222" w:lineRule="exact"/>
        <w:ind w:right="0"/>
        <w:jc w:val="both"/>
      </w:pPr>
      <w:r>
        <w:rPr/>
        <w:t>其职务根据公司董事会批准的《高管层年度业绩考核与薪酬管理办法》，在每年年初落实有关考核指标及相关事项，在年度</w:t>
      </w:r>
    </w:p>
    <w:p>
      <w:pPr>
        <w:pStyle w:val="BodyText"/>
        <w:spacing w:line="309" w:lineRule="auto" w:before="76"/>
        <w:ind w:right="150"/>
        <w:jc w:val="both"/>
      </w:pPr>
      <w:r>
        <w:rPr>
          <w:spacing w:val="-2"/>
        </w:rPr>
        <w:t>结束后对全年计划完成情况进行考核，由董事会薪酬与考核委员会审议通过相关议案后，提交董事会审议，按照考核结果兑</w:t>
      </w:r>
      <w:r>
        <w:rPr>
          <w:spacing w:val="-63"/>
        </w:rPr>
        <w:t> </w:t>
      </w:r>
      <w:r>
        <w:rPr>
          <w:spacing w:val="-63"/>
        </w:rPr>
      </w:r>
      <w:r>
        <w:rPr>
          <w:spacing w:val="-1"/>
        </w:rPr>
        <w:t>现绩效年薪和奖励。独立董事津贴按照股东大会决议执行，为每人</w:t>
      </w:r>
      <w:r>
        <w:rPr>
          <w:rFonts w:ascii="Times New Roman" w:hAnsi="Times New Roman" w:cs="Times New Roman" w:eastAsia="Times New Roman" w:hint="default"/>
          <w:spacing w:val="-1"/>
        </w:rPr>
        <w:t>8</w:t>
      </w:r>
      <w:r>
        <w:rPr>
          <w:spacing w:val="-1"/>
        </w:rPr>
        <w:t>万元</w:t>
      </w:r>
      <w:r>
        <w:rPr>
          <w:rFonts w:ascii="Times New Roman" w:hAnsi="Times New Roman" w:cs="Times New Roman" w:eastAsia="Times New Roman" w:hint="default"/>
          <w:spacing w:val="-1"/>
        </w:rPr>
        <w:t>/</w:t>
      </w:r>
      <w:r>
        <w:rPr>
          <w:spacing w:val="-1"/>
        </w:rPr>
        <w:t>年，均按具体任职时间及规定发放；独立董事参加</w:t>
      </w:r>
      <w:r>
        <w:rPr>
          <w:spacing w:val="-77"/>
        </w:rPr>
        <w:t> </w:t>
      </w:r>
      <w:r>
        <w:rPr>
          <w:spacing w:val="-77"/>
        </w:rPr>
      </w:r>
      <w:r>
        <w:rPr/>
        <w:t>会议发生的差旅费，办公费等履职费用由本公司承担。</w:t>
      </w:r>
    </w:p>
    <w:p>
      <w:pPr>
        <w:pStyle w:val="BodyText"/>
        <w:spacing w:line="240" w:lineRule="auto" w:before="62"/>
        <w:ind w:right="0"/>
        <w:jc w:val="both"/>
      </w:pPr>
      <w:r>
        <w:rPr/>
        <w:t>公司报告期内董事、监事和高级管理人员报酬情况</w:t>
      </w:r>
    </w:p>
    <w:p>
      <w:pPr>
        <w:pStyle w:val="BodyText"/>
        <w:spacing w:line="240" w:lineRule="auto" w:before="117"/>
        <w:ind w:left="0" w:right="153"/>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5"/>
        <w:gridCol w:w="1699"/>
        <w:gridCol w:w="1270"/>
        <w:gridCol w:w="1366"/>
        <w:gridCol w:w="1368"/>
        <w:gridCol w:w="1366"/>
        <w:gridCol w:w="1368"/>
      </w:tblGrid>
      <w:tr>
        <w:trPr>
          <w:trHeight w:val="713" w:hRule="exact"/>
        </w:trPr>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赵友永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杨海洲</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叶子瑜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1135"/>
        <w:gridCol w:w="1699"/>
        <w:gridCol w:w="1270"/>
        <w:gridCol w:w="1366"/>
        <w:gridCol w:w="1368"/>
        <w:gridCol w:w="1366"/>
        <w:gridCol w:w="1368"/>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罗攀峰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 </w:t>
            </w:r>
            <w:r>
              <w:rPr>
                <w:rFonts w:ascii="宋体" w:hAnsi="宋体" w:cs="宋体" w:eastAsia="宋体" w:hint="default"/>
                <w:spacing w:val="2"/>
                <w:sz w:val="18"/>
                <w:szCs w:val="18"/>
              </w:rPr>
              <w:t> </w:t>
            </w:r>
            <w:r>
              <w:rPr>
                <w:rFonts w:ascii="宋体" w:hAnsi="宋体" w:cs="宋体" w:eastAsia="宋体" w:hint="default"/>
                <w:sz w:val="18"/>
                <w:szCs w:val="18"/>
              </w:rPr>
              <w:t>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肖勋勇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董事、总经理助理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刘佩莲</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高符生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张宗贵</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祝立新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杨永明</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冯丰穗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职工监事、工会主席</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30.34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陈振光</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束 </w:t>
            </w:r>
            <w:r>
              <w:rPr>
                <w:rFonts w:ascii="宋体" w:hAnsi="宋体" w:cs="宋体" w:eastAsia="宋体" w:hint="default"/>
                <w:spacing w:val="2"/>
                <w:sz w:val="18"/>
                <w:szCs w:val="18"/>
              </w:rPr>
              <w:t> </w:t>
            </w:r>
            <w:r>
              <w:rPr>
                <w:rFonts w:ascii="宋体" w:hAnsi="宋体" w:cs="宋体" w:eastAsia="宋体" w:hint="default"/>
                <w:sz w:val="18"/>
                <w:szCs w:val="18"/>
              </w:rPr>
              <w:t>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283.10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陈建良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李叶东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129.30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pacing w:val="2"/>
                <w:sz w:val="18"/>
                <w:szCs w:val="18"/>
              </w:rPr>
              <w:t> </w:t>
            </w:r>
            <w:r>
              <w:rPr>
                <w:rFonts w:ascii="宋体" w:hAnsi="宋体" w:cs="宋体" w:eastAsia="宋体" w:hint="default"/>
                <w:sz w:val="18"/>
                <w:szCs w:val="18"/>
              </w:rPr>
              <w:t>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蒋春晨</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97.80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解永生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 </w:t>
            </w:r>
            <w:r>
              <w:rPr>
                <w:rFonts w:ascii="宋体" w:hAnsi="宋体" w:cs="宋体" w:eastAsia="宋体" w:hint="default"/>
                <w:spacing w:val="2"/>
                <w:sz w:val="18"/>
                <w:szCs w:val="18"/>
              </w:rPr>
              <w:t> </w:t>
            </w:r>
            <w:r>
              <w:rPr>
                <w:rFonts w:ascii="宋体" w:hAnsi="宋体" w:cs="宋体" w:eastAsia="宋体" w:hint="default"/>
                <w:sz w:val="18"/>
                <w:szCs w:val="18"/>
              </w:rPr>
              <w:t>斌</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1,531.46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left="212" w:right="101"/>
        <w:jc w:val="left"/>
      </w:pPr>
      <w:bookmarkStart w:name="1、员工数量、专业构成及教育程度" w:id="123"/>
      <w:bookmarkEnd w:id="123"/>
      <w:r>
        <w:rPr/>
      </w:r>
      <w:r>
        <w:rPr/>
        <w:t>公司董事、监事、高级管理人员报告期内被授予的股权激励情况</w:t>
      </w:r>
    </w:p>
    <w:p>
      <w:pPr>
        <w:pStyle w:val="BodyText"/>
        <w:spacing w:line="240" w:lineRule="auto" w:before="115"/>
        <w:ind w:left="212" w:right="1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12" w:right="101"/>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left="212" w:right="10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bookmarkStart w:name="五、公司员工情况" w:id="124"/>
            <w:bookmarkEnd w:id="124"/>
            <w:r>
              <w:rPr/>
            </w:r>
            <w:r>
              <w:rPr>
                <w:rFonts w:ascii="Times New Roman"/>
                <w:sz w:val="18"/>
              </w:rPr>
              <w:t>2,304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10,339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12,643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1,122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服务人员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7,906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372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12,643</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本科及大专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8,383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2,152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1,751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12,643</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p>
      <w:pPr>
        <w:spacing w:line="3923" w:lineRule="exact"/>
        <w:ind w:left="20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drawing>
          <wp:inline distT="0" distB="0" distL="0" distR="0">
            <wp:extent cx="3854762" cy="249154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2" cstate="print"/>
                    <a:stretch>
                      <a:fillRect/>
                    </a:stretch>
                  </pic:blipFill>
                  <pic:spPr>
                    <a:xfrm>
                      <a:off x="0" y="0"/>
                      <a:ext cx="3854762" cy="2491549"/>
                    </a:xfrm>
                    <a:prstGeom prst="rect">
                      <a:avLst/>
                    </a:prstGeom>
                  </pic:spPr>
                </pic:pic>
              </a:graphicData>
            </a:graphic>
          </wp:inline>
        </w:drawing>
      </w:r>
      <w:r>
        <w:rPr>
          <w:rFonts w:ascii="Times New Roman" w:hAnsi="Times New Roman" w:cs="Times New Roman" w:eastAsia="Times New Roman" w:hint="default"/>
          <w:position w:val="-7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20" w:lineRule="exact"/>
        <w:ind w:left="20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3"/>
          <w:sz w:val="20"/>
          <w:szCs w:val="20"/>
        </w:rPr>
        <w:drawing>
          <wp:inline distT="0" distB="0" distL="0" distR="0">
            <wp:extent cx="3789311" cy="236267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3" cstate="print"/>
                    <a:stretch>
                      <a:fillRect/>
                    </a:stretch>
                  </pic:blipFill>
                  <pic:spPr>
                    <a:xfrm>
                      <a:off x="0" y="0"/>
                      <a:ext cx="3789311" cy="2362676"/>
                    </a:xfrm>
                    <a:prstGeom prst="rect">
                      <a:avLst/>
                    </a:prstGeom>
                  </pic:spPr>
                </pic:pic>
              </a:graphicData>
            </a:graphic>
          </wp:inline>
        </w:drawing>
      </w:r>
      <w:r>
        <w:rPr>
          <w:rFonts w:ascii="Times New Roman" w:hAnsi="Times New Roman" w:cs="Times New Roman" w:eastAsia="Times New Roman" w:hint="default"/>
          <w:position w:val="-73"/>
          <w:sz w:val="20"/>
          <w:szCs w:val="20"/>
        </w:rPr>
      </w:r>
    </w:p>
    <w:p>
      <w:pPr>
        <w:spacing w:after="0" w:line="3720" w:lineRule="exact"/>
        <w:rPr>
          <w:rFonts w:ascii="Times New Roman" w:hAnsi="Times New Roman" w:cs="Times New Roman" w:eastAsia="Times New Roman" w:hint="default"/>
          <w:sz w:val="20"/>
          <w:szCs w:val="20"/>
        </w:rPr>
        <w:sectPr>
          <w:pgSz w:w="11910" w:h="16840"/>
          <w:pgMar w:header="877" w:footer="982" w:top="1100" w:bottom="1180" w:left="920" w:right="980"/>
        </w:sectPr>
      </w:pPr>
    </w:p>
    <w:p>
      <w:pPr>
        <w:spacing w:line="240" w:lineRule="auto" w:before="8"/>
        <w:rPr>
          <w:rFonts w:ascii="Times New Roman" w:hAnsi="Times New Roman" w:cs="Times New Roman" w:eastAsia="Times New Roman" w:hint="default"/>
          <w:sz w:val="23"/>
          <w:szCs w:val="23"/>
        </w:rPr>
      </w:pPr>
    </w:p>
    <w:p>
      <w:pPr>
        <w:pStyle w:val="Heading3"/>
        <w:spacing w:line="240" w:lineRule="auto"/>
        <w:ind w:left="152"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2</w:t>
      </w:r>
      <w:bookmarkStart w:name="2、薪酬政策" w:id="126"/>
      <w:bookmarkEnd w:id="126"/>
      <w:r>
        <w:rPr>
          <w:rFonts w:ascii="Times New Roman" w:hAnsi="Times New Roman" w:cs="Times New Roman" w:eastAsia="Times New Roman" w:hint="default"/>
        </w:rPr>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为适应企业发展需要，充分发挥薪酬的激励作用，以公平、竞争、激励、经济、合法的原则制定薪酬政策。根据岗位价</w:t>
      </w:r>
      <w:r>
        <w:rPr/>
        <w:t> </w:t>
      </w:r>
      <w:r>
        <w:rPr>
          <w:spacing w:val="-2"/>
        </w:rPr>
        <w:t>值、个人能力、工作绩效结合市场薪酬水平和公司的支付能力提供较具竞争力的薪酬水平。同时，根据岗位性质提供各种薪</w:t>
      </w:r>
      <w:r>
        <w:rPr>
          <w:spacing w:val="-66"/>
        </w:rPr>
        <w:t> </w:t>
      </w:r>
      <w:r>
        <w:rPr>
          <w:spacing w:val="-66"/>
        </w:rPr>
      </w:r>
      <w:r>
        <w:rPr>
          <w:spacing w:val="-2"/>
        </w:rPr>
        <w:t>酬结构，以吸引优秀人才。根据各系统的业务特点和岗位性质构建相对科学的考核体系，建立考核与工资、奖金、调薪、晋</w:t>
      </w:r>
      <w:r>
        <w:rPr>
          <w:spacing w:val="-68"/>
        </w:rPr>
        <w:t> </w:t>
      </w:r>
      <w:r>
        <w:rPr>
          <w:spacing w:val="-68"/>
        </w:rPr>
      </w:r>
      <w:r>
        <w:rPr/>
        <w:t>升及培训挂钩的机制，为骨干员工和优秀人才提供中长期的激励政策，最大限度地发挥和调动员工的积极性和主动性。</w:t>
      </w:r>
    </w:p>
    <w:p>
      <w:pPr>
        <w:spacing w:line="240" w:lineRule="auto" w:before="8"/>
        <w:rPr>
          <w:rFonts w:ascii="宋体" w:hAnsi="宋体" w:cs="宋体" w:eastAsia="宋体" w:hint="default"/>
          <w:sz w:val="22"/>
          <w:szCs w:val="22"/>
        </w:rPr>
      </w:pPr>
    </w:p>
    <w:p>
      <w:pPr>
        <w:pStyle w:val="Heading3"/>
        <w:spacing w:line="240" w:lineRule="auto" w:before="0"/>
        <w:ind w:left="152"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50" w:firstLine="360"/>
        <w:jc w:val="both"/>
      </w:pPr>
      <w:bookmarkStart w:name="3、培训计划" w:id="127"/>
      <w:bookmarkEnd w:id="127"/>
      <w:r>
        <w:rPr/>
      </w:r>
      <w:r>
        <w:rPr>
          <w:spacing w:val="-2"/>
        </w:rPr>
        <w:t>公司建立了以支持发展战略为目标，以贴近业务流程为基础，以解决业务实际问题为出发点的实战型培训体系。从培训</w:t>
      </w:r>
      <w:r>
        <w:rPr/>
        <w:t> </w:t>
      </w:r>
      <w:r>
        <w:rPr>
          <w:spacing w:val="-2"/>
        </w:rPr>
        <w:t>资源、政策等方面覆盖公司各业务系统及各子公司；为帮助员工成长、支持公司战略完成贡献最大的力量。</w:t>
      </w:r>
      <w:r>
        <w:rPr>
          <w:rFonts w:ascii="Times New Roman" w:hAnsi="Times New Roman" w:cs="Times New Roman" w:eastAsia="Times New Roman" w:hint="default"/>
          <w:spacing w:val="-2"/>
        </w:rPr>
        <w:t>2015</w:t>
      </w:r>
      <w:r>
        <w:rPr>
          <w:spacing w:val="-2"/>
        </w:rPr>
        <w:t>年公司共培</w:t>
      </w:r>
      <w:r>
        <w:rPr>
          <w:spacing w:val="-66"/>
        </w:rPr>
        <w:t> </w:t>
      </w:r>
      <w:r>
        <w:rPr>
          <w:spacing w:val="-66"/>
        </w:rPr>
      </w:r>
      <w:r>
        <w:rPr>
          <w:spacing w:val="-2"/>
        </w:rPr>
        <w:t>训</w:t>
      </w:r>
      <w:r>
        <w:rPr>
          <w:rFonts w:ascii="Times New Roman" w:hAnsi="Times New Roman" w:cs="Times New Roman" w:eastAsia="Times New Roman" w:hint="default"/>
          <w:spacing w:val="-2"/>
        </w:rPr>
        <w:t>557</w:t>
      </w:r>
      <w:r>
        <w:rPr>
          <w:spacing w:val="-2"/>
        </w:rPr>
        <w:t>场次，培训课时</w:t>
      </w:r>
      <w:r>
        <w:rPr>
          <w:rFonts w:ascii="Times New Roman" w:hAnsi="Times New Roman" w:cs="Times New Roman" w:eastAsia="Times New Roman" w:hint="default"/>
          <w:spacing w:val="-2"/>
        </w:rPr>
        <w:t>52,107</w:t>
      </w:r>
      <w:r>
        <w:rPr>
          <w:spacing w:val="-2"/>
        </w:rPr>
        <w:t>小时，合计培训</w:t>
      </w:r>
      <w:r>
        <w:rPr>
          <w:rFonts w:ascii="Times New Roman" w:hAnsi="Times New Roman" w:cs="Times New Roman" w:eastAsia="Times New Roman" w:hint="default"/>
          <w:spacing w:val="-2"/>
        </w:rPr>
        <w:t>20,452</w:t>
      </w:r>
      <w:r>
        <w:rPr>
          <w:spacing w:val="-2"/>
        </w:rPr>
        <w:t>人次，大大提高了公司员工的综合素质，为企业的发展进一步提升了竞争</w:t>
      </w:r>
      <w:r>
        <w:rPr>
          <w:spacing w:val="-56"/>
        </w:rPr>
        <w:t> </w:t>
      </w:r>
      <w:r>
        <w:rPr>
          <w:spacing w:val="-56"/>
        </w:rPr>
      </w:r>
      <w:r>
        <w:rPr/>
        <w:t>力。</w:t>
      </w:r>
    </w:p>
    <w:p>
      <w:pPr>
        <w:spacing w:line="240" w:lineRule="auto" w:before="5"/>
        <w:rPr>
          <w:rFonts w:ascii="宋体" w:hAnsi="宋体" w:cs="宋体" w:eastAsia="宋体" w:hint="default"/>
          <w:sz w:val="23"/>
          <w:szCs w:val="23"/>
        </w:rPr>
      </w:pPr>
    </w:p>
    <w:p>
      <w:pPr>
        <w:pStyle w:val="Heading3"/>
        <w:spacing w:line="240" w:lineRule="auto" w:before="0"/>
        <w:ind w:left="152"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68"/>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w:t>
      </w:r>
      <w:bookmarkStart w:name="一、公司治理的基本状况" w:id="130"/>
      <w:bookmarkEnd w:id="130"/>
      <w:r>
        <w:rPr/>
        <w:t>的</w:t>
      </w:r>
      <w:r>
        <w:rPr/>
        <w:t>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57"/>
        <w:jc w:val="left"/>
      </w:pPr>
      <w:r>
        <w:rPr>
          <w:spacing w:val="-4"/>
        </w:rPr>
        <w:t>公司严格按照《公司法》、《证券法》、《上市公司治理准则》、《深圳证券交易所中小企业板上市公司规范运作指引》</w:t>
      </w:r>
      <w:r>
        <w:rPr/>
        <w:t> </w:t>
      </w:r>
      <w:r>
        <w:rPr>
          <w:spacing w:val="-2"/>
        </w:rPr>
        <w:t>及《深圳证券交易所股票上市规则》等法律法规的要求规范运作，并结合公司自身的情况，不断优化公司治理结构，建立健</w:t>
      </w:r>
      <w:r>
        <w:rPr>
          <w:spacing w:val="-67"/>
        </w:rPr>
        <w:t> </w:t>
      </w:r>
      <w:r>
        <w:rPr>
          <w:spacing w:val="-67"/>
        </w:rPr>
      </w:r>
      <w:r>
        <w:rPr>
          <w:spacing w:val="-4"/>
        </w:rPr>
        <w:t>全公司治理及内部控制的各项规章制度，加强信息披露，积极开展投资者关系管理，维护公司及股东的利益，确保公司规范、</w:t>
      </w:r>
      <w:r>
        <w:rPr>
          <w:spacing w:val="-46"/>
        </w:rPr>
        <w:t> </w:t>
      </w:r>
      <w:r>
        <w:rPr>
          <w:spacing w:val="-46"/>
        </w:rPr>
      </w:r>
      <w:r>
        <w:rPr/>
        <w:t>健康发展。</w:t>
      </w:r>
    </w:p>
    <w:p>
      <w:pPr>
        <w:pStyle w:val="BodyText"/>
        <w:spacing w:line="240" w:lineRule="auto" w:before="59"/>
        <w:ind w:left="512" w:right="94"/>
        <w:jc w:val="left"/>
      </w:pPr>
      <w:r>
        <w:rPr/>
        <w:t>报告期内，公司经董事会或股东大会审议通过的制度如下：</w:t>
      </w:r>
    </w:p>
    <w:p>
      <w:pPr>
        <w:spacing w:line="240" w:lineRule="auto" w:before="9"/>
        <w:rPr>
          <w:rFonts w:ascii="宋体" w:hAnsi="宋体" w:cs="宋体" w:eastAsia="宋体" w:hint="default"/>
          <w:sz w:val="8"/>
          <w:szCs w:val="8"/>
        </w:rPr>
      </w:pPr>
    </w:p>
    <w:tbl>
      <w:tblPr>
        <w:tblW w:w="0" w:type="auto"/>
        <w:jc w:val="left"/>
        <w:tblInd w:w="313" w:type="dxa"/>
        <w:tblLayout w:type="fixed"/>
        <w:tblCellMar>
          <w:top w:w="0" w:type="dxa"/>
          <w:left w:w="0" w:type="dxa"/>
          <w:bottom w:w="0" w:type="dxa"/>
          <w:right w:w="0" w:type="dxa"/>
        </w:tblCellMar>
        <w:tblLook w:val="01E0"/>
      </w:tblPr>
      <w:tblGrid>
        <w:gridCol w:w="828"/>
        <w:gridCol w:w="4394"/>
        <w:gridCol w:w="4085"/>
      </w:tblGrid>
      <w:tr>
        <w:trPr>
          <w:trHeight w:val="414" w:hRule="exact"/>
        </w:trPr>
        <w:tc>
          <w:tcPr>
            <w:tcW w:w="82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9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408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6"/>
              <w:ind w:left="1497" w:right="0"/>
              <w:jc w:val="left"/>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43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Times New Roman" w:hAnsi="Times New Roman" w:cs="Times New Roman" w:eastAsia="Times New Roman" w:hint="default"/>
                <w:sz w:val="18"/>
                <w:szCs w:val="18"/>
              </w:rPr>
            </w:pPr>
            <w:r>
              <w:rPr>
                <w:rFonts w:ascii="Times New Roman"/>
                <w:sz w:val="18"/>
              </w:rPr>
              <w:t>1</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427"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月修订）</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425"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年修订）</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r>
      <w:tr>
        <w:trPr>
          <w:trHeight w:val="39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《对外提供财务资助管理制度》</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77"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《战略与投资委员会工作细则》</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line="240" w:lineRule="auto" w:before="5"/>
        <w:rPr>
          <w:rFonts w:ascii="宋体" w:hAnsi="宋体" w:cs="宋体" w:eastAsia="宋体" w:hint="default"/>
          <w:sz w:val="6"/>
          <w:szCs w:val="6"/>
        </w:rPr>
      </w:pPr>
    </w:p>
    <w:p>
      <w:pPr>
        <w:pStyle w:val="BodyText"/>
        <w:spacing w:line="240" w:lineRule="auto" w:before="44"/>
        <w:ind w:left="512" w:right="94"/>
        <w:jc w:val="left"/>
      </w:pPr>
      <w:r>
        <w:rPr/>
        <w:t>报告期内，公司治理各项具体工作如下：</w:t>
      </w:r>
    </w:p>
    <w:p>
      <w:pPr>
        <w:pStyle w:val="BodyText"/>
        <w:spacing w:line="300" w:lineRule="auto" w:before="115"/>
        <w:ind w:right="111" w:firstLine="360"/>
        <w:jc w:val="both"/>
      </w:pPr>
      <w:r>
        <w:rPr>
          <w:rFonts w:ascii="Times New Roman" w:hAnsi="Times New Roman" w:cs="Times New Roman" w:eastAsia="Times New Roman" w:hint="default"/>
          <w:spacing w:val="-4"/>
        </w:rPr>
        <w:t>1</w:t>
      </w:r>
      <w:r>
        <w:rPr>
          <w:spacing w:val="-4"/>
        </w:rPr>
        <w:t>、关于股东与股东大会：根据《上市公司股东大会规则》、《深圳证券交易所中小企业板上市公司规范运作指引》等有</w:t>
      </w:r>
      <w:r>
        <w:rPr/>
        <w:t> 关规定和要求，公司制定了《股东大会议事规则》并切实执行。报告期内，公司共召开</w:t>
      </w:r>
      <w:r>
        <w:rPr>
          <w:spacing w:val="-67"/>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次股东大会，会议由董事会召集召 开，聘请了律师进行现场见证；</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次会议均开通了网络投票，确保各股东特别是中小股东享有平等地位，切实保障股东特别 是中小股东的合法权益。现场见证律师出具的《法律意见书》认为公司</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t>次股东大会的召集和召开程序、出席会议人员的资 格和召集人资格、表决程序和表决结果均符合法律法规及《公司章程》的规定，合法有效，股东大会通过的决议合法有效。</w:t>
      </w:r>
    </w:p>
    <w:p>
      <w:pPr>
        <w:pStyle w:val="BodyText"/>
        <w:spacing w:line="314" w:lineRule="auto" w:before="72"/>
        <w:ind w:right="94" w:firstLine="362"/>
        <w:jc w:val="left"/>
      </w:pPr>
      <w:r>
        <w:rPr>
          <w:rFonts w:ascii="Times New Roman" w:hAnsi="Times New Roman" w:cs="Times New Roman" w:eastAsia="Times New Roman" w:hint="default"/>
          <w:spacing w:val="-2"/>
        </w:rPr>
        <w:t>2</w:t>
      </w:r>
      <w:r>
        <w:rPr>
          <w:spacing w:val="-2"/>
        </w:rPr>
        <w:t>、关于公司与控股股东：公司拥有独立的研发、生产、销售及服务系统，具有独立的业务和经营能力，在业务、人员、</w:t>
      </w:r>
      <w:r>
        <w:rPr/>
        <w:t> </w:t>
      </w:r>
      <w:r>
        <w:rPr>
          <w:spacing w:val="-2"/>
        </w:rPr>
        <w:t>资产、机构、财务上独立于控股股东，公司董事会、监事会和内部经营机构能够独立运作。报告期内，公司控股股东严格规</w:t>
      </w:r>
      <w:r>
        <w:rPr>
          <w:spacing w:val="-67"/>
        </w:rPr>
        <w:t> </w:t>
      </w:r>
      <w:r>
        <w:rPr>
          <w:spacing w:val="-67"/>
        </w:rPr>
      </w:r>
      <w:r>
        <w:rPr>
          <w:spacing w:val="-2"/>
        </w:rPr>
        <w:t>范自己的行为，依法行使股东权利并承担相应义务，没有超越公司股东大会、董事会及监事会等决策机构直接或间接干预公</w:t>
      </w:r>
      <w:r>
        <w:rPr>
          <w:spacing w:val="-63"/>
        </w:rPr>
        <w:t> </w:t>
      </w:r>
      <w:r>
        <w:rPr>
          <w:spacing w:val="-63"/>
        </w:rPr>
      </w:r>
      <w:r>
        <w:rPr>
          <w:spacing w:val="-2"/>
        </w:rPr>
        <w:t>司的决策和经营活动的行为；公司控股股东严格遵守相关承诺，不存在与公司进行同业竞争的行为；公司没有为控股股东及</w:t>
      </w:r>
      <w:r>
        <w:rPr>
          <w:spacing w:val="-63"/>
        </w:rPr>
        <w:t> </w:t>
      </w:r>
      <w:r>
        <w:rPr>
          <w:spacing w:val="-63"/>
        </w:rPr>
      </w:r>
      <w:r>
        <w:rPr/>
        <w:t>其子公司提供担保，也不存在公司控股股东非经营性占用公司资金的行为。</w:t>
      </w:r>
    </w:p>
    <w:p>
      <w:pPr>
        <w:pStyle w:val="BodyText"/>
        <w:spacing w:line="309" w:lineRule="auto" w:before="61"/>
        <w:ind w:right="94" w:firstLine="360"/>
        <w:jc w:val="left"/>
      </w:pPr>
      <w:r>
        <w:rPr>
          <w:rFonts w:ascii="Times New Roman" w:hAnsi="Times New Roman" w:cs="Times New Roman" w:eastAsia="Times New Roman" w:hint="default"/>
          <w:spacing w:val="-7"/>
        </w:rPr>
        <w:t>3</w:t>
      </w:r>
      <w:r>
        <w:rPr>
          <w:spacing w:val="-7"/>
        </w:rPr>
        <w:t>、关于董事与董事会：根据《公司法》、《深圳证券交易所股票上市规则》、《深圳证券交易所中小企业板上市公司规范</w:t>
      </w:r>
      <w:r>
        <w:rPr/>
        <w:t> </w:t>
      </w:r>
      <w:r>
        <w:rPr>
          <w:spacing w:val="-10"/>
        </w:rPr>
        <w:t>运作指引》、《公司章程》等有关规定和要求，公司制定了《董事会议事规则》、《独立董事工作细则》并切实执行。报告期内，</w:t>
      </w:r>
      <w:r>
        <w:rPr>
          <w:spacing w:val="-55"/>
        </w:rPr>
        <w:t> </w:t>
      </w:r>
      <w:r>
        <w:rPr>
          <w:spacing w:val="-55"/>
        </w:rPr>
      </w:r>
      <w:r>
        <w:rPr/>
        <w:t>公司进行了换届选举，董事选举聘任程序合法合规。目前，公司董事会成员</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spacing w:val="-3"/>
        </w:rPr>
        <w:t>人，其中独立董事</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人，公司董事会人数和人</w:t>
      </w:r>
    </w:p>
    <w:p>
      <w:pPr>
        <w:pStyle w:val="BodyText"/>
        <w:spacing w:line="314" w:lineRule="auto" w:before="5"/>
        <w:ind w:right="94"/>
        <w:jc w:val="left"/>
      </w:pPr>
      <w:r>
        <w:rPr/>
        <w:t>员构成符合法律法规的要求。报告期内，公司共召开</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次董事会，会议的召集与召开程序、出席会议人员的资格、会议表 </w:t>
      </w:r>
      <w:r>
        <w:rPr>
          <w:spacing w:val="-2"/>
        </w:rPr>
        <w:t>决程序、表决结果和决议内容均符合法律法规和《公司章程》的规定。报告期内，公司全体董事认真履行诚实守信、勤勉尽</w:t>
      </w:r>
      <w:r>
        <w:rPr>
          <w:spacing w:val="-70"/>
        </w:rPr>
        <w:t> </w:t>
      </w:r>
      <w:r>
        <w:rPr>
          <w:spacing w:val="-70"/>
        </w:rPr>
      </w:r>
      <w:r>
        <w:rPr>
          <w:spacing w:val="-4"/>
        </w:rPr>
        <w:t>责的义务，出席各董事会和股东大会，签署相关文件，同时积极参加相关培训，熟悉有关法律法规，维护公司和股东的利益。</w:t>
      </w:r>
      <w:r>
        <w:rPr>
          <w:spacing w:val="-43"/>
        </w:rPr>
        <w:t> </w:t>
      </w:r>
      <w:r>
        <w:rPr>
          <w:spacing w:val="-43"/>
        </w:rPr>
      </w:r>
      <w:r>
        <w:rPr>
          <w:spacing w:val="-2"/>
        </w:rPr>
        <w:t>除外，公司全体独立董事按要求对报告期内有关关联交易、担保及对公司形成重大影响的事项发表了独立意见及事先认可意</w:t>
      </w:r>
      <w:r>
        <w:rPr>
          <w:spacing w:val="-64"/>
        </w:rPr>
        <w:t> </w:t>
      </w:r>
      <w:r>
        <w:rPr>
          <w:spacing w:val="-64"/>
        </w:rPr>
      </w:r>
      <w:r>
        <w:rPr/>
        <w:t>见。</w:t>
      </w:r>
    </w:p>
    <w:p>
      <w:pPr>
        <w:pStyle w:val="BodyText"/>
        <w:spacing w:line="316" w:lineRule="auto" w:before="59"/>
        <w:ind w:right="94" w:firstLine="360"/>
        <w:jc w:val="left"/>
      </w:pPr>
      <w:r>
        <w:rPr>
          <w:spacing w:val="-2"/>
        </w:rPr>
        <w:t>报告期内，公司新设立了战略与投资委员会，与审计委员会、薪酬与考核委员会和提名委员会一起，各尽其责，充分发</w:t>
      </w:r>
      <w:r>
        <w:rPr/>
        <w:t> 挥专业职能作用，努力提高董事会运作效率，促进公司规范运作。</w:t>
      </w:r>
    </w:p>
    <w:p>
      <w:pPr>
        <w:pStyle w:val="BodyText"/>
        <w:spacing w:line="309" w:lineRule="auto" w:before="59"/>
        <w:ind w:right="94" w:firstLine="362"/>
        <w:jc w:val="left"/>
      </w:pPr>
      <w:r>
        <w:rPr>
          <w:rFonts w:ascii="Times New Roman" w:hAnsi="Times New Roman" w:cs="Times New Roman" w:eastAsia="Times New Roman" w:hint="default"/>
          <w:spacing w:val="-7"/>
        </w:rPr>
        <w:t>4</w:t>
      </w:r>
      <w:r>
        <w:rPr>
          <w:spacing w:val="-7"/>
        </w:rPr>
        <w:t>、关于监事与监事会：根据《公司法》、《深圳证券交易所股票上市规则》、《深圳证券交易所中小企业板上市公司规范</w:t>
      </w:r>
      <w:r>
        <w:rPr/>
        <w:t> </w:t>
      </w:r>
      <w:r>
        <w:rPr>
          <w:spacing w:val="-7"/>
        </w:rPr>
        <w:t>运作指引》、《公司章程》等有关规定和要求，公司制定了《监事会议事规则》并切实执行。报告期内，公司进行了换届选举，</w:t>
      </w:r>
      <w:r>
        <w:rPr>
          <w:spacing w:val="-51"/>
        </w:rPr>
        <w:t> </w:t>
      </w:r>
      <w:r>
        <w:rPr>
          <w:spacing w:val="-51"/>
        </w:rPr>
      </w:r>
      <w:r>
        <w:rPr>
          <w:spacing w:val="-2"/>
        </w:rPr>
        <w:t>监事选举聘任程序合法合规。目前，公司监事会由三名监事组成，其中一名为职工代表监事，监事会的人数及构成符合有关</w:t>
      </w:r>
    </w:p>
    <w:p>
      <w:pPr>
        <w:spacing w:after="0" w:line="309" w:lineRule="auto"/>
        <w:jc w:val="left"/>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309" w:lineRule="auto" w:before="44"/>
        <w:ind w:right="97"/>
        <w:jc w:val="left"/>
      </w:pPr>
      <w:r>
        <w:rPr/>
        <w:t>法律法规的要求。报告期内，公司共召开</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次监事会，会议的召集、召开和表决程序符合法律法规和《公司章程》的规定。 </w:t>
      </w:r>
      <w:r>
        <w:rPr>
          <w:spacing w:val="-5"/>
        </w:rPr>
        <w:t>报告期内，公司全体监事在《公司法》、《公司章程》和股东大会赋予的职权范围内积极行使监督权，对公司定期报告、重大</w:t>
      </w:r>
      <w:r>
        <w:rPr>
          <w:spacing w:val="-80"/>
        </w:rPr>
        <w:t> </w:t>
      </w:r>
      <w:r>
        <w:rPr>
          <w:spacing w:val="-80"/>
        </w:rPr>
      </w:r>
      <w:r>
        <w:rPr/>
        <w:t>事项、财务状况等进行审核并发表意见，保护公司、股东、债权人的合法权益。</w:t>
      </w:r>
    </w:p>
    <w:p>
      <w:pPr>
        <w:pStyle w:val="BodyText"/>
        <w:spacing w:line="314" w:lineRule="auto" w:before="65"/>
        <w:ind w:right="94" w:firstLine="360"/>
        <w:jc w:val="left"/>
      </w:pPr>
      <w:r>
        <w:rPr>
          <w:rFonts w:ascii="Times New Roman" w:hAnsi="Times New Roman" w:cs="Times New Roman" w:eastAsia="Times New Roman" w:hint="default"/>
        </w:rPr>
        <w:t>5</w:t>
      </w:r>
      <w:r>
        <w:rPr/>
        <w:t>、关于绩效评价和激励约束机制：公司根据自身业务、经营情况，建立了企业绩效评价激励体系和激励约束机制，将 经营管理层和员工的收入与企业经营业绩相挂钩，激发员工积极性，提高工作效率；公司高级管理人员的聘任公开、透明， </w:t>
      </w:r>
      <w:r>
        <w:rPr>
          <w:spacing w:val="-2"/>
        </w:rPr>
        <w:t>高管薪酬由薪酬考核委员会核定并经董事会审核通过。报告期内，为了进一步完善核心员工与全体股东的利益共享和风险共</w:t>
      </w:r>
      <w:r>
        <w:rPr>
          <w:spacing w:val="-64"/>
        </w:rPr>
        <w:t> </w:t>
      </w:r>
      <w:r>
        <w:rPr>
          <w:spacing w:val="-64"/>
        </w:rPr>
      </w:r>
      <w:r>
        <w:rPr>
          <w:spacing w:val="-2"/>
        </w:rPr>
        <w:t>担机制，实现股东、公司和员工利益的一致，充分调动员工的积极性和创造性，公司筹划、申报了员工持股计划，努力实现</w:t>
      </w:r>
      <w:r>
        <w:rPr>
          <w:spacing w:val="-68"/>
        </w:rPr>
        <w:t> </w:t>
      </w:r>
      <w:r>
        <w:rPr>
          <w:spacing w:val="-68"/>
        </w:rPr>
      </w:r>
      <w:r>
        <w:rPr/>
        <w:t>公司与员工双赢。</w:t>
      </w:r>
    </w:p>
    <w:p>
      <w:pPr>
        <w:pStyle w:val="BodyText"/>
        <w:spacing w:line="309" w:lineRule="auto" w:before="59"/>
        <w:ind w:right="192" w:firstLine="362"/>
        <w:jc w:val="both"/>
      </w:pPr>
      <w:r>
        <w:rPr>
          <w:rFonts w:ascii="Times New Roman" w:hAnsi="Times New Roman" w:cs="Times New Roman" w:eastAsia="Times New Roman" w:hint="default"/>
        </w:rPr>
        <w:t>6</w:t>
      </w:r>
      <w:r>
        <w:rPr/>
        <w:t>、关于相关利益者：报告期内，公司在注重企业经营的同时，积极参与社会公益事业，主动承担社会责任，充分尊重 </w:t>
      </w:r>
      <w:r>
        <w:rPr>
          <w:spacing w:val="-2"/>
        </w:rPr>
        <w:t>和维护利益相关者的合法权利，加强与各方的沟通和合作，努力实现公司、股东、员工、客户、供应商、最终用户、社会等</w:t>
      </w:r>
      <w:r>
        <w:rPr>
          <w:spacing w:val="-68"/>
        </w:rPr>
        <w:t> </w:t>
      </w:r>
      <w:r>
        <w:rPr>
          <w:spacing w:val="-68"/>
        </w:rPr>
      </w:r>
      <w:r>
        <w:rPr/>
        <w:t>各方利益的协调平衡，共同推动公司持续、稳健发展。</w:t>
      </w:r>
    </w:p>
    <w:p>
      <w:pPr>
        <w:pStyle w:val="BodyText"/>
        <w:spacing w:line="240" w:lineRule="auto" w:before="65"/>
        <w:ind w:left="512" w:right="0"/>
        <w:jc w:val="left"/>
      </w:pPr>
      <w:r>
        <w:rPr>
          <w:rFonts w:ascii="Times New Roman" w:hAnsi="Times New Roman" w:cs="Times New Roman" w:eastAsia="Times New Roman" w:hint="default"/>
          <w:spacing w:val="1"/>
        </w:rPr>
        <w:t>7</w:t>
      </w:r>
      <w:r>
        <w:rPr/>
        <w:t>、关于信息披露与透明度：公司严格按照《深圳证券交易</w:t>
      </w:r>
      <w:r>
        <w:rPr>
          <w:spacing w:val="2"/>
        </w:rPr>
        <w:t>所</w:t>
      </w:r>
      <w:r>
        <w:rPr/>
        <w:t>股票上市规则》等相关法律</w:t>
      </w:r>
      <w:r>
        <w:rPr>
          <w:spacing w:val="2"/>
        </w:rPr>
        <w:t>法</w:t>
      </w:r>
      <w:r>
        <w:rPr/>
        <w:t>规及《信息披露管理制度</w:t>
      </w:r>
      <w:r>
        <w:rPr>
          <w:spacing w:val="-89"/>
        </w:rPr>
        <w:t>》</w:t>
      </w:r>
      <w:r>
        <w:rPr/>
        <w:t>、</w:t>
      </w:r>
    </w:p>
    <w:p>
      <w:pPr>
        <w:pStyle w:val="BodyText"/>
        <w:spacing w:line="314" w:lineRule="auto" w:before="62"/>
        <w:ind w:right="190"/>
        <w:jc w:val="both"/>
      </w:pPr>
      <w:r>
        <w:rPr>
          <w:spacing w:val="-2"/>
        </w:rPr>
        <w:t>《投资者关系管理制度》等制度的要求，真实、准确、完整、及时、公平地履行信息披露义务，报告期内，公司信息披露工</w:t>
      </w:r>
      <w:r>
        <w:rPr>
          <w:spacing w:val="-65"/>
        </w:rPr>
        <w:t> </w:t>
      </w:r>
      <w:r>
        <w:rPr>
          <w:spacing w:val="-65"/>
        </w:rPr>
      </w:r>
      <w:r>
        <w:rPr>
          <w:spacing w:val="-2"/>
          <w:w w:val="99"/>
        </w:rPr>
        <w:t>作继续荣获深交所信息披露“优秀（</w:t>
      </w:r>
      <w:r>
        <w:rPr>
          <w:rFonts w:ascii="Times New Roman" w:hAnsi="Times New Roman" w:cs="Times New Roman" w:eastAsia="Times New Roman" w:hint="default"/>
          <w:spacing w:val="-2"/>
          <w:w w:val="99"/>
        </w:rPr>
        <w:t>A</w:t>
      </w:r>
      <w:r>
        <w:rPr>
          <w:spacing w:val="-2"/>
          <w:w w:val="99"/>
        </w:rPr>
        <w:t>）”考评。报告期内，公司仍指定《证券时报》和巨潮资讯网（</w:t>
      </w:r>
      <w:hyperlink r:id="rId11">
        <w:r>
          <w:rPr>
            <w:rFonts w:ascii="Times New Roman" w:hAnsi="Times New Roman" w:cs="Times New Roman" w:eastAsia="Times New Roman" w:hint="default"/>
            <w:spacing w:val="-2"/>
            <w:w w:val="99"/>
          </w:rPr>
          <w:t>www.cninfo.com.cn</w:t>
        </w:r>
      </w:hyperlink>
      <w:r>
        <w:rPr>
          <w:spacing w:val="-2"/>
          <w:w w:val="99"/>
        </w:rPr>
        <w:t>）</w:t>
      </w:r>
      <w:r>
        <w:rPr>
          <w:spacing w:val="-38"/>
          <w:w w:val="99"/>
        </w:rPr>
        <w:t> </w:t>
      </w:r>
      <w:r>
        <w:rPr>
          <w:spacing w:val="-2"/>
        </w:rPr>
        <w:t>为公司信息披露的报纸和网站，通过网上说明会、投资者关系互动平台、电话接听、专用电子信箱、接待投资者和调研机构</w:t>
      </w:r>
      <w:r>
        <w:rPr>
          <w:spacing w:val="-67"/>
        </w:rPr>
        <w:t> </w:t>
      </w:r>
      <w:r>
        <w:rPr>
          <w:spacing w:val="-67"/>
        </w:rPr>
      </w:r>
      <w:r>
        <w:rPr>
          <w:spacing w:val="-2"/>
        </w:rPr>
        <w:t>的来访和咨询等多种方式，与投资者进行沟通、交流，提高公司运作的公开性和透明度，确保公司所有股东以平等的机会获</w:t>
      </w:r>
      <w:r>
        <w:rPr>
          <w:spacing w:val="-64"/>
        </w:rPr>
        <w:t> </w:t>
      </w:r>
      <w:r>
        <w:rPr>
          <w:spacing w:val="-64"/>
        </w:rPr>
      </w:r>
      <w:r>
        <w:rPr/>
        <w:t>取公司信息。</w:t>
      </w:r>
    </w:p>
    <w:p>
      <w:pPr>
        <w:pStyle w:val="BodyText"/>
        <w:spacing w:line="240" w:lineRule="auto" w:before="61"/>
        <w:ind w:right="94"/>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94"/>
        <w:jc w:val="left"/>
        <w:rPr>
          <w:b w:val="0"/>
          <w:bCs w:val="0"/>
        </w:rPr>
      </w:pPr>
      <w:r>
        <w:rPr/>
        <w:t>二、公司相对于控股股东在业务、人员、资产、机构、财务等方</w:t>
      </w:r>
      <w:bookmarkStart w:name="二、公司相对于控股股东在业务、人员、资产、机构、财务等方面的独立情况" w:id="131"/>
      <w:bookmarkEnd w:id="131"/>
      <w:r>
        <w:rPr/>
        <w:t>面的</w:t>
      </w:r>
      <w:r>
        <w:rPr/>
        <w:t>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2" w:right="0"/>
        <w:jc w:val="left"/>
      </w:pPr>
      <w:r>
        <w:rPr/>
        <w:t>报告期内，公司与控股股东在业务、人员、资产、机构、财务等方面完全分开，具有独立完整的业务及自主经营能力。</w:t>
      </w:r>
    </w:p>
    <w:p>
      <w:pPr>
        <w:pStyle w:val="BodyText"/>
        <w:spacing w:line="328" w:lineRule="auto" w:before="76"/>
        <w:ind w:right="193" w:firstLine="419"/>
        <w:jc w:val="both"/>
      </w:pPr>
      <w:r>
        <w:rPr>
          <w:rFonts w:ascii="Times New Roman" w:hAnsi="Times New Roman" w:cs="Times New Roman" w:eastAsia="Times New Roman" w:hint="default"/>
          <w:spacing w:val="-2"/>
        </w:rPr>
        <w:t>1</w:t>
      </w:r>
      <w:r>
        <w:rPr>
          <w:spacing w:val="-2"/>
        </w:rPr>
        <w:t>、业务独立情况：公司业务独立于控股股东、实际控制人及其控制的其他企业，拥有独立完整的生产、研发、销售和</w:t>
      </w:r>
      <w:r>
        <w:rPr/>
        <w:t> </w:t>
      </w:r>
      <w:r>
        <w:rPr>
          <w:spacing w:val="-2"/>
        </w:rPr>
        <w:t>服务系统，独立开展业务，不依赖于股东或其它任何关联方，与控股股东、实际控制人及其控制的其他企业不存在同业竞争</w:t>
      </w:r>
      <w:r>
        <w:rPr>
          <w:spacing w:val="-66"/>
        </w:rPr>
        <w:t> </w:t>
      </w:r>
      <w:r>
        <w:rPr>
          <w:spacing w:val="-66"/>
        </w:rPr>
      </w:r>
      <w:r>
        <w:rPr/>
        <w:t>或者显失公平的关联交易。</w:t>
      </w:r>
    </w:p>
    <w:p>
      <w:pPr>
        <w:pStyle w:val="BodyText"/>
        <w:spacing w:line="312" w:lineRule="auto" w:before="50"/>
        <w:ind w:right="190" w:firstLine="360"/>
        <w:jc w:val="both"/>
      </w:pPr>
      <w:r>
        <w:rPr>
          <w:rFonts w:ascii="Times New Roman" w:hAnsi="Times New Roman" w:cs="Times New Roman" w:eastAsia="Times New Roman" w:hint="default"/>
        </w:rPr>
        <w:t>2</w:t>
      </w:r>
      <w:r>
        <w:rPr/>
        <w:t>、人员独立情况：公司人员、劳动、人事及工资关系完全独立。公司拥有独立的员工队伍，并已建立完善的劳动用工 </w:t>
      </w:r>
      <w:r>
        <w:rPr>
          <w:spacing w:val="-2"/>
        </w:rPr>
        <w:t>和人事管理制度，拥有独立的劳动用工权利，不存在受控股股东干涉的现象。公司总经理、副总经理和其他高级管理人员以</w:t>
      </w:r>
      <w:r>
        <w:rPr>
          <w:spacing w:val="-65"/>
        </w:rPr>
        <w:t> </w:t>
      </w:r>
      <w:r>
        <w:rPr>
          <w:spacing w:val="-65"/>
        </w:rPr>
      </w:r>
      <w:r>
        <w:rPr>
          <w:spacing w:val="-2"/>
        </w:rPr>
        <w:t>及核心技术人员等均专职在本公司及控股子公司工作并领取薪酬，未在控股股东、实际控制人及其控制的其他企业中担任其</w:t>
      </w:r>
      <w:r>
        <w:rPr>
          <w:spacing w:val="-64"/>
        </w:rPr>
        <w:t> </w:t>
      </w:r>
      <w:r>
        <w:rPr>
          <w:spacing w:val="-64"/>
        </w:rPr>
      </w:r>
      <w:r>
        <w:rPr/>
        <w:t>他职务或领取薪酬。</w:t>
      </w:r>
    </w:p>
    <w:p>
      <w:pPr>
        <w:pStyle w:val="BodyText"/>
        <w:spacing w:line="314" w:lineRule="auto" w:before="63"/>
        <w:ind w:right="94" w:firstLine="360"/>
        <w:jc w:val="left"/>
      </w:pPr>
      <w:r>
        <w:rPr>
          <w:rFonts w:ascii="Times New Roman" w:hAnsi="Times New Roman" w:cs="Times New Roman" w:eastAsia="Times New Roman" w:hint="default"/>
        </w:rPr>
        <w:t>3</w:t>
      </w:r>
      <w:r>
        <w:rPr/>
        <w:t>、资产独立情况：公司拥有独立于控股股东的生产经营场所，拥有独立完整的资产结构，拥有独立的生产系统、辅助 生产系统和配套设施、土地使用权、房屋所有权等资产，拥有独立的采购和销售系统，对所有资产拥有完全的控制支配权。 </w:t>
      </w:r>
      <w:r>
        <w:rPr>
          <w:spacing w:val="-2"/>
        </w:rPr>
        <w:t>另外，公司全资子公司广州银通、全资孙公司深圳银通、控股子公司广州穗通根据经营需要目前仍向公司控股股东无线电集</w:t>
      </w:r>
      <w:r>
        <w:rPr>
          <w:spacing w:val="-66"/>
        </w:rPr>
        <w:t> </w:t>
      </w:r>
      <w:r>
        <w:rPr>
          <w:spacing w:val="-66"/>
        </w:rPr>
      </w:r>
      <w:r>
        <w:rPr>
          <w:spacing w:val="-2"/>
        </w:rPr>
        <w:t>团租赁部分办公场地，上述房屋租赁事宜已与无线电集团签署了相关协议并经公司董事会批准，价格公允合理，权利义务明</w:t>
      </w:r>
      <w:r>
        <w:rPr>
          <w:spacing w:val="-66"/>
        </w:rPr>
        <w:t> </w:t>
      </w:r>
      <w:r>
        <w:rPr>
          <w:spacing w:val="-66"/>
        </w:rPr>
      </w:r>
      <w:r>
        <w:rPr/>
        <w:t>确。公司不存在资产、资金被控股股东、实际控制人及其控制的其他企业违规占用而损害公司利益的情况；不存在以承包、 委托经营、租赁或其他类似方式，依赖股东单位及其他关联方进行生产经营的情况。</w:t>
      </w:r>
    </w:p>
    <w:p>
      <w:pPr>
        <w:pStyle w:val="BodyText"/>
        <w:spacing w:line="300" w:lineRule="auto" w:before="61"/>
        <w:ind w:right="200" w:firstLine="360"/>
        <w:jc w:val="both"/>
      </w:pPr>
      <w:r>
        <w:rPr>
          <w:rFonts w:ascii="Times New Roman" w:hAnsi="Times New Roman" w:cs="Times New Roman" w:eastAsia="Times New Roman" w:hint="default"/>
        </w:rPr>
        <w:t>4</w:t>
      </w:r>
      <w:r>
        <w:rPr/>
        <w:t>、财务独立情况：公司设有独立的财务会计部门，配备独立的财务会计人员，建立了独立的会计核算体系和财务管理 制度，独立进行财务决策，并严格实施内部审计制度；公司开设了独立银行账户，依法独立纳税。</w:t>
      </w:r>
    </w:p>
    <w:p>
      <w:pPr>
        <w:pStyle w:val="BodyText"/>
        <w:spacing w:line="300" w:lineRule="auto" w:before="72"/>
        <w:ind w:right="102" w:firstLine="360"/>
        <w:jc w:val="both"/>
      </w:pPr>
      <w:r>
        <w:rPr>
          <w:rFonts w:ascii="Times New Roman" w:hAnsi="Times New Roman" w:cs="Times New Roman" w:eastAsia="Times New Roman" w:hint="default"/>
          <w:spacing w:val="-2"/>
        </w:rPr>
        <w:t>5</w:t>
      </w:r>
      <w:r>
        <w:rPr>
          <w:spacing w:val="-2"/>
        </w:rPr>
        <w:t>、机构独立情况：公司建立了健全的法人治理机构，公司根据《公司法》和《公司章程》及其他有关法律法规的规定，</w:t>
      </w:r>
      <w:r>
        <w:rPr/>
        <w:t> 设立了股东大会、董事会、监事会以及经营管理层，并制定了相关议事规则和工作细则。</w:t>
      </w:r>
    </w:p>
    <w:p>
      <w:pPr>
        <w:pStyle w:val="BodyText"/>
        <w:spacing w:line="316" w:lineRule="auto" w:before="70"/>
        <w:ind w:right="190" w:firstLine="360"/>
        <w:jc w:val="both"/>
      </w:pPr>
      <w:r>
        <w:rPr>
          <w:spacing w:val="-2"/>
        </w:rPr>
        <w:t>公司已经按照法律、法规的规定和公司的实际情况设置了公司的组织机构，独立于控股股东和其他关联方，具有健全的</w:t>
      </w:r>
      <w:r>
        <w:rPr/>
        <w:t> </w:t>
      </w:r>
      <w:r>
        <w:rPr>
          <w:spacing w:val="-2"/>
        </w:rPr>
        <w:t>内部经营管理机构，独立行使经营管理职权，公司及其职能部门与控股股东及其职能部门之间不存在上下级关系，不存在与</w:t>
      </w:r>
    </w:p>
    <w:p>
      <w:pPr>
        <w:spacing w:after="0" w:line="316" w:lineRule="auto"/>
        <w:jc w:val="both"/>
        <w:sectPr>
          <w:pgSz w:w="11910" w:h="16840"/>
          <w:pgMar w:header="877" w:footer="982" w:top="1100" w:bottom="118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bookmarkStart w:name="五、报告期内独立董事履行职责的情况" w:id="132"/>
      <w:bookmarkEnd w:id="132"/>
      <w:r>
        <w:rPr/>
      </w:r>
      <w:bookmarkStart w:name="1、独立董事出席董事会及股东大会的情况" w:id="133"/>
      <w:bookmarkEnd w:id="133"/>
      <w:r>
        <w:rPr/>
      </w:r>
      <w:r>
        <w:rPr/>
        <w:t>控股股东及其下属企业机构混同或从属的情形。</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w:t>
      </w:r>
      <w:bookmarkStart w:name="三、同业竞争情况" w:id="134"/>
      <w:bookmarkEnd w:id="134"/>
      <w:r>
        <w:rPr/>
        <w:t>、</w:t>
      </w:r>
      <w:r>
        <w:rPr/>
        <w:t>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四、报告期内</w:t>
      </w:r>
      <w:bookmarkStart w:name="四、报告期内召开的年度股东大会和临时股东大会的有关情况" w:id="135"/>
      <w:bookmarkEnd w:id="135"/>
      <w:r>
        <w:rPr/>
        <w:t>召</w:t>
      </w:r>
      <w:r>
        <w:rPr/>
        <w:t>开的年度股东大会和临时股东大会的有关情况</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1274"/>
        <w:gridCol w:w="994"/>
        <w:gridCol w:w="850"/>
        <w:gridCol w:w="850"/>
        <w:gridCol w:w="4322"/>
      </w:tblGrid>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1" w:right="41" w:hanging="272"/>
              <w:jc w:val="left"/>
              <w:rPr>
                <w:rFonts w:ascii="宋体" w:hAnsi="宋体" w:cs="宋体" w:eastAsia="宋体" w:hint="default"/>
                <w:sz w:val="18"/>
                <w:szCs w:val="18"/>
              </w:rPr>
            </w:pPr>
            <w:bookmarkStart w:name="1、本报告期股东大会情况" w:id="136"/>
            <w:bookmarkEnd w:id="136"/>
            <w:r>
              <w:rPr/>
            </w:r>
            <w:r>
              <w:rPr>
                <w:rFonts w:ascii="宋体" w:hAnsi="宋体" w:cs="宋体" w:eastAsia="宋体" w:hint="default"/>
                <w:sz w:val="18"/>
                <w:szCs w:val="18"/>
              </w:rPr>
              <w:t>投资者参与 比例</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4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1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54.6577%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2015-006</w:t>
            </w:r>
          </w:p>
          <w:p>
            <w:pPr>
              <w:pStyle w:val="TableParagraph"/>
              <w:spacing w:line="338" w:lineRule="auto" w:before="103"/>
              <w:ind w:left="26" w:right="18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公告名称：《</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年第一次临时股东大会决议公告》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披露网站：巨潮资讯网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http://www.cninfo.com.cn</w:t>
              </w:r>
            </w:hyperlink>
          </w:p>
        </w:tc>
      </w:tr>
      <w:tr>
        <w:trPr>
          <w:trHeight w:val="11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97"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72.2769%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2015-036</w:t>
            </w:r>
          </w:p>
          <w:p>
            <w:pPr>
              <w:pStyle w:val="TableParagraph"/>
              <w:spacing w:line="340" w:lineRule="auto" w:before="101"/>
              <w:ind w:left="26" w:right="558"/>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公告名称：《</w:t>
            </w:r>
            <w:r>
              <w:rPr>
                <w:rFonts w:ascii="Times New Roman" w:hAnsi="Times New Roman" w:cs="Times New Roman" w:eastAsia="Times New Roman" w:hint="default"/>
                <w:spacing w:val="-10"/>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年度股东大会决议公告》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披露网站：巨潮资讯网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http://www.cninfo.com.cn</w:t>
              </w:r>
            </w:hyperlink>
          </w:p>
        </w:tc>
      </w:tr>
      <w:tr>
        <w:trPr>
          <w:trHeight w:val="11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97"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57.8657%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2015-048</w:t>
            </w:r>
          </w:p>
          <w:p>
            <w:pPr>
              <w:pStyle w:val="TableParagraph"/>
              <w:spacing w:line="340" w:lineRule="auto" w:before="101"/>
              <w:ind w:left="26" w:right="18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公告名称：《</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年第二次临时股东大会决议公告》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披露网站：巨潮资讯网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http://www.cninfo.com.cn</w:t>
              </w:r>
            </w:hyperlink>
          </w:p>
        </w:tc>
      </w:tr>
      <w:tr>
        <w:trPr>
          <w:trHeight w:val="110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300" w:lineRule="auto"/>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64.0593%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2015-067</w:t>
            </w:r>
          </w:p>
          <w:p>
            <w:pPr>
              <w:pStyle w:val="TableParagraph"/>
              <w:spacing w:line="340" w:lineRule="auto" w:before="101"/>
              <w:ind w:left="26" w:right="18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公告名称：《</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年第三次临时股东大会决议公告》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披露网站：巨潮资讯网</w:t>
            </w:r>
            <w:r>
              <w:rPr>
                <w:rFonts w:ascii="宋体" w:hAnsi="宋体" w:cs="宋体" w:eastAsia="宋体" w:hint="default"/>
                <w:spacing w:val="-68"/>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4"/>
        <w:rPr>
          <w:rFonts w:ascii="宋体" w:hAnsi="宋体" w:cs="宋体" w:eastAsia="宋体" w:hint="default"/>
          <w:b/>
          <w:bCs/>
          <w:sz w:val="20"/>
          <w:szCs w:val="20"/>
        </w:rPr>
      </w:pPr>
    </w:p>
    <w:p>
      <w:pPr>
        <w:pStyle w:val="Heading5"/>
        <w:spacing w:line="240" w:lineRule="auto" w:before="44"/>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bookmarkStart w:name="2、表决权恢复的优先股股东请求召开临时股东大会" w:id="137"/>
            <w:bookmarkEnd w:id="137"/>
            <w:r>
              <w:rPr/>
            </w: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刘佩莲</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1"/>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pacing w:val="-3"/>
                <w:sz w:val="18"/>
              </w:rPr>
              <w:t>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张宗贵</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1"/>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2"/>
                <w:sz w:val="18"/>
                <w:szCs w:val="18"/>
              </w:rPr>
              <w:t> </w:t>
            </w:r>
            <w:r>
              <w:rPr>
                <w:rFonts w:ascii="宋体" w:hAnsi="宋体" w:cs="宋体" w:eastAsia="宋体" w:hint="default"/>
                <w:sz w:val="18"/>
                <w:szCs w:val="18"/>
              </w:rPr>
              <w:t>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1"/>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b/>
          <w:bCs/>
          <w:sz w:val="21"/>
          <w:szCs w:val="21"/>
        </w:rPr>
      </w:pPr>
    </w:p>
    <w:p>
      <w:pPr>
        <w:pStyle w:val="BodyText"/>
        <w:spacing w:line="360" w:lineRule="auto" w:before="44"/>
        <w:ind w:right="7074"/>
        <w:jc w:val="left"/>
      </w:pPr>
      <w:bookmarkStart w:name="七、监事会工作情况" w:id="138"/>
      <w:bookmarkEnd w:id="138"/>
      <w:r>
        <w:rPr/>
      </w:r>
      <w:r>
        <w:rPr/>
        <w:t>连续两次未亲自出席董事会的说明 无</w:t>
      </w:r>
    </w:p>
    <w:p>
      <w:pPr>
        <w:spacing w:line="612" w:lineRule="exact" w:before="7"/>
        <w:ind w:left="152" w:right="625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、独立</w:t>
      </w:r>
      <w:bookmarkStart w:name="2、独立董事对公司有关事项提出异议的情况" w:id="139"/>
      <w:bookmarkEnd w:id="139"/>
      <w:r>
        <w:rPr>
          <w:rFonts w:ascii="宋体" w:hAnsi="宋体" w:cs="宋体" w:eastAsia="宋体" w:hint="default"/>
          <w:b/>
          <w:bCs/>
          <w:sz w:val="18"/>
          <w:szCs w:val="18"/>
        </w:rPr>
        <w:t>董事</w:t>
      </w:r>
      <w:r>
        <w:rPr>
          <w:rFonts w:ascii="宋体" w:hAnsi="宋体" w:cs="宋体" w:eastAsia="宋体" w:hint="default"/>
          <w:b/>
          <w:bCs/>
          <w:sz w:val="18"/>
          <w:szCs w:val="18"/>
        </w:rPr>
        <w:t>对公司有关事项提出异议的情况</w:t>
      </w:r>
      <w:r>
        <w:rPr>
          <w:rFonts w:ascii="宋体" w:hAnsi="宋体" w:cs="宋体" w:eastAsia="宋体" w:hint="default"/>
          <w:b/>
          <w:bCs/>
          <w:w w:val="99"/>
          <w:sz w:val="18"/>
          <w:szCs w:val="18"/>
        </w:rPr>
        <w:t> </w:t>
      </w:r>
      <w:r>
        <w:rPr>
          <w:rFonts w:ascii="宋体" w:hAnsi="宋体" w:cs="宋体" w:eastAsia="宋体" w:hint="default"/>
          <w:sz w:val="18"/>
          <w:szCs w:val="18"/>
        </w:rPr>
        <w:t>独立董事对公司有关事项是否提出异议</w:t>
      </w:r>
    </w:p>
    <w:p>
      <w:pPr>
        <w:pStyle w:val="BodyText"/>
        <w:spacing w:line="340" w:lineRule="auto" w:before="20"/>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612" w:lineRule="exact" w:before="21"/>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、独立董事履行职责的其他说明</w:t>
      </w:r>
      <w:r>
        <w:rPr>
          <w:rFonts w:ascii="宋体" w:hAnsi="宋体" w:cs="宋体" w:eastAsia="宋体" w:hint="default"/>
          <w:b/>
          <w:bCs/>
          <w:w w:val="99"/>
          <w:sz w:val="18"/>
          <w:szCs w:val="18"/>
        </w:rPr>
        <w:t> </w:t>
      </w:r>
      <w:r>
        <w:rPr>
          <w:rFonts w:ascii="宋体" w:hAnsi="宋体" w:cs="宋体" w:eastAsia="宋体" w:hint="default"/>
          <w:sz w:val="18"/>
          <w:szCs w:val="18"/>
        </w:rPr>
        <w:t>独立董事对公司有关建议是否被采纳</w:t>
      </w:r>
    </w:p>
    <w:p>
      <w:pPr>
        <w:pStyle w:val="BodyText"/>
        <w:spacing w:line="338" w:lineRule="auto" w:before="20"/>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w:t>
      </w:r>
      <w:bookmarkStart w:name="3、独立董事履行职责的其他说明" w:id="140"/>
      <w:bookmarkEnd w:id="140"/>
      <w:r>
        <w:rPr/>
        <w:t>独立董事对公司有关建议被采纳或未被采纳的说明</w:t>
      </w:r>
    </w:p>
    <w:p>
      <w:pPr>
        <w:pStyle w:val="BodyText"/>
        <w:spacing w:line="316" w:lineRule="auto" w:before="43"/>
        <w:ind w:right="153" w:firstLine="360"/>
        <w:jc w:val="both"/>
      </w:pPr>
      <w:r>
        <w:rPr>
          <w:spacing w:val="-9"/>
        </w:rPr>
        <w:t>公司独立董事根据《公司法》、《证券法》、《公司章程》和《独立董事工作制度》等法律法规的规定，关注公司运作的规</w:t>
      </w:r>
      <w:r>
        <w:rPr/>
        <w:t> </w:t>
      </w:r>
      <w:r>
        <w:rPr>
          <w:spacing w:val="-2"/>
        </w:rPr>
        <w:t>范性，独立履行职责，对公司的制度完善和日常经营决策等方面提出了许多宝贵的专业性意见，对报告期内公司发生的聘请</w:t>
      </w:r>
      <w:r>
        <w:rPr>
          <w:spacing w:val="-66"/>
        </w:rPr>
        <w:t> </w:t>
      </w:r>
      <w:r>
        <w:rPr>
          <w:spacing w:val="-66"/>
        </w:rPr>
      </w:r>
      <w:r>
        <w:rPr>
          <w:spacing w:val="-2"/>
        </w:rPr>
        <w:t>年度报告审计机构、关联交易、对外担保、聘任高级管理人员、非公开发行等需要独立董事发表意见的事项出具了独立、公</w:t>
      </w:r>
      <w:r>
        <w:rPr>
          <w:spacing w:val="-67"/>
        </w:rPr>
        <w:t> </w:t>
      </w:r>
      <w:r>
        <w:rPr>
          <w:spacing w:val="-67"/>
        </w:rPr>
      </w:r>
      <w:r>
        <w:rPr/>
        <w:t>正的独立董事意见，为完善公司监督机制，维护公司和全体股东的合法权益发挥了应有的作用。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0"/>
        <w:jc w:val="left"/>
      </w:pPr>
      <w:r>
        <w:rPr>
          <w:rFonts w:ascii="Times New Roman" w:hAnsi="Times New Roman" w:cs="Times New Roman" w:eastAsia="Times New Roman" w:hint="default"/>
        </w:rPr>
        <w:t>1</w:t>
      </w:r>
      <w:r>
        <w:rPr/>
        <w:t>、审计委员会</w:t>
      </w:r>
    </w:p>
    <w:p>
      <w:pPr>
        <w:pStyle w:val="BodyText"/>
        <w:spacing w:line="312" w:lineRule="auto" w:before="101"/>
        <w:ind w:right="150" w:firstLine="360"/>
        <w:jc w:val="both"/>
      </w:pPr>
      <w:r>
        <w:rPr>
          <w:rFonts w:ascii="Times New Roman" w:hAnsi="Times New Roman" w:cs="Times New Roman" w:eastAsia="Times New Roman" w:hint="default"/>
        </w:rPr>
        <w:t>2015</w:t>
      </w:r>
      <w:r>
        <w:rPr/>
        <w:t>年董事会审计委员会共召开了</w:t>
      </w:r>
      <w:r>
        <w:rPr>
          <w:rFonts w:ascii="Times New Roman" w:hAnsi="Times New Roman" w:cs="Times New Roman" w:eastAsia="Times New Roman" w:hint="default"/>
        </w:rPr>
        <w:t>7</w:t>
      </w:r>
      <w:r>
        <w:rPr/>
        <w:t>次会议，严格按照《审计</w:t>
      </w:r>
      <w:bookmarkStart w:name="六、董事会下设专门委员会在报告期内履行职责情况" w:id="141"/>
      <w:bookmarkEnd w:id="141"/>
      <w:r>
        <w:rPr/>
        <w:t>委员会工作细则》开展各项</w:t>
      </w:r>
      <w:r>
        <w:rPr/>
        <w:t>工作，对公司审计部提交的季</w:t>
      </w:r>
      <w:r>
        <w:rPr/>
        <w:t> </w:t>
      </w:r>
      <w:r>
        <w:rPr>
          <w:spacing w:val="-2"/>
        </w:rPr>
        <w:t>度经营审计报告、年度内部控制自我评价报告、内部审计工作计划、外部审计机构的工作总结报告、续聘会计师事务所等事</w:t>
      </w:r>
      <w:r>
        <w:rPr>
          <w:spacing w:val="-65"/>
        </w:rPr>
        <w:t> </w:t>
      </w:r>
      <w:r>
        <w:rPr>
          <w:spacing w:val="-65"/>
        </w:rPr>
      </w:r>
      <w:r>
        <w:rPr>
          <w:spacing w:val="-2"/>
        </w:rPr>
        <w:t>项进行审议，对相关事项讨论后，形成决议提交公司董事会进行审议；对内部控制的实施情况进行监督；严格按照《董事会</w:t>
      </w:r>
      <w:r>
        <w:rPr>
          <w:spacing w:val="-67"/>
        </w:rPr>
        <w:t> </w:t>
      </w:r>
      <w:r>
        <w:rPr>
          <w:spacing w:val="-67"/>
        </w:rPr>
      </w:r>
      <w:r>
        <w:rPr/>
        <w:t>审计委员会年报工作规程》对年审会计师完成审计工作情况及其执业质量进行全面客观的评价，提高年报的披露质量。</w:t>
      </w:r>
    </w:p>
    <w:p>
      <w:pPr>
        <w:pStyle w:val="BodyText"/>
        <w:spacing w:line="240" w:lineRule="auto" w:before="63"/>
        <w:ind w:left="512" w:right="0"/>
        <w:jc w:val="left"/>
      </w:pPr>
      <w:r>
        <w:rPr>
          <w:rFonts w:ascii="Times New Roman" w:hAnsi="Times New Roman" w:cs="Times New Roman" w:eastAsia="Times New Roman" w:hint="default"/>
        </w:rPr>
        <w:t>2</w:t>
      </w:r>
      <w:r>
        <w:rPr/>
        <w:t>、薪酬与考核委员会</w:t>
      </w:r>
    </w:p>
    <w:p>
      <w:pPr>
        <w:pStyle w:val="BodyText"/>
        <w:spacing w:line="300" w:lineRule="auto" w:before="103"/>
        <w:ind w:right="150" w:firstLine="360"/>
        <w:jc w:val="both"/>
      </w:pPr>
      <w:r>
        <w:rPr>
          <w:rFonts w:ascii="Times New Roman" w:hAnsi="Times New Roman" w:cs="Times New Roman" w:eastAsia="Times New Roman" w:hint="default"/>
        </w:rPr>
        <w:t>2015</w:t>
      </w:r>
      <w:r>
        <w:rPr/>
        <w:t>年，董事会薪酬与考核委员会召开了</w:t>
      </w:r>
      <w:r>
        <w:rPr>
          <w:rFonts w:ascii="Times New Roman" w:hAnsi="Times New Roman" w:cs="Times New Roman" w:eastAsia="Times New Roman" w:hint="default"/>
        </w:rPr>
        <w:t>1</w:t>
      </w:r>
      <w:r>
        <w:rPr/>
        <w:t>次会议，对公司高级管理人员进行考核，确定其</w:t>
      </w:r>
      <w:r>
        <w:rPr>
          <w:rFonts w:ascii="Times New Roman" w:hAnsi="Times New Roman" w:cs="Times New Roman" w:eastAsia="Times New Roman" w:hint="default"/>
        </w:rPr>
        <w:t>2014</w:t>
      </w:r>
      <w:r>
        <w:rPr/>
        <w:t>年薪酬及</w:t>
      </w:r>
      <w:r>
        <w:rPr>
          <w:rFonts w:ascii="Times New Roman" w:hAnsi="Times New Roman" w:cs="Times New Roman" w:eastAsia="Times New Roman" w:hint="default"/>
        </w:rPr>
        <w:t>2015</w:t>
      </w:r>
      <w:r>
        <w:rPr/>
        <w:t>年度考核 目标，并形成议案提交董事会审议。</w:t>
      </w:r>
    </w:p>
    <w:p>
      <w:pPr>
        <w:pStyle w:val="BodyText"/>
        <w:spacing w:line="240" w:lineRule="auto" w:before="70"/>
        <w:ind w:left="512" w:right="0"/>
        <w:jc w:val="left"/>
      </w:pPr>
      <w:r>
        <w:rPr>
          <w:rFonts w:ascii="Times New Roman" w:hAnsi="Times New Roman" w:cs="Times New Roman" w:eastAsia="Times New Roman" w:hint="default"/>
        </w:rPr>
        <w:t>3</w:t>
      </w:r>
      <w:r>
        <w:rPr/>
        <w:t>、提名委员会</w:t>
      </w:r>
    </w:p>
    <w:p>
      <w:pPr>
        <w:pStyle w:val="BodyText"/>
        <w:spacing w:line="312" w:lineRule="auto" w:before="103"/>
        <w:ind w:right="153" w:firstLine="360"/>
        <w:jc w:val="both"/>
      </w:pPr>
      <w:r>
        <w:rPr>
          <w:rFonts w:ascii="Times New Roman" w:hAnsi="Times New Roman" w:cs="Times New Roman" w:eastAsia="Times New Roman" w:hint="default"/>
        </w:rPr>
        <w:t>2015</w:t>
      </w:r>
      <w:r>
        <w:rPr/>
        <w:t>年，董事会提名委员会召开了</w:t>
      </w:r>
      <w:r>
        <w:rPr>
          <w:rFonts w:ascii="Times New Roman" w:hAnsi="Times New Roman" w:cs="Times New Roman" w:eastAsia="Times New Roman" w:hint="default"/>
        </w:rPr>
        <w:t>2</w:t>
      </w:r>
      <w:r>
        <w:rPr/>
        <w:t>次会议，会议审议通过了《关于聘任解永生先生为公司副总经理的议案》、《关于 </w:t>
      </w:r>
      <w:r>
        <w:rPr>
          <w:spacing w:val="-2"/>
        </w:rPr>
        <w:t>增补肖勋勇先生为公司董事的议案》。经公司总经理提名，拟聘任解永生先生为公司副总经理，经公司控股股东无线电集团</w:t>
      </w:r>
      <w:r>
        <w:rPr>
          <w:spacing w:val="-66"/>
        </w:rPr>
        <w:t> </w:t>
      </w:r>
      <w:r>
        <w:rPr>
          <w:spacing w:val="-66"/>
        </w:rPr>
      </w:r>
      <w:r>
        <w:rPr>
          <w:spacing w:val="-2"/>
        </w:rPr>
        <w:t>推荐，拟增补肖勋勇先生为公司董事。提名委员会委员对上述人选从其职业、学历、职称、详细的工作经历、全部兼职等情</w:t>
      </w:r>
      <w:r>
        <w:rPr>
          <w:spacing w:val="-68"/>
        </w:rPr>
        <w:t> </w:t>
      </w:r>
      <w:r>
        <w:rPr>
          <w:spacing w:val="-68"/>
        </w:rPr>
      </w:r>
      <w:r>
        <w:rPr/>
        <w:t>况切实进行了审查，审议通过上述提名，并形成议案提交董事会审议。</w:t>
      </w:r>
    </w:p>
    <w:p>
      <w:pPr>
        <w:pStyle w:val="BodyText"/>
        <w:spacing w:line="240" w:lineRule="auto" w:before="63"/>
        <w:ind w:left="512" w:right="0"/>
        <w:jc w:val="left"/>
      </w:pPr>
      <w:r>
        <w:rPr>
          <w:rFonts w:ascii="Times New Roman" w:hAnsi="Times New Roman" w:cs="Times New Roman" w:eastAsia="Times New Roman" w:hint="default"/>
        </w:rPr>
        <w:t>4</w:t>
      </w:r>
      <w:r>
        <w:rPr/>
        <w:t>、战略与投资委员会</w:t>
      </w:r>
    </w:p>
    <w:p>
      <w:pPr>
        <w:pStyle w:val="BodyText"/>
        <w:spacing w:line="300" w:lineRule="auto" w:before="101"/>
        <w:ind w:right="150" w:firstLine="360"/>
        <w:jc w:val="both"/>
      </w:pPr>
      <w:r>
        <w:rPr>
          <w:rFonts w:ascii="Times New Roman" w:hAnsi="Times New Roman" w:cs="Times New Roman" w:eastAsia="Times New Roman" w:hint="default"/>
          <w:spacing w:val="-2"/>
        </w:rPr>
        <w:t>2015</w:t>
      </w:r>
      <w:r>
        <w:rPr>
          <w:spacing w:val="-2"/>
        </w:rPr>
        <w:t>年，经第四届董事会第七次（临时）会议及</w:t>
      </w:r>
      <w:r>
        <w:rPr>
          <w:rFonts w:ascii="Times New Roman" w:hAnsi="Times New Roman" w:cs="Times New Roman" w:eastAsia="Times New Roman" w:hint="default"/>
          <w:spacing w:val="-2"/>
        </w:rPr>
        <w:t>2015</w:t>
      </w:r>
      <w:r>
        <w:rPr>
          <w:spacing w:val="-2"/>
        </w:rPr>
        <w:t>年第二次临时股东大会审议通过，公司设立了董事会战略与投资委</w:t>
      </w:r>
      <w:r>
        <w:rPr/>
        <w:t> 员会。董事会战略与投资委员会在</w:t>
      </w:r>
      <w:r>
        <w:rPr>
          <w:rFonts w:ascii="Times New Roman" w:hAnsi="Times New Roman" w:cs="Times New Roman" w:eastAsia="Times New Roman" w:hint="default"/>
        </w:rPr>
        <w:t>2015</w:t>
      </w:r>
      <w:r>
        <w:rPr/>
        <w:t>年共召开了</w:t>
      </w:r>
      <w:r>
        <w:rPr>
          <w:rFonts w:ascii="Times New Roman" w:hAnsi="Times New Roman" w:cs="Times New Roman" w:eastAsia="Times New Roman" w:hint="default"/>
        </w:rPr>
        <w:t>7</w:t>
      </w:r>
      <w:r>
        <w:rPr/>
        <w:t>次会议，就公司战略与投资事项，先后形成</w:t>
      </w:r>
      <w:r>
        <w:rPr>
          <w:rFonts w:ascii="Times New Roman" w:hAnsi="Times New Roman" w:cs="Times New Roman" w:eastAsia="Times New Roman" w:hint="default"/>
        </w:rPr>
        <w:t>17</w:t>
      </w:r>
      <w:r>
        <w:rPr/>
        <w:t>项议案，达到董事会审议</w:t>
      </w:r>
      <w:r>
        <w:rPr>
          <w:spacing w:val="-85"/>
        </w:rPr>
        <w:t> </w:t>
      </w:r>
      <w:r>
        <w:rPr/>
        <w:t>标准的议案均已提交董事会审议。</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监事会对报告期内的监督事项无异议。</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w:t>
      </w:r>
      <w:bookmarkStart w:name="八、高级管理人员的考评及激励情况" w:id="142"/>
      <w:bookmarkEnd w:id="142"/>
      <w:r>
        <w:rPr/>
        <w:t>、</w:t>
      </w:r>
      <w:r>
        <w:rPr/>
        <w:t>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0" w:firstLine="360"/>
        <w:jc w:val="both"/>
      </w:pPr>
      <w:r>
        <w:rPr>
          <w:spacing w:val="-2"/>
        </w:rPr>
        <w:t>公司建立健全了高级管理人员绩效考评体系、薪酬制度以及《高管层年度业绩考核与薪酬管理办法》。公司高级管理人</w:t>
      </w:r>
      <w:r>
        <w:rPr/>
        <w:t> </w:t>
      </w:r>
      <w:r>
        <w:rPr>
          <w:spacing w:val="-2"/>
        </w:rPr>
        <w:t>员的工作绩效与其收入直接挂钩，每年年初，公司与高管层分别签订年度经营责任书，落实有关考核指标及相关事项。在年</w:t>
      </w:r>
      <w:r>
        <w:rPr>
          <w:spacing w:val="-64"/>
        </w:rPr>
        <w:t> </w:t>
      </w:r>
      <w:r>
        <w:rPr>
          <w:spacing w:val="-64"/>
        </w:rPr>
      </w:r>
      <w:r>
        <w:rPr>
          <w:spacing w:val="-2"/>
        </w:rPr>
        <w:t>度结束后，由董事会薪酬与考核委员会负责按量化考核指标，对高管责任目标完成情况进行考评，制定薪酬方案报公司董事</w:t>
      </w:r>
      <w:r>
        <w:rPr>
          <w:spacing w:val="-63"/>
        </w:rPr>
        <w:t> </w:t>
      </w:r>
      <w:r>
        <w:rPr>
          <w:spacing w:val="-63"/>
        </w:rPr>
      </w:r>
      <w:r>
        <w:rPr/>
        <w:t>会审批。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、报告期内发现的内部控制重大</w:t>
      </w:r>
      <w:bookmarkStart w:name="九、内部控制评价报告" w:id="143"/>
      <w:bookmarkEnd w:id="143"/>
      <w:r>
        <w:rPr/>
        <w:t>缺陷的</w:t>
      </w:r>
      <w:r>
        <w:rPr/>
        <w:t>具</w:t>
      </w:r>
      <w:bookmarkStart w:name="1、报告期内发现的内部控制重大缺陷的具体情况" w:id="144"/>
      <w:bookmarkEnd w:id="144"/>
      <w:r>
        <w:rPr/>
        <w:t>体情况</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2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pStyle w:val="Heading5"/>
        <w:spacing w:line="240" w:lineRule="auto" w:before="127"/>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spacing w:line="240" w:lineRule="auto" w:before="44"/>
        <w:ind w:left="0" w:right="160"/>
        <w:jc w:val="right"/>
      </w:pPr>
      <w:r>
        <w:rPr/>
        <w:pict>
          <v:shape style="position:absolute;margin-left:56.400002pt;margin-top:-20.888294pt;width:479.2pt;height:434.0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9"/>
                    <w:gridCol w:w="3548"/>
                    <w:gridCol w:w="3331"/>
                  </w:tblGrid>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刊登在巨潮资讯网（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）上的《</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年度内部控制自我评价报告</w:t>
                        </w:r>
                      </w:p>
                    </w:tc>
                  </w:tr>
                  <w:tr>
                    <w:trPr>
                      <w:trHeight w:val="715"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3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80"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21" w:hRule="exact"/>
                    </w:trPr>
                    <w:tc>
                      <w:tcPr>
                        <w:tcW w:w="26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548" w:type="dxa"/>
                        <w:vMerge w:val="restart"/>
                        <w:tcBorders>
                          <w:top w:val="single" w:sz="4" w:space="0" w:color="000000"/>
                          <w:left w:val="single" w:sz="10" w:space="0" w:color="D4D4D4"/>
                          <w:right w:val="single" w:sz="4" w:space="0" w:color="000000"/>
                        </w:tcBorders>
                      </w:tcPr>
                      <w:p>
                        <w:pPr>
                          <w:pStyle w:val="TableParagraph"/>
                          <w:spacing w:line="338" w:lineRule="auto" w:before="49"/>
                          <w:ind w:left="22" w:right="86"/>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 标。 内部控制缺陷可能导致或导致的损失与利润</w:t>
                        </w:r>
                      </w:p>
                      <w:p>
                        <w:pPr>
                          <w:pStyle w:val="TableParagraph"/>
                          <w:spacing w:line="240" w:lineRule="auto" w:before="2"/>
                          <w:ind w:left="22" w:right="0"/>
                          <w:jc w:val="both"/>
                          <w:rPr>
                            <w:rFonts w:ascii="宋体" w:hAnsi="宋体" w:cs="宋体" w:eastAsia="宋体" w:hint="default"/>
                            <w:sz w:val="18"/>
                            <w:szCs w:val="18"/>
                          </w:rPr>
                        </w:pPr>
                        <w:r>
                          <w:rPr>
                            <w:rFonts w:ascii="宋体" w:hAnsi="宋体" w:cs="宋体" w:eastAsia="宋体" w:hint="default"/>
                            <w:sz w:val="18"/>
                            <w:szCs w:val="18"/>
                          </w:rPr>
                          <w:t>表相关的，以营业收入指标衡量。</w:t>
                        </w:r>
                      </w:p>
                      <w:p>
                        <w:pPr>
                          <w:pStyle w:val="TableParagraph"/>
                          <w:spacing w:line="309" w:lineRule="auto" w:before="115"/>
                          <w:ind w:left="22" w:right="24"/>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①如果该缺陷单独或连同其他缺陷可能导致 的财务报告错报金额小于营业收入的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w:t>
                        </w:r>
                      </w:p>
                      <w:p>
                        <w:pPr>
                          <w:pStyle w:val="TableParagraph"/>
                          <w:spacing w:line="300" w:lineRule="auto" w:before="65"/>
                          <w:ind w:left="22" w:right="55"/>
                          <w:jc w:val="both"/>
                          <w:rPr>
                            <w:rFonts w:ascii="宋体" w:hAnsi="宋体" w:cs="宋体" w:eastAsia="宋体" w:hint="default"/>
                            <w:sz w:val="18"/>
                            <w:szCs w:val="18"/>
                          </w:rPr>
                        </w:pPr>
                        <w:r>
                          <w:rPr>
                            <w:rFonts w:ascii="宋体" w:hAnsi="宋体" w:cs="宋体" w:eastAsia="宋体" w:hint="default"/>
                            <w:sz w:val="18"/>
                            <w:szCs w:val="18"/>
                          </w:rPr>
                          <w:t>②如果超过营业收入的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 认定为重要缺陷；</w:t>
                        </w:r>
                      </w:p>
                      <w:p>
                        <w:pPr>
                          <w:pStyle w:val="TableParagraph"/>
                          <w:spacing w:line="300" w:lineRule="auto" w:before="72"/>
                          <w:ind w:left="22" w:right="19"/>
                          <w:jc w:val="both"/>
                          <w:rPr>
                            <w:rFonts w:ascii="宋体" w:hAnsi="宋体" w:cs="宋体" w:eastAsia="宋体" w:hint="default"/>
                            <w:sz w:val="18"/>
                            <w:szCs w:val="18"/>
                          </w:rPr>
                        </w:pPr>
                        <w:r>
                          <w:rPr>
                            <w:rFonts w:ascii="宋体" w:hAnsi="宋体" w:cs="宋体" w:eastAsia="宋体" w:hint="default"/>
                            <w:sz w:val="18"/>
                            <w:szCs w:val="18"/>
                          </w:rPr>
                          <w:t>③如果超过营业收入的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，则认定为重大缺</w:t>
                        </w:r>
                        <w:r>
                          <w:rPr>
                            <w:rFonts w:ascii="宋体" w:hAnsi="宋体" w:cs="宋体" w:eastAsia="宋体" w:hint="default"/>
                            <w:sz w:val="18"/>
                            <w:szCs w:val="18"/>
                          </w:rPr>
                          <w:t> 陷。</w:t>
                        </w:r>
                      </w:p>
                      <w:p>
                        <w:pPr>
                          <w:pStyle w:val="TableParagraph"/>
                          <w:spacing w:line="316" w:lineRule="auto" w:before="70"/>
                          <w:ind w:left="22" w:right="86"/>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内部控制缺陷可能导致或导致的损失与资产 管理相关的，以资产总额指标衡量。</w:t>
                        </w:r>
                      </w:p>
                      <w:p>
                        <w:pPr>
                          <w:pStyle w:val="TableParagraph"/>
                          <w:spacing w:line="309" w:lineRule="auto" w:before="59"/>
                          <w:ind w:left="22" w:right="24"/>
                          <w:jc w:val="both"/>
                          <w:rPr>
                            <w:rFonts w:ascii="宋体" w:hAnsi="宋体" w:cs="宋体" w:eastAsia="宋体" w:hint="default"/>
                            <w:sz w:val="18"/>
                            <w:szCs w:val="18"/>
                          </w:rPr>
                        </w:pPr>
                        <w:r>
                          <w:rPr>
                            <w:rFonts w:ascii="宋体" w:hAnsi="宋体" w:cs="宋体" w:eastAsia="宋体" w:hint="default"/>
                            <w:sz w:val="18"/>
                            <w:szCs w:val="18"/>
                          </w:rPr>
                          <w:t>①如果该缺陷单独或连同其他缺陷可能导致 的财务报告错报金额小于资产总额的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则认定为一般缺陷；</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②如果超过资产总额的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w:t>
                        </w:r>
                      </w:p>
                    </w:tc>
                    <w:tc>
                      <w:tcPr>
                        <w:tcW w:w="3331" w:type="dxa"/>
                        <w:vMerge w:val="restart"/>
                        <w:tcBorders>
                          <w:top w:val="single" w:sz="4" w:space="0" w:color="000000"/>
                          <w:left w:val="single" w:sz="4" w:space="0" w:color="000000"/>
                          <w:right w:val="single" w:sz="4" w:space="0" w:color="000000"/>
                        </w:tcBorders>
                      </w:tcPr>
                      <w:p>
                        <w:pPr>
                          <w:pStyle w:val="TableParagraph"/>
                          <w:spacing w:line="338"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 内部控制缺陷可能导致或导致的损失与利</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润报表相关的，以营业收入指标衡量。</w:t>
                        </w:r>
                      </w:p>
                      <w:p>
                        <w:pPr>
                          <w:pStyle w:val="TableParagraph"/>
                          <w:spacing w:line="316" w:lineRule="auto" w:before="115"/>
                          <w:ind w:left="23" w:right="55"/>
                          <w:jc w:val="left"/>
                          <w:rPr>
                            <w:rFonts w:ascii="宋体" w:hAnsi="宋体" w:cs="宋体" w:eastAsia="宋体" w:hint="default"/>
                            <w:sz w:val="18"/>
                            <w:szCs w:val="18"/>
                          </w:rPr>
                        </w:pPr>
                        <w:r>
                          <w:rPr>
                            <w:rFonts w:ascii="宋体" w:hAnsi="宋体" w:cs="宋体" w:eastAsia="宋体" w:hint="default"/>
                            <w:sz w:val="18"/>
                            <w:szCs w:val="18"/>
                          </w:rPr>
                          <w:t>①如果该缺陷单独或连同其他缺陷可能导 致的财务报告错报金额小于营业收入的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300" w:lineRule="auto" w:before="40"/>
                          <w:ind w:left="23" w:right="70"/>
                          <w:jc w:val="left"/>
                          <w:rPr>
                            <w:rFonts w:ascii="宋体" w:hAnsi="宋体" w:cs="宋体" w:eastAsia="宋体" w:hint="default"/>
                            <w:sz w:val="18"/>
                            <w:szCs w:val="18"/>
                          </w:rPr>
                        </w:pPr>
                        <w:r>
                          <w:rPr>
                            <w:rFonts w:ascii="宋体" w:hAnsi="宋体" w:cs="宋体" w:eastAsia="宋体" w:hint="default"/>
                            <w:sz w:val="18"/>
                            <w:szCs w:val="18"/>
                          </w:rPr>
                          <w:t>②如果超过营业收入的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则认定为重要缺陷；</w:t>
                        </w:r>
                      </w:p>
                      <w:p>
                        <w:pPr>
                          <w:pStyle w:val="TableParagraph"/>
                          <w:spacing w:line="300" w:lineRule="auto" w:before="72"/>
                          <w:ind w:left="23" w:right="55"/>
                          <w:jc w:val="left"/>
                          <w:rPr>
                            <w:rFonts w:ascii="宋体" w:hAnsi="宋体" w:cs="宋体" w:eastAsia="宋体" w:hint="default"/>
                            <w:sz w:val="18"/>
                            <w:szCs w:val="18"/>
                          </w:rPr>
                        </w:pPr>
                        <w:r>
                          <w:rPr>
                            <w:rFonts w:ascii="宋体" w:hAnsi="宋体" w:cs="宋体" w:eastAsia="宋体" w:hint="default"/>
                            <w:sz w:val="18"/>
                            <w:szCs w:val="18"/>
                          </w:rPr>
                          <w:t>③如果超过营业收入的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 大缺陷。</w:t>
                        </w:r>
                      </w:p>
                      <w:p>
                        <w:pPr>
                          <w:pStyle w:val="TableParagraph"/>
                          <w:spacing w:line="316" w:lineRule="auto" w:before="70"/>
                          <w:ind w:left="23" w:right="55"/>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内部控制缺陷可能导致或导致的损失与资 产管理相关的，以资产总额指标衡量。</w:t>
                        </w:r>
                      </w:p>
                      <w:p>
                        <w:pPr>
                          <w:pStyle w:val="TableParagraph"/>
                          <w:spacing w:line="316" w:lineRule="auto" w:before="59"/>
                          <w:ind w:left="23" w:right="55"/>
                          <w:jc w:val="left"/>
                          <w:rPr>
                            <w:rFonts w:ascii="宋体" w:hAnsi="宋体" w:cs="宋体" w:eastAsia="宋体" w:hint="default"/>
                            <w:sz w:val="18"/>
                            <w:szCs w:val="18"/>
                          </w:rPr>
                        </w:pPr>
                        <w:r>
                          <w:rPr>
                            <w:rFonts w:ascii="宋体" w:hAnsi="宋体" w:cs="宋体" w:eastAsia="宋体" w:hint="default"/>
                            <w:sz w:val="18"/>
                            <w:szCs w:val="18"/>
                          </w:rPr>
                          <w:t>①如果该缺陷单独或连同其他缺陷可能导 致的财务报告错报金额小于资产总额的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p>
                        <w:pPr>
                          <w:pStyle w:val="TableParagraph"/>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t>②如果超过资产总额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w:t>
                        </w:r>
                      </w:p>
                    </w:tc>
                  </w:tr>
                  <w:tr>
                    <w:trPr>
                      <w:trHeight w:val="394" w:hRule="exact"/>
                    </w:trPr>
                    <w:tc>
                      <w:tcPr>
                        <w:tcW w:w="26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48" w:type="dxa"/>
                        <w:vMerge/>
                        <w:tcBorders>
                          <w:left w:val="single" w:sz="10" w:space="0" w:color="D4D4D4"/>
                          <w:right w:val="single" w:sz="4" w:space="0" w:color="000000"/>
                        </w:tcBorders>
                      </w:tcPr>
                      <w:p>
                        <w:pPr/>
                      </w:p>
                    </w:tc>
                    <w:tc>
                      <w:tcPr>
                        <w:tcW w:w="3331" w:type="dxa"/>
                        <w:vMerge/>
                        <w:tcBorders>
                          <w:left w:val="single" w:sz="4" w:space="0" w:color="000000"/>
                          <w:right w:val="single" w:sz="4" w:space="0" w:color="000000"/>
                        </w:tcBorders>
                      </w:tcPr>
                      <w:p>
                        <w:pPr/>
                      </w:p>
                    </w:tc>
                  </w:tr>
                  <w:tr>
                    <w:trPr>
                      <w:trHeight w:val="2621" w:hRule="exact"/>
                    </w:trPr>
                    <w:tc>
                      <w:tcPr>
                        <w:tcW w:w="26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548" w:type="dxa"/>
                        <w:vMerge/>
                        <w:tcBorders>
                          <w:left w:val="single" w:sz="10" w:space="0" w:color="D4D4D4"/>
                          <w:bottom w:val="single" w:sz="4" w:space="0" w:color="000000"/>
                          <w:right w:val="single" w:sz="4" w:space="0" w:color="000000"/>
                        </w:tcBorders>
                      </w:tcPr>
                      <w:p>
                        <w:pPr/>
                      </w:p>
                    </w:tc>
                    <w:tc>
                      <w:tcPr>
                        <w:tcW w:w="3331" w:type="dxa"/>
                        <w:vMerge/>
                        <w:tcBorders>
                          <w:left w:val="single" w:sz="4" w:space="0" w:color="000000"/>
                          <w:bottom w:val="single" w:sz="4" w:space="0" w:color="000000"/>
                          <w:right w:val="single" w:sz="4" w:space="0" w:color="000000"/>
                        </w:tcBorders>
                      </w:tcPr>
                      <w:p>
                        <w:pPr/>
                      </w:p>
                    </w:tc>
                  </w:tr>
                </w:tbl>
                <w:p>
                  <w:pPr/>
                </w:p>
              </w:txbxContent>
            </v:textbox>
            <w10:wrap type="none"/>
          </v:shape>
        </w:pict>
      </w:r>
      <w:bookmarkStart w:name="2、内控自我评价报告" w:id="145"/>
      <w:bookmarkEnd w:id="145"/>
      <w:r>
        <w:rPr/>
      </w:r>
      <w:r>
        <w:rPr/>
        <w:t>》</w:t>
      </w:r>
    </w:p>
    <w:p>
      <w:pPr>
        <w:spacing w:after="0" w:line="240" w:lineRule="auto"/>
        <w:jc w:val="right"/>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3542"/>
        <w:gridCol w:w="3331"/>
      </w:tblGrid>
      <w:tr>
        <w:trPr>
          <w:trHeight w:val="102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认定为重要缺陷；</w:t>
            </w:r>
          </w:p>
          <w:p>
            <w:pPr>
              <w:pStyle w:val="TableParagraph"/>
              <w:spacing w:line="300" w:lineRule="auto" w:before="117"/>
              <w:ind w:left="24" w:right="161"/>
              <w:jc w:val="lef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陷。</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认定为重要缺陷；</w:t>
            </w:r>
          </w:p>
          <w:p>
            <w:pPr>
              <w:pStyle w:val="TableParagraph"/>
              <w:spacing w:line="300" w:lineRule="auto" w:before="117"/>
              <w:ind w:left="23" w:right="19"/>
              <w:jc w:val="left"/>
              <w:rPr>
                <w:rFonts w:ascii="宋体" w:hAnsi="宋体" w:cs="宋体" w:eastAsia="宋体" w:hint="default"/>
                <w:sz w:val="18"/>
                <w:szCs w:val="18"/>
              </w:rPr>
            </w:pPr>
            <w:r>
              <w:rPr>
                <w:rFonts w:ascii="宋体" w:hAnsi="宋体" w:cs="宋体" w:eastAsia="宋体" w:hint="default"/>
                <w:sz w:val="18"/>
                <w:szCs w:val="18"/>
              </w:rPr>
              <w:t>③如果超过资产总额</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，则认定为重大缺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陷。</w:t>
            </w:r>
          </w:p>
        </w:tc>
      </w:tr>
      <w:tr>
        <w:trPr>
          <w:trHeight w:val="673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财务报告重大缺陷的迹象包括：</w:t>
            </w:r>
          </w:p>
          <w:p>
            <w:pPr>
              <w:pStyle w:val="TableParagraph"/>
              <w:spacing w:line="316" w:lineRule="auto" w:before="115"/>
              <w:ind w:left="24" w:right="86"/>
              <w:jc w:val="left"/>
              <w:rPr>
                <w:rFonts w:ascii="宋体" w:hAnsi="宋体" w:cs="宋体" w:eastAsia="宋体" w:hint="default"/>
                <w:sz w:val="18"/>
                <w:szCs w:val="18"/>
              </w:rPr>
            </w:pPr>
            <w:r>
              <w:rPr>
                <w:rFonts w:ascii="宋体" w:hAnsi="宋体" w:cs="宋体" w:eastAsia="宋体" w:hint="default"/>
                <w:sz w:val="18"/>
                <w:szCs w:val="18"/>
              </w:rPr>
              <w:t>①公司董事、监事和高级管理人员的舞弊行 为；</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②公司更正已公布的财务报告；</w:t>
            </w:r>
          </w:p>
          <w:p>
            <w:pPr>
              <w:pStyle w:val="TableParagraph"/>
              <w:spacing w:line="316" w:lineRule="auto" w:before="115"/>
              <w:ind w:left="24" w:right="86"/>
              <w:jc w:val="left"/>
              <w:rPr>
                <w:rFonts w:ascii="宋体" w:hAnsi="宋体" w:cs="宋体" w:eastAsia="宋体" w:hint="default"/>
                <w:sz w:val="18"/>
                <w:szCs w:val="18"/>
              </w:rPr>
            </w:pPr>
            <w:r>
              <w:rPr>
                <w:rFonts w:ascii="宋体" w:hAnsi="宋体" w:cs="宋体" w:eastAsia="宋体" w:hint="default"/>
                <w:sz w:val="18"/>
                <w:szCs w:val="18"/>
              </w:rPr>
              <w:t>③注册会计师发现的却未被公司内部控制识 别的当期财务报告中的重大错报；</w:t>
            </w:r>
          </w:p>
          <w:p>
            <w:pPr>
              <w:pStyle w:val="TableParagraph"/>
              <w:spacing w:line="338" w:lineRule="auto" w:before="59"/>
              <w:ind w:left="24" w:right="86"/>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④审计委员会和审计部门对公司的对外财务 报告和财务报告内部控制监督无效。 财务报告重要缺陷的迹象包括：</w:t>
            </w:r>
          </w:p>
          <w:p>
            <w:pPr>
              <w:pStyle w:val="TableParagraph"/>
              <w:spacing w:line="316" w:lineRule="auto" w:before="41"/>
              <w:ind w:left="24" w:right="266"/>
              <w:jc w:val="left"/>
              <w:rPr>
                <w:rFonts w:ascii="宋体" w:hAnsi="宋体" w:cs="宋体" w:eastAsia="宋体" w:hint="default"/>
                <w:sz w:val="18"/>
                <w:szCs w:val="18"/>
              </w:rPr>
            </w:pPr>
            <w:r>
              <w:rPr>
                <w:rFonts w:ascii="宋体" w:hAnsi="宋体" w:cs="宋体" w:eastAsia="宋体" w:hint="default"/>
                <w:sz w:val="18"/>
                <w:szCs w:val="18"/>
              </w:rPr>
              <w:t>①未依照公认会计准则选择和应用会计政 策；</w:t>
            </w:r>
          </w:p>
          <w:p>
            <w:pPr>
              <w:pStyle w:val="TableParagraph"/>
              <w:spacing w:line="240" w:lineRule="auto" w:before="59"/>
              <w:ind w:left="24" w:right="0"/>
              <w:jc w:val="both"/>
              <w:rPr>
                <w:rFonts w:ascii="宋体" w:hAnsi="宋体" w:cs="宋体" w:eastAsia="宋体" w:hint="default"/>
                <w:sz w:val="18"/>
                <w:szCs w:val="18"/>
              </w:rPr>
            </w:pPr>
            <w:r>
              <w:rPr>
                <w:rFonts w:ascii="宋体" w:hAnsi="宋体" w:cs="宋体" w:eastAsia="宋体" w:hint="default"/>
                <w:sz w:val="18"/>
                <w:szCs w:val="18"/>
              </w:rPr>
              <w:t>②未建立反舞弊程序和控制措施；</w:t>
            </w:r>
          </w:p>
          <w:p>
            <w:pPr>
              <w:pStyle w:val="TableParagraph"/>
              <w:spacing w:line="316" w:lineRule="auto" w:before="117"/>
              <w:ind w:left="24" w:right="86"/>
              <w:jc w:val="both"/>
              <w:rPr>
                <w:rFonts w:ascii="宋体" w:hAnsi="宋体" w:cs="宋体" w:eastAsia="宋体" w:hint="default"/>
                <w:sz w:val="18"/>
                <w:szCs w:val="18"/>
              </w:rPr>
            </w:pPr>
            <w:r>
              <w:rPr>
                <w:rFonts w:ascii="宋体" w:hAnsi="宋体" w:cs="宋体" w:eastAsia="宋体" w:hint="default"/>
                <w:sz w:val="18"/>
                <w:szCs w:val="18"/>
              </w:rPr>
              <w:t>③对于非常规或特殊交易的账务处理没有建 立相应的控制机制或没有实施且没有相应的 补偿性控制；</w:t>
            </w:r>
          </w:p>
          <w:p>
            <w:pPr>
              <w:pStyle w:val="TableParagraph"/>
              <w:spacing w:line="316" w:lineRule="auto" w:before="57"/>
              <w:ind w:left="24" w:right="86"/>
              <w:jc w:val="both"/>
              <w:rPr>
                <w:rFonts w:ascii="宋体" w:hAnsi="宋体" w:cs="宋体" w:eastAsia="宋体" w:hint="default"/>
                <w:sz w:val="18"/>
                <w:szCs w:val="18"/>
              </w:rPr>
            </w:pPr>
            <w:r>
              <w:rPr>
                <w:rFonts w:ascii="宋体" w:hAnsi="宋体" w:cs="宋体" w:eastAsia="宋体" w:hint="default"/>
                <w:sz w:val="18"/>
                <w:szCs w:val="18"/>
              </w:rPr>
              <w:t>④对于期末财务报告过程的控制存在一项或 多项缺陷且不能合理保证编制的财务报表达 到真实、完整的目标。</w:t>
            </w:r>
          </w:p>
          <w:p>
            <w:pPr>
              <w:pStyle w:val="TableParagraph"/>
              <w:spacing w:line="316" w:lineRule="auto" w:before="59"/>
              <w:ind w:left="24" w:right="86"/>
              <w:jc w:val="left"/>
              <w:rPr>
                <w:rFonts w:ascii="宋体" w:hAnsi="宋体" w:cs="宋体" w:eastAsia="宋体" w:hint="default"/>
                <w:sz w:val="18"/>
                <w:szCs w:val="18"/>
              </w:rPr>
            </w:pPr>
            <w:r>
              <w:rPr>
                <w:rFonts w:ascii="宋体" w:hAnsi="宋体" w:cs="宋体" w:eastAsia="宋体" w:hint="default"/>
                <w:sz w:val="18"/>
                <w:szCs w:val="18"/>
              </w:rPr>
              <w:t>一般缺陷是指除上述重大缺陷、重要缺陷之 外的其他控制缺陷。</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非财务报告缺陷认定主要以缺陷对业务流 程有效性的影响程度、发生的可能性作判 定。</w:t>
            </w:r>
          </w:p>
          <w:p>
            <w:pPr>
              <w:pStyle w:val="TableParagraph"/>
              <w:spacing w:line="316" w:lineRule="auto" w:before="57"/>
              <w:ind w:left="23" w:right="55"/>
              <w:jc w:val="both"/>
              <w:rPr>
                <w:rFonts w:ascii="宋体" w:hAnsi="宋体" w:cs="宋体" w:eastAsia="宋体" w:hint="default"/>
                <w:sz w:val="18"/>
                <w:szCs w:val="18"/>
              </w:rPr>
            </w:pPr>
            <w:r>
              <w:rPr>
                <w:rFonts w:ascii="宋体" w:hAnsi="宋体" w:cs="宋体" w:eastAsia="宋体" w:hint="default"/>
                <w:sz w:val="18"/>
                <w:szCs w:val="18"/>
              </w:rPr>
              <w:t>①如果缺陷发生的可能性较小，会降低工 作效率或效果、或加大效果的不确定性、 或使之偏离预期目标为一般缺陷；</w:t>
            </w:r>
          </w:p>
          <w:p>
            <w:pPr>
              <w:pStyle w:val="TableParagraph"/>
              <w:spacing w:line="316" w:lineRule="auto" w:before="59"/>
              <w:ind w:left="23" w:right="55"/>
              <w:jc w:val="both"/>
              <w:rPr>
                <w:rFonts w:ascii="宋体" w:hAnsi="宋体" w:cs="宋体" w:eastAsia="宋体" w:hint="default"/>
                <w:sz w:val="18"/>
                <w:szCs w:val="18"/>
              </w:rPr>
            </w:pPr>
            <w:r>
              <w:rPr>
                <w:rFonts w:ascii="宋体" w:hAnsi="宋体" w:cs="宋体" w:eastAsia="宋体" w:hint="default"/>
                <w:sz w:val="18"/>
                <w:szCs w:val="18"/>
              </w:rPr>
              <w:t>②如果缺陷发生的可能性较高，会显著降 低工作效率或效果、或显著加大效果的不 确定性、或使之显著偏离预期目标为重要 缺陷；</w:t>
            </w:r>
          </w:p>
          <w:p>
            <w:pPr>
              <w:pStyle w:val="TableParagraph"/>
              <w:spacing w:line="316" w:lineRule="auto" w:before="59"/>
              <w:ind w:left="23" w:right="55"/>
              <w:jc w:val="both"/>
              <w:rPr>
                <w:rFonts w:ascii="宋体" w:hAnsi="宋体" w:cs="宋体" w:eastAsia="宋体" w:hint="default"/>
                <w:sz w:val="18"/>
                <w:szCs w:val="18"/>
              </w:rPr>
            </w:pPr>
            <w:r>
              <w:rPr>
                <w:rFonts w:ascii="宋体" w:hAnsi="宋体" w:cs="宋体" w:eastAsia="宋体" w:hint="default"/>
                <w:sz w:val="18"/>
                <w:szCs w:val="18"/>
              </w:rPr>
              <w:t>③如果缺陷发生的可能性高，会严重降低 工作效率或效果、或严重加大效果的不确 定性、或使之严重偏离预期目标为重大缺 陷。</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39"/>
        <w:gridCol w:w="6918"/>
      </w:tblGrid>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79" w:firstLine="36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 大方面保持了与财务报表相关的有效的内部控制。</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刊登在巨潮资讯网（</w:t>
            </w:r>
            <w:hyperlink r:id="rId11">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）上的《内部控制鉴证报告</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会计师事务所是否出具非标准意见的内部控制鉴证报告</w:t>
      </w:r>
    </w:p>
    <w:p>
      <w:pPr>
        <w:pStyle w:val="BodyText"/>
        <w:spacing w:line="338" w:lineRule="auto" w:before="117"/>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468"/>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5531"/>
        <w:gridCol w:w="4168"/>
      </w:tblGrid>
      <w:tr>
        <w:trPr>
          <w:trHeight w:val="415" w:hRule="exact"/>
        </w:trPr>
        <w:tc>
          <w:tcPr>
            <w:tcW w:w="5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5"/>
              <w:ind w:left="1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1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bookmarkStart w:name="一、审计报告" w:id="149"/>
            <w:bookmarkEnd w:id="149"/>
            <w:r>
              <w:rPr/>
            </w:r>
            <w:r>
              <w:rPr>
                <w:rFonts w:ascii="宋体" w:hAnsi="宋体" w:cs="宋体" w:eastAsia="宋体" w:hint="default"/>
                <w:sz w:val="18"/>
                <w:szCs w:val="18"/>
              </w:rPr>
              <w:t>标准无保留审计意见</w:t>
            </w:r>
          </w:p>
        </w:tc>
      </w:tr>
      <w:tr>
        <w:trPr>
          <w:trHeight w:val="416" w:hRule="exact"/>
        </w:trPr>
        <w:tc>
          <w:tcPr>
            <w:tcW w:w="5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1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14" w:hRule="exact"/>
        </w:trPr>
        <w:tc>
          <w:tcPr>
            <w:tcW w:w="5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1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24" w:hRule="exact"/>
        </w:trPr>
        <w:tc>
          <w:tcPr>
            <w:tcW w:w="5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1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410261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19" w:hRule="exact"/>
        </w:trPr>
        <w:tc>
          <w:tcPr>
            <w:tcW w:w="5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1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吴震、蔡洁瑜</w:t>
            </w:r>
          </w:p>
        </w:tc>
      </w:tr>
    </w:tbl>
    <w:p>
      <w:pPr>
        <w:spacing w:before="40"/>
        <w:ind w:left="3428" w:right="3468" w:firstLine="0"/>
        <w:jc w:val="center"/>
        <w:rPr>
          <w:rFonts w:ascii="宋体" w:hAnsi="宋体" w:cs="宋体" w:eastAsia="宋体" w:hint="default"/>
          <w:sz w:val="24"/>
          <w:szCs w:val="24"/>
        </w:rPr>
      </w:pPr>
      <w:r>
        <w:rPr>
          <w:rFonts w:ascii="宋体" w:hAnsi="宋体" w:cs="宋体" w:eastAsia="宋体" w:hint="default"/>
          <w:sz w:val="24"/>
          <w:szCs w:val="24"/>
        </w:rPr>
        <w:t>审计报告正文</w:t>
      </w:r>
    </w:p>
    <w:p>
      <w:pPr>
        <w:spacing w:line="240" w:lineRule="auto" w:before="9"/>
        <w:rPr>
          <w:rFonts w:ascii="宋体" w:hAnsi="宋体" w:cs="宋体" w:eastAsia="宋体" w:hint="default"/>
          <w:sz w:val="7"/>
          <w:szCs w:val="7"/>
        </w:rPr>
      </w:pPr>
    </w:p>
    <w:p>
      <w:pPr>
        <w:spacing w:line="422" w:lineRule="auto" w:before="44"/>
        <w:ind w:left="512" w:right="94" w:hanging="360"/>
        <w:jc w:val="left"/>
        <w:rPr>
          <w:rFonts w:ascii="宋体" w:hAnsi="宋体" w:cs="宋体" w:eastAsia="宋体" w:hint="default"/>
          <w:sz w:val="18"/>
          <w:szCs w:val="18"/>
        </w:rPr>
      </w:pPr>
      <w:r>
        <w:rPr>
          <w:rFonts w:ascii="宋体" w:hAnsi="宋体" w:cs="宋体" w:eastAsia="宋体" w:hint="default"/>
          <w:b/>
          <w:bCs/>
          <w:sz w:val="18"/>
          <w:szCs w:val="18"/>
        </w:rPr>
        <w:t>广州广电运通金融电子股份有限公司全体股东：</w:t>
      </w:r>
      <w:r>
        <w:rPr>
          <w:rFonts w:ascii="宋体" w:hAnsi="宋体" w:cs="宋体" w:eastAsia="宋体" w:hint="default"/>
          <w:b/>
          <w:bCs/>
          <w:w w:val="99"/>
          <w:sz w:val="18"/>
          <w:szCs w:val="18"/>
        </w:rPr>
        <w:t> </w:t>
      </w:r>
      <w:r>
        <w:rPr>
          <w:rFonts w:ascii="宋体" w:hAnsi="宋体" w:cs="宋体" w:eastAsia="宋体" w:hint="default"/>
          <w:spacing w:val="-2"/>
          <w:sz w:val="18"/>
          <w:szCs w:val="18"/>
        </w:rPr>
        <w:t>我们审计了后附的广州广电运通金融电子股份有限公司（以下简称贵公司）财务报表，包括</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日的合并及公</w:t>
      </w:r>
    </w:p>
    <w:p>
      <w:pPr>
        <w:pStyle w:val="BodyText"/>
        <w:spacing w:line="422" w:lineRule="auto" w:before="2"/>
        <w:ind w:left="512" w:right="94" w:hanging="360"/>
        <w:jc w:val="left"/>
      </w:pPr>
      <w:r>
        <w:rPr/>
        <w:t>司资产负债表、</w:t>
      </w:r>
      <w:r>
        <w:rPr>
          <w:rFonts w:ascii="宋体" w:hAnsi="宋体" w:cs="宋体" w:eastAsia="宋体" w:hint="default"/>
        </w:rPr>
        <w:t>2015</w:t>
      </w:r>
      <w:r>
        <w:rPr/>
        <w:t>年度的合并及公司利润表、合并及公司现金流量表、合并及公司所有者权益变动表以及财务报表附注。 </w:t>
      </w:r>
      <w:r>
        <w:rPr>
          <w:rFonts w:ascii="宋体" w:hAnsi="宋体" w:cs="宋体" w:eastAsia="宋体" w:hint="default"/>
          <w:b/>
          <w:bCs/>
        </w:rPr>
        <w:t>一、管理层对财务报表的责任</w:t>
      </w:r>
      <w:r>
        <w:rPr>
          <w:rFonts w:ascii="宋体" w:hAnsi="宋体" w:cs="宋体" w:eastAsia="宋体" w:hint="default"/>
          <w:b/>
          <w:bCs/>
          <w:w w:val="99"/>
        </w:rPr>
        <w:t> </w:t>
      </w:r>
      <w:r>
        <w:rPr/>
        <w:t>编制和公允列报财务报表是贵公司管理层的责任。这种责任包括：（</w:t>
      </w:r>
      <w:r>
        <w:rPr>
          <w:rFonts w:ascii="宋体" w:hAnsi="宋体" w:cs="宋体" w:eastAsia="宋体" w:hint="default"/>
        </w:rPr>
        <w:t>1</w:t>
      </w:r>
      <w:r>
        <w:rPr/>
        <w:t>）按照企业会计准则的规定编制财务报表，并使</w:t>
      </w:r>
    </w:p>
    <w:p>
      <w:pPr>
        <w:pStyle w:val="BodyText"/>
        <w:spacing w:line="422" w:lineRule="auto" w:before="2"/>
        <w:ind w:left="512" w:right="94" w:hanging="360"/>
        <w:jc w:val="left"/>
      </w:pPr>
      <w:r>
        <w:rPr/>
        <w:t>其实现公允反映；（</w:t>
      </w:r>
      <w:r>
        <w:rPr>
          <w:rFonts w:ascii="宋体" w:hAnsi="宋体" w:cs="宋体" w:eastAsia="宋体"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81" w:lineRule="auto" w:before="2"/>
        <w:ind w:right="9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81" w:lineRule="auto" w:before="71"/>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422" w:lineRule="auto" w:before="73"/>
        <w:ind w:left="572" w:right="3154" w:hanging="6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81" w:lineRule="auto" w:before="40"/>
        <w:ind w:right="94" w:firstLine="360"/>
        <w:jc w:val="left"/>
      </w:pPr>
      <w:r>
        <w:rPr>
          <w:spacing w:val="-2"/>
        </w:rPr>
        <w:t>我们认为，贵公司财务报表在所有重大方面按照企业会计准则的规定编制，公允反映了贵公司</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t> 公司财务状况以及</w:t>
      </w:r>
      <w:r>
        <w:rPr>
          <w:rFonts w:ascii="宋体" w:hAnsi="宋体" w:cs="宋体" w:eastAsia="宋体" w:hint="default"/>
        </w:rPr>
        <w:t>2015</w:t>
      </w:r>
      <w:r>
        <w:rPr/>
        <w:t>年度的合并及公司经营成果和现金流量。</w:t>
      </w:r>
    </w:p>
    <w:p>
      <w:pPr>
        <w:pStyle w:val="Heading5"/>
        <w:tabs>
          <w:tab w:pos="5125" w:val="left" w:leader="none"/>
        </w:tabs>
        <w:spacing w:line="420" w:lineRule="auto" w:before="73"/>
        <w:ind w:left="5185" w:right="2814" w:hanging="4491"/>
        <w:jc w:val="left"/>
        <w:rPr>
          <w:b w:val="0"/>
          <w:bCs w:val="0"/>
        </w:rPr>
      </w:pPr>
      <w:r>
        <w:rPr>
          <w:w w:val="95"/>
        </w:rPr>
        <w:t>立信会计师事务所（特殊普通合伙）</w:t>
        <w:tab/>
      </w:r>
      <w:r>
        <w:rPr/>
        <w:t>中国注册会计师：吴</w:t>
      </w:r>
      <w:r>
        <w:rPr>
          <w:spacing w:val="88"/>
        </w:rPr>
        <w:t> </w:t>
      </w:r>
      <w:r>
        <w:rPr/>
        <w:t>震</w:t>
      </w:r>
      <w:r>
        <w:rPr>
          <w:w w:val="99"/>
        </w:rPr>
        <w:t> </w:t>
      </w:r>
      <w:r>
        <w:rPr/>
        <w:t>中国注册会计师：蔡洁瑜</w:t>
      </w:r>
      <w:r>
        <w:rPr>
          <w:b w:val="0"/>
          <w:bCs w:val="0"/>
        </w:rPr>
      </w:r>
    </w:p>
    <w:p>
      <w:pPr>
        <w:pStyle w:val="Heading5"/>
        <w:tabs>
          <w:tab w:pos="5125" w:val="left" w:leader="none"/>
        </w:tabs>
        <w:spacing w:line="240" w:lineRule="auto" w:before="44"/>
        <w:ind w:left="1148" w:right="94"/>
        <w:jc w:val="left"/>
        <w:rPr>
          <w:b w:val="0"/>
          <w:bCs w:val="0"/>
        </w:rPr>
      </w:pPr>
      <w:r>
        <w:rPr>
          <w:w w:val="95"/>
        </w:rPr>
        <w:t>中国·上海</w:t>
        <w:tab/>
      </w:r>
      <w:r>
        <w:rPr/>
        <w:t>二</w:t>
      </w:r>
      <w:r>
        <w:rPr>
          <w:rFonts w:ascii="宋体" w:hAnsi="宋体" w:cs="宋体" w:eastAsia="宋体" w:hint="default"/>
        </w:rPr>
        <w:t>O</w:t>
      </w:r>
      <w:r>
        <w:rPr/>
        <w:t>一六年三月二十四日</w:t>
      </w:r>
      <w:r>
        <w:rPr>
          <w:b w:val="0"/>
          <w:bCs w:val="0"/>
        </w:rPr>
      </w:r>
    </w:p>
    <w:p>
      <w:pPr>
        <w:spacing w:after="0" w:line="240" w:lineRule="auto"/>
        <w:jc w:val="left"/>
        <w:sectPr>
          <w:headerReference w:type="default" r:id="rId34"/>
          <w:pgSz w:w="11910" w:h="16840"/>
          <w:pgMar w:header="877" w:footer="982" w:top="1100" w:bottom="1180" w:left="980" w:right="94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二</w:t>
      </w:r>
      <w:bookmarkStart w:name="二、财务报表" w:id="150"/>
      <w:bookmarkEnd w:id="150"/>
      <w:r>
        <w:rPr/>
        <w:t>、</w:t>
      </w:r>
      <w:r>
        <w:rPr/>
        <w:t>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left="152" w:right="0"/>
        <w:jc w:val="left"/>
        <w:rPr>
          <w:b w:val="0"/>
          <w:bCs w:val="0"/>
        </w:rPr>
      </w:pPr>
      <w:r>
        <w:rPr>
          <w:rFonts w:ascii="Times New Roman" w:hAnsi="Times New Roman" w:cs="Times New Roman" w:eastAsia="Times New Roman" w:hint="default"/>
        </w:rPr>
        <w:t>1</w:t>
      </w:r>
      <w:bookmarkStart w:name="1、合并资产负债表" w:id="151"/>
      <w:bookmarkEnd w:id="151"/>
      <w:r>
        <w:rPr>
          <w:rFonts w:ascii="Times New Roman" w:hAnsi="Times New Roman" w:cs="Times New Roman" w:eastAsia="Times New Roman" w:hint="default"/>
        </w:rPr>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编制单位：广州广电运通金融电子股份有限公司</w:t>
      </w:r>
    </w:p>
    <w:p>
      <w:pPr>
        <w:pStyle w:val="BodyText"/>
        <w:spacing w:line="240" w:lineRule="auto" w:before="117"/>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3"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2,494,674,751.38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2,491,794,633.92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8,063,693.00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23,115,446.00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793,698,335.44</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601,068,367.86</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25,266,364.91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32,003,340.39</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1,455,386.31</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1,491,364.39</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72,531,638.00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72,130,347.12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2,143,497,996.10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1,785,537,995.21</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857,709,049.47</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843,412,142.69</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6,396,897,214.61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5,850,553,637.58</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5,355,323.65</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65,939,015.88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65,872,732.92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36,305,524.94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33,797,654.09</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578,063,013.02</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543,707,699.06</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60,281,481.44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3,594,075.52</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99,082,404.07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85,266,799.47</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233,421,040.38</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1,015,874.91</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6,048,973.23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3,266,410.15</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84,349,277.01</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52,436,469.63</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134,434,867.00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1,303,280,920.62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793,759,314.36</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7,700,178,135.23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6,644,312,951.94</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71,392,263.55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109,886,419.35</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450,614,775.66</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441,368,382.50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1,545,670,543.50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1,142,042,092.79</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369,338,020.74</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269,237,905.62</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243,997,836.24</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194,275,631.21</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2,183,067.08</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177,082,837.50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122,623,189.05</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2,865,279,344.27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2,279,433,620.52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67,678,967.03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37,846,148.32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4,009,461.72</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71,688,428.75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37,846,148.32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2,936,967,773.02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2,317,279,768.84</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180,967,133.03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181,031,366.38</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1,435,611.87</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-844,445.51</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469,973,701.88</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2,960,892,356.19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2,670,174,408.46</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4,509,953,569.97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4,147,283,509.07</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253,256,792.24</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179,749,674.03</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818"/>
        <w:gridCol w:w="2268"/>
        <w:gridCol w:w="2482"/>
      </w:tblGrid>
      <w:tr>
        <w:trPr>
          <w:trHeight w:val="402" w:hRule="exact"/>
        </w:trPr>
        <w:tc>
          <w:tcPr>
            <w:tcW w:w="48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4,763,210,362.21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4,327,033,183.10</w:t>
            </w:r>
          </w:p>
        </w:tc>
      </w:tr>
      <w:tr>
        <w:trPr>
          <w:trHeight w:val="402" w:hRule="exact"/>
        </w:trPr>
        <w:tc>
          <w:tcPr>
            <w:tcW w:w="48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7,700,178,135.23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6,644,312,951.94</w:t>
            </w:r>
          </w:p>
        </w:tc>
      </w:tr>
    </w:tbl>
    <w:p>
      <w:pPr>
        <w:spacing w:line="240" w:lineRule="auto" w:before="11"/>
        <w:rPr>
          <w:rFonts w:ascii="Times New Roman" w:hAnsi="Times New Roman" w:cs="Times New Roman" w:eastAsia="Times New Roman" w:hint="default"/>
          <w:sz w:val="22"/>
          <w:szCs w:val="22"/>
        </w:rPr>
      </w:pPr>
    </w:p>
    <w:p>
      <w:pPr>
        <w:pStyle w:val="BodyText"/>
        <w:tabs>
          <w:tab w:pos="3424" w:val="left" w:leader="none"/>
          <w:tab w:pos="7567" w:val="left" w:leader="none"/>
        </w:tabs>
        <w:spacing w:line="240" w:lineRule="auto" w:before="44"/>
        <w:ind w:left="0" w:right="243"/>
        <w:jc w:val="right"/>
      </w:pPr>
      <w:r>
        <w:rPr/>
        <w:t>法定代表人：赵友永</w:t>
        <w:tab/>
      </w:r>
      <w:r>
        <w:rPr>
          <w:spacing w:val="-1"/>
        </w:rPr>
        <w:t>主管会计工作负责人：蒋春晨</w:t>
        <w:tab/>
      </w:r>
      <w:r>
        <w:rPr/>
        <w:t>会计机构负责人：惠小绒</w:t>
      </w:r>
    </w:p>
    <w:p>
      <w:pPr>
        <w:spacing w:line="240" w:lineRule="auto" w:before="0"/>
        <w:rPr>
          <w:rFonts w:ascii="宋体" w:hAnsi="宋体" w:cs="宋体" w:eastAsia="宋体" w:hint="default"/>
          <w:sz w:val="18"/>
          <w:szCs w:val="18"/>
        </w:rPr>
      </w:pPr>
    </w:p>
    <w:p>
      <w:pPr>
        <w:pStyle w:val="Heading3"/>
        <w:spacing w:line="240" w:lineRule="auto" w:before="120"/>
        <w:ind w:left="152" w:right="0"/>
        <w:jc w:val="left"/>
        <w:rPr>
          <w:b w:val="0"/>
          <w:bCs w:val="0"/>
        </w:rPr>
      </w:pPr>
      <w:r>
        <w:rPr>
          <w:rFonts w:ascii="Times New Roman" w:hAnsi="Times New Roman" w:cs="Times New Roman" w:eastAsia="Times New Roman" w:hint="default"/>
        </w:rPr>
        <w:t>2</w:t>
      </w:r>
      <w:bookmarkStart w:name="2、母公司资产负债表" w:id="152"/>
      <w:bookmarkEnd w:id="152"/>
      <w:r>
        <w:rPr>
          <w:rFonts w:ascii="Times New Roman" w:hAnsi="Times New Roman" w:cs="Times New Roman" w:eastAsia="Times New Roman" w:hint="default"/>
        </w:rPr>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3"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1,607,527,602.52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1,809,431,994.49</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4,095,000.00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20,949,030.00</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736,922,865.83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629,580,831.68</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15,657,812.51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30,257,114.09</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5,174,168.89</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485,526,707.43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31,548,064.24</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2,033,362,298.72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1,677,780,418.28</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750,094,868.40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774,000,000.00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5,638,361,324.30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4,973,547,452.78</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709,933,174.36</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648,899,334.14</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347,395,747.32</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353,895,058.51</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17,612,219.42</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21,177,226.34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22,922,670.71</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946,852.52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39,927,996.75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30,783,161.40</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1,136,046,364.19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1,057,447,077.28</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6,774,407,688.49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6,030,994,530.06</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67,423,166.46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109,886,419.35</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602,512,537.51</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468,613,899.83</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1,449,109,333.59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1,011,467,198.65</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159,518,800.00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175,603,872.13</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174,539,217.61</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159,146,473.79</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125,839,577.89</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93,094,873.02</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2,578,942,633.06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2,017,812,736.77</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55,024,316.41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32,093,085.51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796"/>
        <w:gridCol w:w="2279"/>
        <w:gridCol w:w="2482"/>
      </w:tblGrid>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55,024,316.41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32,093,085.51</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2,633,966,949.47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2,049,905,822.28</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79"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469,973,701.88</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2,592,329,645.74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2,502,713,903.64</w:t>
            </w:r>
          </w:p>
        </w:tc>
      </w:tr>
      <w:tr>
        <w:trPr>
          <w:trHeight w:val="402"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4,140,440,739.02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3,981,088,707.78</w:t>
            </w:r>
          </w:p>
        </w:tc>
      </w:tr>
      <w:tr>
        <w:trPr>
          <w:trHeight w:val="403" w:hRule="exact"/>
        </w:trPr>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7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6,774,407,688.49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6,030,994,530.06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left="152"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bookmarkStart w:name="3、合并利润表" w:id="153"/>
      <w:bookmarkEnd w:id="153"/>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5"/>
      </w:tblGrid>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3,972,941,256.17</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3,151,910,135.24</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3,972,941,256.17</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3,151,910,135.24</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3,197,127,951.03</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2,498,088,074.14</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1,899,362,127.54</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1,424,260,299.04</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5"/>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54,704,814.58</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47,696,687.98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711,353,003.03</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580,042,757.13</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525,948,853.50</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451,308,497.69</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-14,775,559.96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-5,189,843.69</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20,534,712.34</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w w:val="95"/>
                <w:sz w:val="18"/>
              </w:rPr>
              <w:t>-30,324.01</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48,392,274.55</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54,219,841.73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5,133,220.09</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5,852,817.35</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824,205,579.69</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708,041,902.83</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230,832,792.94</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212,586,937.46</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464,388.36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646,983.84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1,538,780.87</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3,757,131.33</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360,162.74</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181,494.25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1,053,499,591.76</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916,871,708.96</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135,921,000.14</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99,450,163.34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917,578,591.62</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817,421,545.62</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898,465,097.07</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807,445,127.21</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19,113,494.55</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9,976,418.41</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2,280,057.38</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2,772,314.90</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2,280,057.38</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2,772,314.90</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2,280,057.38</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2,772,314.90</w:t>
            </w:r>
            <w:r>
              <w:rPr>
                <w:rFonts w:ascii="Times New Roman"/>
                <w:sz w:val="18"/>
              </w:rPr>
            </w: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3,186,793.24</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2,280,057.38</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-414,478.34</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5"/>
      </w:tblGrid>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919,858,649.00</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820,193,860.52</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900,745,154.45</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810,217,442.11</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19,113,494.55</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9,976,418.41</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35"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r>
          </w:p>
        </w:tc>
      </w:tr>
    </w:tbl>
    <w:p>
      <w:pPr>
        <w:pStyle w:val="BodyText"/>
        <w:tabs>
          <w:tab w:pos="3577" w:val="left" w:leader="none"/>
          <w:tab w:pos="7720"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spacing w:val="-3"/>
        </w:rPr>
        <w:t>元。 </w:t>
      </w:r>
      <w:r>
        <w:rPr/>
        <w:t>法定代表人：赵友永</w:t>
        <w:tab/>
      </w:r>
      <w:r>
        <w:rPr>
          <w:spacing w:val="-1"/>
        </w:rPr>
        <w:t>主管会计工作负责人：蒋春晨</w:t>
        <w:tab/>
      </w:r>
      <w:r>
        <w:rPr/>
        <w:t>会计机构负责人：惠小绒</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3"/>
        <w:jc w:val="right"/>
      </w:pPr>
      <w:bookmarkStart w:name="4、母公司利润表" w:id="154"/>
      <w:bookmarkEnd w:id="154"/>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8"/>
      </w:tblGrid>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2,918,565,820.08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2,521,812,899.64</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1,446,613,850.52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1,184,385,526.42</w:t>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29,443,839.16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32,234,597.24</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593,366,560.49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469,229,250.76</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322,085,425.73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322,070,320.26</w:t>
            </w:r>
            <w:r>
              <w:rPr>
                <w:rFonts w:ascii="Times New Roman"/>
                <w:sz w:val="18"/>
              </w:rPr>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-19,679,365.09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-3,425,246.59</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14,944,175.45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-2,786,178.01</w:t>
            </w:r>
            <w:r>
              <w:rPr>
                <w:rFonts w:ascii="Times New Roman"/>
                <w:sz w:val="18"/>
              </w:rPr>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42,652,209.13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146,664,058.88</w:t>
            </w:r>
            <w:r>
              <w:rPr>
                <w:rFonts w:ascii="Times New Roman"/>
                <w:sz w:val="18"/>
              </w:rPr>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5,133,220.09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5,632,099.04</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574,443,542.95</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666,768,688.44</w:t>
            </w:r>
            <w:r>
              <w:rPr>
                <w:rFonts w:ascii="Times New Roman"/>
                <w:sz w:val="18"/>
              </w:rPr>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217,188,291.10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201,510,418.68</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314,075.39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426,382.28</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376,070.35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3,116,075.66</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191,008.68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99,019.70</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791,255,763.70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865,163,031.46</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93,892,872.26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70,836,202.91</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697,362,891.44</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794,326,828.55</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8"/>
      </w:tblGrid>
      <w:tr>
        <w:trPr>
          <w:trHeight w:val="36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综合收益中享有的份额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115" w:right="0"/>
              <w:jc w:val="left"/>
              <w:rPr>
                <w:rFonts w:ascii="Times New Roman" w:hAnsi="Times New Roman" w:cs="Times New Roman" w:eastAsia="Times New Roman" w:hint="default"/>
                <w:sz w:val="18"/>
                <w:szCs w:val="18"/>
              </w:rPr>
            </w:pPr>
            <w:r>
              <w:rPr>
                <w:rFonts w:ascii="Times New Roman"/>
                <w:sz w:val="18"/>
              </w:rPr>
              <w:t>697,362,891.44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0" w:right="0"/>
              <w:jc w:val="left"/>
              <w:rPr>
                <w:rFonts w:ascii="Times New Roman" w:hAnsi="Times New Roman" w:cs="Times New Roman" w:eastAsia="Times New Roman" w:hint="default"/>
                <w:sz w:val="18"/>
                <w:szCs w:val="18"/>
              </w:rPr>
            </w:pPr>
            <w:r>
              <w:rPr>
                <w:rFonts w:ascii="Times New Roman"/>
                <w:sz w:val="18"/>
              </w:rPr>
              <w:t>794,326,828.55</w:t>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left="152"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5、合并现金流量表" w:id="155"/>
      <w:bookmarkEnd w:id="155"/>
      <w:r>
        <w:rPr/>
      </w: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8"/>
      </w:tblGrid>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4,809,945,462.24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4,376,171,585.66</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5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85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223,847,513.53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180,135,044.08</w:t>
            </w:r>
            <w:r>
              <w:rPr>
                <w:rFonts w:ascii="Times New Roman"/>
                <w:sz w:val="18"/>
              </w:rPr>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337,364,933.83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74,748,708.99</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5,371,157,909.60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4,631,055,338.73</w:t>
            </w:r>
          </w:p>
        </w:tc>
      </w:tr>
      <w:tr>
        <w:trPr>
          <w:trHeight w:val="401"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2,081,348,873.72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1,931,796,523.87</w:t>
            </w:r>
          </w:p>
        </w:tc>
      </w:tr>
      <w:tr>
        <w:trPr>
          <w:trHeight w:val="403"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39"/>
        <w:gridCol w:w="2280"/>
        <w:gridCol w:w="2338"/>
      </w:tblGrid>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1,009,091,575.89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698,899,033.64</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540,429,747.54</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432,690,868.40</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882,712,894.52</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459,029,783.85</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4,513,583,091.67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3,522,416,209.76</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857,574,817.93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1,108,639,128.97</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4,871,280,000.00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6,328,840,700.00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48,325,991.59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49,365,207.47</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768,420.94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81,247.26</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4,920,374,412.53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6,378,287,154.73</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168,423,604.29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95,615,892.91</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4,967,216,700.00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6,414,600,000.00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103,980,337.23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5,191,954.60</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5,239,620,641.52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6,515,407,847.51</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-319,246,228.99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-137,120,692.78</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1,470,000.00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27,460,000.00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1,470,000.00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27,460,000.00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1,470,000.00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27,460,000.00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540,573,475.19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149,937,461.20</w:t>
            </w:r>
            <w:r>
              <w:rPr>
                <w:rFonts w:ascii="Times New Roman"/>
                <w:sz w:val="18"/>
              </w:rPr>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2,482,926.80</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490,000.00</w:t>
            </w:r>
          </w:p>
        </w:tc>
      </w:tr>
      <w:tr>
        <w:trPr>
          <w:trHeight w:val="402" w:hRule="exact"/>
        </w:trPr>
        <w:tc>
          <w:tcPr>
            <w:tcW w:w="4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80" w:type="dxa"/>
            <w:tcBorders>
              <w:top w:val="single" w:sz="4" w:space="0" w:color="000000"/>
              <w:left w:val="single" w:sz="10" w:space="0" w:color="D4D4D4"/>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20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540,573,475.19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149,937,461.20</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-539,103,475.19</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-122,477,461.20</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-214,093.38</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-2,221,753.41</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-988,979.63</w:t>
            </w:r>
            <w:r>
              <w:rPr>
                <w:rFonts w:ascii="Times New Roman"/>
                <w:sz w:val="18"/>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846,819,221.58</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2,491,694,633.92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1,644,875,412.34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2,490,705,654.29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2,491,694,633.92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left="212" w:right="10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6、母公司现金流量表" w:id="156"/>
      <w:bookmarkEnd w:id="156"/>
      <w:r>
        <w:rPr/>
      </w:r>
      <w:r>
        <w:rPr/>
        <w:t>单位：元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5071"/>
        <w:gridCol w:w="2268"/>
        <w:gridCol w:w="2230"/>
      </w:tblGrid>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6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3,772,330,672.57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3,649,372,331.05</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221,417,744.15</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180,135,044.08</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336,200,834.46</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248,434,739.48</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4,329,949,251.18</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4,077,942,114.61</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2,005,974,870.65</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1,805,517,253.51</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448,964,089.49</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337,384,845.96</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394,813,712.95</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353,677,630.35</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795,753,619.41</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645,370,140.40</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3,645,506,292.50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3,141,949,870.22</w:t>
            </w:r>
          </w:p>
        </w:tc>
      </w:tr>
      <w:tr>
        <w:trPr>
          <w:trHeight w:val="408"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684,442,958.68</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935,992,244.39</w:t>
            </w:r>
            <w:r>
              <w:rPr>
                <w:rFonts w:ascii="Times New Roman"/>
                <w:sz w:val="18"/>
              </w:rPr>
            </w:r>
          </w:p>
        </w:tc>
      </w:tr>
      <w:tr>
        <w:trPr>
          <w:trHeight w:val="391"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7"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3,808,000,000.00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5,151,600,000.00</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42,585,926.17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41,419,353.65</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106,216.00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41,450.12</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3,850,692,142.17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5,193,060,803.77</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39,930,419.71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72,603,124.53</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4,053,600,000.00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5,284,200,000.00</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109,200,000.00</w:t>
            </w: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4,202,730,419.71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5,356,803,124.53</w:t>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-352,038,277.54</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-163,742,320.76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5071"/>
        <w:gridCol w:w="2268"/>
        <w:gridCol w:w="2230"/>
      </w:tblGrid>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3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3,701,787.09</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-221,449.12</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-201,904,391.97</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622,581,013.31</w:t>
            </w:r>
            <w:r>
              <w:rPr>
                <w:rFonts w:ascii="Times New Roman"/>
                <w:sz w:val="18"/>
              </w:rPr>
            </w:r>
          </w:p>
        </w:tc>
      </w:tr>
      <w:tr>
        <w:trPr>
          <w:trHeight w:val="402"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1,809,431,994.49</w:t>
            </w:r>
            <w:r>
              <w:rPr>
                <w:rFonts w:ascii="Times New Roman"/>
                <w:sz w:val="18"/>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1,186,850,981.18</w:t>
            </w:r>
          </w:p>
        </w:tc>
      </w:tr>
      <w:tr>
        <w:trPr>
          <w:trHeight w:val="403" w:hRule="exact"/>
        </w:trPr>
        <w:tc>
          <w:tcPr>
            <w:tcW w:w="5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1,607,527,602.52</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1,809,431,994.49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2"/>
        <w:rPr>
          <w:rFonts w:ascii="Times New Roman" w:hAnsi="Times New Roman" w:cs="Times New Roman" w:eastAsia="Times New Roman" w:hint="default"/>
          <w:sz w:val="3"/>
          <w:szCs w:val="3"/>
        </w:rPr>
      </w:pPr>
    </w:p>
    <w:p>
      <w:pPr>
        <w:spacing w:line="20" w:lineRule="exact"/>
        <w:ind w:left="4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0"/>
        <w:ind w:left="480"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9"/>
        <w:jc w:val="right"/>
      </w:pP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12"/>
        <w:gridCol w:w="1214"/>
        <w:gridCol w:w="425"/>
        <w:gridCol w:w="487"/>
        <w:gridCol w:w="425"/>
        <w:gridCol w:w="1277"/>
        <w:gridCol w:w="566"/>
        <w:gridCol w:w="1133"/>
        <w:gridCol w:w="425"/>
        <w:gridCol w:w="1277"/>
        <w:gridCol w:w="790"/>
        <w:gridCol w:w="1416"/>
        <w:gridCol w:w="1054"/>
        <w:gridCol w:w="1418"/>
      </w:tblGrid>
      <w:tr>
        <w:trPr>
          <w:trHeight w:val="401" w:hRule="exact"/>
        </w:trPr>
        <w:tc>
          <w:tcPr>
            <w:tcW w:w="241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6"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2412" w:type="dxa"/>
            <w:vMerge/>
            <w:tcBorders>
              <w:left w:val="single" w:sz="4" w:space="0" w:color="000000"/>
              <w:right w:val="single" w:sz="4" w:space="0" w:color="000000"/>
            </w:tcBorders>
            <w:shd w:val="clear" w:color="auto" w:fill="D4D4D4"/>
          </w:tcPr>
          <w:p>
            <w:pPr/>
          </w:p>
        </w:tc>
        <w:tc>
          <w:tcPr>
            <w:tcW w:w="943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5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40" w:right="16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14" w:right="16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01" w:hRule="exact"/>
        </w:trPr>
        <w:tc>
          <w:tcPr>
            <w:tcW w:w="2412" w:type="dxa"/>
            <w:vMerge/>
            <w:tcBorders>
              <w:left w:val="single" w:sz="4" w:space="0" w:color="000000"/>
              <w:right w:val="single" w:sz="4" w:space="0" w:color="000000"/>
            </w:tcBorders>
            <w:shd w:val="clear" w:color="auto" w:fill="D4D4D4"/>
          </w:tcPr>
          <w:p>
            <w:pPr/>
          </w:p>
        </w:tc>
        <w:tc>
          <w:tcPr>
            <w:tcW w:w="12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3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84" w:right="95"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0" w:right="11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54" w:type="dxa"/>
            <w:vMerge/>
            <w:tcBorders>
              <w:left w:val="single" w:sz="4" w:space="0" w:color="000000"/>
              <w:right w:val="single" w:sz="4" w:space="0" w:color="000000"/>
            </w:tcBorders>
            <w:shd w:val="clear" w:color="auto" w:fill="D4D4D4"/>
          </w:tcPr>
          <w:p>
            <w:pPr/>
          </w:p>
        </w:tc>
        <w:tc>
          <w:tcPr>
            <w:tcW w:w="1418" w:type="dxa"/>
            <w:vMerge/>
            <w:tcBorders>
              <w:left w:val="single" w:sz="4" w:space="0" w:color="000000"/>
              <w:right w:val="single" w:sz="4" w:space="0" w:color="000000"/>
            </w:tcBorders>
            <w:shd w:val="clear" w:color="auto" w:fill="D4D4D4"/>
          </w:tcPr>
          <w:p>
            <w:pPr/>
          </w:p>
        </w:tc>
      </w:tr>
      <w:tr>
        <w:trPr>
          <w:trHeight w:val="1027" w:hRule="exact"/>
        </w:trPr>
        <w:tc>
          <w:tcPr>
            <w:tcW w:w="2412" w:type="dxa"/>
            <w:vMerge/>
            <w:tcBorders>
              <w:left w:val="single" w:sz="4" w:space="0" w:color="000000"/>
              <w:bottom w:val="single" w:sz="4" w:space="0" w:color="000000"/>
              <w:right w:val="single" w:sz="4" w:space="0" w:color="000000"/>
            </w:tcBorders>
            <w:shd w:val="clear" w:color="auto" w:fill="D4D4D4"/>
          </w:tcPr>
          <w:p>
            <w:pPr/>
          </w:p>
        </w:tc>
        <w:tc>
          <w:tcPr>
            <w:tcW w:w="1214" w:type="dxa"/>
            <w:vMerge/>
            <w:tcBorders>
              <w:left w:val="single" w:sz="4" w:space="0" w:color="000000"/>
              <w:bottom w:val="single" w:sz="4" w:space="0" w:color="000000"/>
              <w:right w:val="single" w:sz="4" w:space="0" w:color="000000"/>
            </w:tcBorders>
            <w:shd w:val="clear" w:color="auto" w:fill="D4D4D4"/>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11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8" w:right="14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425"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1416" w:type="dxa"/>
            <w:vMerge/>
            <w:tcBorders>
              <w:left w:val="single" w:sz="4" w:space="0" w:color="000000"/>
              <w:bottom w:val="single" w:sz="4" w:space="0" w:color="000000"/>
              <w:right w:val="single" w:sz="4" w:space="0" w:color="000000"/>
            </w:tcBorders>
            <w:shd w:val="clear" w:color="auto" w:fill="D4D4D4"/>
          </w:tcPr>
          <w:p>
            <w:pPr/>
          </w:p>
        </w:tc>
        <w:tc>
          <w:tcPr>
            <w:tcW w:w="1054"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896,684,767.</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181,031,366.3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-844,445.51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400,237,412.7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2,670,174,408.4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179,749,67</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4,327,033,183.1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95"/>
              <w:jc w:val="center"/>
              <w:rPr>
                <w:rFonts w:ascii="宋体" w:hAnsi="宋体" w:cs="宋体" w:eastAsia="宋体" w:hint="default"/>
                <w:sz w:val="18"/>
                <w:szCs w:val="18"/>
              </w:rPr>
            </w:pP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896,684,767.</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181,031,366.3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-844,445.51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400,237,412.7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2,670,174,408.4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179,749,67</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4,327,033,183.1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37"/>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-64,233.35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69,736,289.14</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290,717,947.73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73,507,118</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436,177,179.11</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898,465,097.07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19,113,494</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919,858,649.00</w:t>
            </w:r>
            <w:r>
              <w:rPr>
                <w:rFonts w:ascii="Times New Roman"/>
                <w:sz w:val="18"/>
              </w:rPr>
            </w: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137"/>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-64,233.35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54,393,623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54,329,390.31</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54,393,623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54,393,623.66</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867" w:footer="982" w:top="1060" w:bottom="1180" w:left="960" w:right="1300"/>
          <w:pgNumType w:start="93"/>
        </w:sectPr>
      </w:pPr>
    </w:p>
    <w:p>
      <w:pPr>
        <w:spacing w:line="240" w:lineRule="auto" w:before="1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12"/>
        <w:gridCol w:w="1214"/>
        <w:gridCol w:w="425"/>
        <w:gridCol w:w="487"/>
        <w:gridCol w:w="425"/>
        <w:gridCol w:w="1277"/>
        <w:gridCol w:w="566"/>
        <w:gridCol w:w="1133"/>
        <w:gridCol w:w="425"/>
        <w:gridCol w:w="1277"/>
        <w:gridCol w:w="790"/>
        <w:gridCol w:w="1416"/>
        <w:gridCol w:w="1054"/>
        <w:gridCol w:w="1418"/>
      </w:tblGrid>
      <w:tr>
        <w:trPr>
          <w:trHeight w:val="730" w:hRule="exact"/>
        </w:trPr>
        <w:tc>
          <w:tcPr>
            <w:tcW w:w="241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p>
        </w:tc>
        <w:tc>
          <w:tcPr>
            <w:tcW w:w="1214"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8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05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的金额</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-64,233.35</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-64,233.35</w:t>
            </w:r>
            <w:r>
              <w:rPr>
                <w:rFonts w:ascii="Times New Roman"/>
                <w:sz w:val="18"/>
              </w:rPr>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69,736,289.14</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-607,747,149.34</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69,736,289.14</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-69,736,289.14</w:t>
            </w: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03" w:right="9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03" w:right="9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1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896,684,767.</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180,967,133.0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1,435,611.8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469,973,701.8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2,960,892,356.1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253,256,79</w:t>
            </w:r>
          </w:p>
          <w:p>
            <w:pPr>
              <w:pStyle w:val="TableParagraph"/>
              <w:spacing w:line="240" w:lineRule="auto" w:before="105"/>
              <w:ind w:left="626" w:right="0"/>
              <w:jc w:val="left"/>
              <w:rPr>
                <w:rFonts w:ascii="Times New Roman" w:hAnsi="Times New Roman" w:cs="Times New Roman" w:eastAsia="Times New Roman" w:hint="default"/>
                <w:sz w:val="18"/>
                <w:szCs w:val="18"/>
              </w:rPr>
            </w:pPr>
            <w:r>
              <w:rPr>
                <w:rFonts w:ascii="Times New Roman"/>
                <w:sz w:val="18"/>
              </w:rPr>
              <w:t>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4,763,210,362.2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left="0" w:right="119"/>
        <w:jc w:val="right"/>
      </w:pPr>
      <w:r>
        <w:rPr/>
        <w:t>单位：元</w:t>
      </w:r>
    </w:p>
    <w:p>
      <w:pPr>
        <w:spacing w:after="0" w:line="240" w:lineRule="auto"/>
        <w:jc w:val="right"/>
        <w:sectPr>
          <w:pgSz w:w="16840" w:h="11910" w:orient="landscape"/>
          <w:pgMar w:header="867" w:footer="982" w:top="1060" w:bottom="1180" w:left="96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12"/>
        <w:gridCol w:w="1274"/>
        <w:gridCol w:w="427"/>
        <w:gridCol w:w="425"/>
        <w:gridCol w:w="425"/>
        <w:gridCol w:w="1277"/>
        <w:gridCol w:w="566"/>
        <w:gridCol w:w="1133"/>
        <w:gridCol w:w="425"/>
        <w:gridCol w:w="1277"/>
        <w:gridCol w:w="790"/>
        <w:gridCol w:w="1195"/>
        <w:gridCol w:w="1274"/>
        <w:gridCol w:w="1418"/>
      </w:tblGrid>
      <w:tr>
        <w:trPr>
          <w:trHeight w:val="416" w:hRule="exact"/>
        </w:trPr>
        <w:tc>
          <w:tcPr>
            <w:tcW w:w="2412" w:type="dxa"/>
            <w:vMerge w:val="restart"/>
            <w:tcBorders>
              <w:top w:val="single" w:sz="15"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06" w:type="dxa"/>
            <w:gridSpan w:val="13"/>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412" w:type="dxa"/>
            <w:vMerge/>
            <w:tcBorders>
              <w:left w:val="single" w:sz="4" w:space="0" w:color="000000"/>
              <w:right w:val="single" w:sz="4" w:space="0" w:color="000000"/>
            </w:tcBorders>
            <w:shd w:val="clear" w:color="auto" w:fill="D4D4D4"/>
          </w:tcPr>
          <w:p>
            <w:pPr/>
          </w:p>
        </w:tc>
        <w:tc>
          <w:tcPr>
            <w:tcW w:w="921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42" w:right="18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14" w:right="163"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714" w:hRule="exact"/>
        </w:trPr>
        <w:tc>
          <w:tcPr>
            <w:tcW w:w="2412" w:type="dxa"/>
            <w:vMerge/>
            <w:tcBorders>
              <w:left w:val="single" w:sz="4" w:space="0" w:color="000000"/>
              <w:right w:val="single" w:sz="4" w:space="0" w:color="000000"/>
            </w:tcBorders>
            <w:shd w:val="clear" w:color="auto" w:fill="D4D4D4"/>
          </w:tcPr>
          <w:p>
            <w:pPr/>
          </w:p>
        </w:tc>
        <w:tc>
          <w:tcPr>
            <w:tcW w:w="12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42" w:right="182"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84" w:right="95" w:hanging="84"/>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1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42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120" w:right="11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4D4D4"/>
          </w:tcPr>
          <w:p>
            <w:pPr/>
          </w:p>
        </w:tc>
        <w:tc>
          <w:tcPr>
            <w:tcW w:w="1418" w:type="dxa"/>
            <w:vMerge/>
            <w:tcBorders>
              <w:left w:val="single" w:sz="4" w:space="0" w:color="000000"/>
              <w:right w:val="single" w:sz="4" w:space="0" w:color="000000"/>
            </w:tcBorders>
            <w:shd w:val="clear" w:color="auto" w:fill="D4D4D4"/>
          </w:tcPr>
          <w:p>
            <w:pPr/>
          </w:p>
        </w:tc>
      </w:tr>
      <w:tr>
        <w:trPr>
          <w:trHeight w:val="1025" w:hRule="exact"/>
        </w:trPr>
        <w:tc>
          <w:tcPr>
            <w:tcW w:w="2412" w:type="dxa"/>
            <w:vMerge/>
            <w:tcBorders>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shd w:val="clear" w:color="auto" w:fill="D4D4D4"/>
          </w:tcPr>
          <w:p>
            <w:pPr/>
          </w:p>
        </w:tc>
        <w:tc>
          <w:tcPr>
            <w:tcW w:w="4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1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11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115"/>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tcBorders>
              <w:left w:val="single" w:sz="4" w:space="0" w:color="000000"/>
              <w:bottom w:val="single" w:sz="4" w:space="0" w:color="000000"/>
              <w:right w:val="single" w:sz="4" w:space="0" w:color="000000"/>
            </w:tcBorders>
            <w:shd w:val="clear" w:color="auto" w:fill="D4D4D4"/>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425"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74"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747,237,306.0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179,926,524.4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-3,616,760.4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320,804,729.8</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2,241,056,88</w:t>
            </w:r>
          </w:p>
          <w:p>
            <w:pPr>
              <w:pStyle w:val="TableParagraph"/>
              <w:spacing w:line="240" w:lineRule="auto" w:before="102"/>
              <w:ind w:left="767" w:right="0"/>
              <w:jc w:val="left"/>
              <w:rPr>
                <w:rFonts w:ascii="Times New Roman" w:hAnsi="Times New Roman" w:cs="Times New Roman" w:eastAsia="Times New Roman" w:hint="default"/>
                <w:sz w:val="18"/>
                <w:szCs w:val="18"/>
              </w:rPr>
            </w:pPr>
            <w:r>
              <w:rPr>
                <w:rFonts w:ascii="Times New Roman"/>
                <w:sz w:val="18"/>
              </w:rPr>
              <w:t>6.31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135,277,325.1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3,620,686,011.4</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95"/>
              <w:jc w:val="center"/>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747,237,306.0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179,926,524.4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-3,616,760.4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320,804,729.8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2,241,056,88</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6.31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135,277,325.1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3,620,686,011.4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149,447,461.0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1,104,841.89</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2,772,314.9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79,432,682.86</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429,117,522.</w:t>
            </w:r>
            <w:r>
              <w:rPr>
                <w:rFonts w:ascii="Times New Roman"/>
                <w:sz w:val="18"/>
              </w:rPr>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44,472,348.84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706,347,171.64</w:t>
            </w:r>
            <w:r>
              <w:rPr>
                <w:rFonts w:ascii="Times New Roman"/>
                <w:sz w:val="18"/>
              </w:rPr>
            </w: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2,772,314.9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807,445,127.</w:t>
            </w:r>
            <w:r>
              <w:rPr>
                <w:rFonts w:ascii="Times New Roman"/>
                <w:sz w:val="18"/>
              </w:rPr>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9,976,418.41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820,193,860.52</w:t>
            </w:r>
            <w:r>
              <w:rPr>
                <w:rFonts w:ascii="Times New Roman"/>
                <w:sz w:val="18"/>
              </w:rPr>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03" w:right="137"/>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1,104,841.89</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34,985,930.43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36,090,772.32</w:t>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31,610,000.00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31,610,000.00</w:t>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6840" w:h="11910" w:orient="landscape"/>
          <w:pgMar w:footer="982" w:header="867" w:top="1060" w:bottom="1180" w:left="960" w:right="1320"/>
          <w:pgNumType w:start="95"/>
        </w:sectPr>
      </w:pPr>
    </w:p>
    <w:p>
      <w:pPr>
        <w:spacing w:line="240" w:lineRule="auto" w:before="2"/>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12"/>
        <w:gridCol w:w="1274"/>
        <w:gridCol w:w="427"/>
        <w:gridCol w:w="425"/>
        <w:gridCol w:w="425"/>
        <w:gridCol w:w="1277"/>
        <w:gridCol w:w="566"/>
        <w:gridCol w:w="1133"/>
        <w:gridCol w:w="425"/>
        <w:gridCol w:w="1277"/>
        <w:gridCol w:w="790"/>
        <w:gridCol w:w="1195"/>
        <w:gridCol w:w="1274"/>
        <w:gridCol w:w="1418"/>
      </w:tblGrid>
      <w:tr>
        <w:trPr>
          <w:trHeight w:val="377" w:hRule="exact"/>
        </w:trPr>
        <w:tc>
          <w:tcPr>
            <w:tcW w:w="2412" w:type="dxa"/>
            <w:tcBorders>
              <w:top w:val="single" w:sz="15"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274"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90" w:type="dxa"/>
            <w:tcBorders>
              <w:top w:val="single" w:sz="15" w:space="0" w:color="000000"/>
              <w:left w:val="single" w:sz="4" w:space="0" w:color="000000"/>
              <w:bottom w:val="single" w:sz="4" w:space="0" w:color="000000"/>
              <w:right w:val="single" w:sz="4" w:space="0" w:color="000000"/>
            </w:tcBorders>
          </w:tcPr>
          <w:p>
            <w:pPr/>
          </w:p>
        </w:tc>
        <w:tc>
          <w:tcPr>
            <w:tcW w:w="1195"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1,104,841.89</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3,375,930.43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4,480,772.32</w:t>
            </w:r>
            <w:r>
              <w:rPr>
                <w:rFonts w:ascii="Times New Roman"/>
                <w:sz w:val="18"/>
              </w:rPr>
            </w: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79,432,682.86</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-228,880,144</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-490,000.00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-149,937,461.20</w:t>
            </w:r>
            <w:r>
              <w:rPr>
                <w:rFonts w:ascii="Times New Roman"/>
                <w:sz w:val="18"/>
              </w:rPr>
            </w: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79,432,682.86</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-79,432,682.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03" w:right="10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．对所有者（或股东）的分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-149,447,461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-490,000.00</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-149,937,461.20</w:t>
            </w:r>
            <w:r>
              <w:rPr>
                <w:rFonts w:ascii="Times New Roman"/>
                <w:sz w:val="18"/>
              </w:rPr>
            </w: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149,447,461.0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-149,447,461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03" w:right="9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03" w:right="9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149,447,461.0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-149,447,461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896,684,767.0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181,031,366.3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-844,445.51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400,237,412.7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2,670,174,40</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8.46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179,749,674.0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4,327,033,183.1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2" w:top="1060" w:bottom="1180" w:left="960" w:right="1320"/>
        </w:sectPr>
      </w:pPr>
    </w:p>
    <w:p>
      <w:pPr>
        <w:spacing w:line="240" w:lineRule="auto" w:before="2"/>
        <w:rPr>
          <w:rFonts w:ascii="Times New Roman" w:hAnsi="Times New Roman" w:cs="Times New Roman" w:eastAsia="Times New Roman" w:hint="default"/>
          <w:sz w:val="3"/>
          <w:szCs w:val="3"/>
        </w:rPr>
      </w:pPr>
    </w:p>
    <w:p>
      <w:pPr>
        <w:spacing w:line="20" w:lineRule="exact"/>
        <w:ind w:left="4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before="0"/>
        <w:ind w:left="48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9"/>
        <w:jc w:val="right"/>
      </w:pPr>
      <w:bookmarkStart w:name="8、母公司所有者权益变动表" w:id="158"/>
      <w:bookmarkEnd w:id="158"/>
      <w:r>
        <w:rPr/>
      </w:r>
      <w:r>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78"/>
        <w:gridCol w:w="1418"/>
        <w:gridCol w:w="708"/>
        <w:gridCol w:w="708"/>
        <w:gridCol w:w="569"/>
        <w:gridCol w:w="1416"/>
        <w:gridCol w:w="506"/>
        <w:gridCol w:w="708"/>
        <w:gridCol w:w="566"/>
        <w:gridCol w:w="1622"/>
        <w:gridCol w:w="1558"/>
        <w:gridCol w:w="1560"/>
      </w:tblGrid>
      <w:tr>
        <w:trPr>
          <w:trHeight w:val="401" w:hRule="exact"/>
        </w:trPr>
        <w:tc>
          <w:tcPr>
            <w:tcW w:w="29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0"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2978" w:type="dxa"/>
            <w:vMerge/>
            <w:tcBorders>
              <w:left w:val="single" w:sz="4" w:space="0" w:color="000000"/>
              <w:right w:val="single" w:sz="4" w:space="0" w:color="000000"/>
            </w:tcBorders>
            <w:shd w:val="clear" w:color="auto" w:fill="D4D4D4"/>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06" w:type="dxa"/>
            <w:vMerge w:val="restart"/>
            <w:tcBorders>
              <w:top w:val="single" w:sz="4" w:space="0" w:color="000000"/>
              <w:left w:val="single" w:sz="4" w:space="0" w:color="000000"/>
              <w:right w:val="single" w:sz="4" w:space="0" w:color="000000"/>
            </w:tcBorders>
          </w:tcPr>
          <w:p>
            <w:pPr>
              <w:pStyle w:val="TableParagraph"/>
              <w:spacing w:line="316" w:lineRule="auto" w:before="49"/>
              <w:ind w:left="155" w:right="31" w:hanging="53"/>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08" w:type="dxa"/>
            <w:vMerge w:val="restart"/>
            <w:tcBorders>
              <w:top w:val="single" w:sz="4" w:space="0" w:color="000000"/>
              <w:left w:val="single" w:sz="4" w:space="0" w:color="000000"/>
              <w:right w:val="single" w:sz="4" w:space="0" w:color="000000"/>
            </w:tcBorders>
          </w:tcPr>
          <w:p>
            <w:pPr>
              <w:pStyle w:val="TableParagraph"/>
              <w:spacing w:line="316" w:lineRule="auto" w:before="48"/>
              <w:ind w:left="165" w:right="170"/>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48"/>
              <w:ind w:left="186"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48"/>
              <w:ind w:left="4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48"/>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48"/>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36" w:hRule="exact"/>
        </w:trPr>
        <w:tc>
          <w:tcPr>
            <w:tcW w:w="2978"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9" w:right="16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7"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2,502,713,903.64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3,981,088,707.78</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2,502,713,903.64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3,981,088,707.78</w:t>
            </w:r>
          </w:p>
        </w:tc>
      </w:tr>
      <w:tr>
        <w:trPr>
          <w:trHeight w:val="71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69,736,289.14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89,615,742.10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159,352,031.24</w:t>
            </w:r>
            <w:r>
              <w:rPr>
                <w:rFonts w:ascii="Times New Roman"/>
                <w:sz w:val="18"/>
              </w:rPr>
            </w: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697,362,891.44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697,362,891.44</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69,736,289.14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-607,747,149.34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69,736,289.14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-69,736,289.14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2" w:top="1060" w:bottom="1180" w:left="960" w:right="1300"/>
        </w:sectPr>
      </w:pPr>
    </w:p>
    <w:p>
      <w:pPr>
        <w:spacing w:line="240" w:lineRule="auto" w:before="1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78"/>
        <w:gridCol w:w="1418"/>
        <w:gridCol w:w="708"/>
        <w:gridCol w:w="708"/>
        <w:gridCol w:w="569"/>
        <w:gridCol w:w="1416"/>
        <w:gridCol w:w="506"/>
        <w:gridCol w:w="708"/>
        <w:gridCol w:w="566"/>
        <w:gridCol w:w="1622"/>
        <w:gridCol w:w="1558"/>
        <w:gridCol w:w="1560"/>
      </w:tblGrid>
      <w:tr>
        <w:trPr>
          <w:trHeight w:val="418" w:hRule="exact"/>
        </w:trPr>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50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622"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896,684,767.00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181,452,624.40</w:t>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469,973,701.88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2,592,329,645.74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4,140,440,739.02</w:t>
            </w:r>
          </w:p>
        </w:tc>
      </w:tr>
    </w:tbl>
    <w:p>
      <w:pPr>
        <w:pStyle w:val="BodyText"/>
        <w:spacing w:line="240" w:lineRule="auto" w:before="49"/>
        <w:ind w:left="0" w:right="119"/>
        <w:jc w:val="right"/>
      </w:pPr>
      <w:r>
        <w:rPr/>
        <w:t>单位：元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78"/>
        <w:gridCol w:w="1418"/>
        <w:gridCol w:w="708"/>
        <w:gridCol w:w="708"/>
        <w:gridCol w:w="569"/>
        <w:gridCol w:w="1416"/>
        <w:gridCol w:w="506"/>
        <w:gridCol w:w="708"/>
        <w:gridCol w:w="566"/>
        <w:gridCol w:w="1622"/>
        <w:gridCol w:w="1558"/>
        <w:gridCol w:w="1560"/>
      </w:tblGrid>
      <w:tr>
        <w:trPr>
          <w:trHeight w:val="401" w:hRule="exact"/>
        </w:trPr>
        <w:tc>
          <w:tcPr>
            <w:tcW w:w="29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0"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2978" w:type="dxa"/>
            <w:vMerge/>
            <w:tcBorders>
              <w:left w:val="single" w:sz="4" w:space="0" w:color="000000"/>
              <w:right w:val="single" w:sz="4" w:space="0" w:color="000000"/>
            </w:tcBorders>
            <w:shd w:val="clear" w:color="auto" w:fill="D4D4D4"/>
          </w:tcPr>
          <w:p>
            <w:pP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06" w:type="dxa"/>
            <w:vMerge w:val="restart"/>
            <w:tcBorders>
              <w:top w:val="single" w:sz="4" w:space="0" w:color="000000"/>
              <w:left w:val="single" w:sz="4" w:space="0" w:color="000000"/>
              <w:right w:val="single" w:sz="4" w:space="0" w:color="000000"/>
            </w:tcBorders>
          </w:tcPr>
          <w:p>
            <w:pPr>
              <w:pStyle w:val="TableParagraph"/>
              <w:spacing w:line="316" w:lineRule="auto" w:before="51"/>
              <w:ind w:left="155" w:right="31" w:hanging="53"/>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708" w:type="dxa"/>
            <w:vMerge w:val="restart"/>
            <w:tcBorders>
              <w:top w:val="single" w:sz="4" w:space="0" w:color="000000"/>
              <w:left w:val="single" w:sz="4" w:space="0" w:color="000000"/>
              <w:right w:val="single" w:sz="4" w:space="0" w:color="000000"/>
            </w:tcBorders>
          </w:tcPr>
          <w:p>
            <w:pPr>
              <w:pStyle w:val="TableParagraph"/>
              <w:spacing w:line="316" w:lineRule="auto" w:before="51"/>
              <w:ind w:left="165" w:right="170"/>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6" w:type="dxa"/>
            <w:vMerge w:val="restart"/>
            <w:tcBorders>
              <w:top w:val="single" w:sz="4" w:space="0" w:color="000000"/>
              <w:left w:val="single" w:sz="4" w:space="0" w:color="000000"/>
              <w:right w:val="single" w:sz="4" w:space="0" w:color="000000"/>
            </w:tcBorders>
          </w:tcPr>
          <w:p>
            <w:pPr>
              <w:pStyle w:val="TableParagraph"/>
              <w:spacing w:line="316" w:lineRule="auto" w:before="51"/>
              <w:ind w:left="186" w:right="187"/>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936" w:hRule="exact"/>
        </w:trPr>
        <w:tc>
          <w:tcPr>
            <w:tcW w:w="2978"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9" w:right="16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59" w:right="16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7" w:right="189"/>
              <w:jc w:val="center"/>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50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747,237,306.00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320,804,729.88</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2,086,714,680.15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3,336,209,340.43</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6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747,237,306.00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181,452,624.40</w:t>
            </w:r>
            <w:r>
              <w:rPr>
                <w:rFonts w:ascii="Times New Roman"/>
                <w:sz w:val="18"/>
              </w:rPr>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320,804,729.88</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2,086,714,680.15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3,336,209,340.43</w:t>
            </w:r>
          </w:p>
        </w:tc>
      </w:tr>
      <w:tr>
        <w:trPr>
          <w:trHeight w:val="715"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0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79,432,682.86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415,999,223.49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644,879,367.35</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794,326,828.55</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794,326,828.55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2" w:top="1060" w:bottom="1180" w:left="960" w:right="1320"/>
        </w:sectPr>
      </w:pPr>
    </w:p>
    <w:p>
      <w:pPr>
        <w:spacing w:line="240" w:lineRule="auto" w:before="2"/>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978"/>
        <w:gridCol w:w="1418"/>
        <w:gridCol w:w="708"/>
        <w:gridCol w:w="708"/>
        <w:gridCol w:w="569"/>
        <w:gridCol w:w="1416"/>
        <w:gridCol w:w="506"/>
        <w:gridCol w:w="708"/>
        <w:gridCol w:w="566"/>
        <w:gridCol w:w="1622"/>
        <w:gridCol w:w="1558"/>
        <w:gridCol w:w="1560"/>
      </w:tblGrid>
      <w:tr>
        <w:trPr>
          <w:trHeight w:val="418" w:hRule="exact"/>
        </w:trPr>
        <w:tc>
          <w:tcPr>
            <w:tcW w:w="29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506"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622" w:type="dxa"/>
            <w:tcBorders>
              <w:top w:val="single" w:sz="15" w:space="0" w:color="000000"/>
              <w:left w:val="single" w:sz="4" w:space="0" w:color="000000"/>
              <w:bottom w:val="single" w:sz="4" w:space="0" w:color="000000"/>
              <w:right w:val="single" w:sz="4" w:space="0" w:color="000000"/>
            </w:tcBorders>
          </w:tcPr>
          <w:p>
            <w:pPr/>
          </w:p>
        </w:tc>
        <w:tc>
          <w:tcPr>
            <w:tcW w:w="1558"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79,432,682.86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-228,880,144.06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79,432,682.86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-79,432,682.86</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896,684,767.00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181,452,624.40</w:t>
            </w:r>
          </w:p>
        </w:tc>
        <w:tc>
          <w:tcPr>
            <w:tcW w:w="5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2,502,713,903.64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3,981,088,707.78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2" w:top="1060" w:bottom="1180" w:left="960" w:right="132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left="572" w:right="0"/>
        <w:jc w:val="left"/>
        <w:rPr>
          <w:b w:val="0"/>
          <w:bCs w:val="0"/>
        </w:rPr>
      </w:pPr>
      <w:bookmarkStart w:name="三、公司基本情况" w:id="159"/>
      <w:bookmarkEnd w:id="159"/>
      <w:r>
        <w:rPr>
          <w:b w:val="0"/>
          <w:bCs w:val="0"/>
        </w:rPr>
      </w:r>
      <w:r>
        <w:rPr/>
        <w:t>三、公司基本情况</w:t>
      </w:r>
      <w:r>
        <w:rPr>
          <w:b w:val="0"/>
          <w:bCs w:val="0"/>
        </w:rPr>
      </w:r>
    </w:p>
    <w:p>
      <w:pPr>
        <w:pStyle w:val="Heading4"/>
        <w:spacing w:line="688" w:lineRule="exact" w:before="59"/>
        <w:ind w:left="572" w:right="0"/>
        <w:jc w:val="left"/>
      </w:pPr>
      <w:r>
        <w:rPr>
          <w:rFonts w:ascii="宋体" w:hAnsi="宋体" w:cs="宋体" w:eastAsia="宋体" w:hint="default"/>
          <w:b/>
          <w:bCs/>
        </w:rPr>
        <w:t>1</w:t>
      </w:r>
      <w:bookmarkStart w:name="1、公司概况" w:id="160"/>
      <w:bookmarkEnd w:id="160"/>
      <w:r>
        <w:rPr>
          <w:rFonts w:ascii="宋体" w:hAnsi="宋体" w:cs="宋体" w:eastAsia="宋体" w:hint="default"/>
          <w:b/>
          <w:bCs/>
        </w:rPr>
      </w:r>
      <w:r>
        <w:rPr>
          <w:rFonts w:ascii="宋体" w:hAnsi="宋体" w:cs="宋体" w:eastAsia="宋体" w:hint="default"/>
          <w:b/>
          <w:bCs/>
        </w:rPr>
        <w:t>、公司概况</w:t>
      </w:r>
      <w:r>
        <w:rPr>
          <w:rFonts w:ascii="宋体" w:hAnsi="宋体" w:cs="宋体" w:eastAsia="宋体" w:hint="default"/>
          <w:b/>
          <w:bCs/>
          <w:w w:val="100"/>
        </w:rPr>
        <w:t> </w:t>
      </w:r>
      <w:r>
        <w:rPr>
          <w:spacing w:val="-2"/>
        </w:rPr>
        <w:t>广州广电运通金融电子股份有限公司</w:t>
      </w:r>
      <w:r>
        <w:rPr>
          <w:rFonts w:ascii="宋体" w:hAnsi="宋体" w:cs="宋体" w:eastAsia="宋体" w:hint="default"/>
          <w:spacing w:val="-2"/>
        </w:rPr>
        <w:t>(</w:t>
      </w:r>
      <w:r>
        <w:rPr>
          <w:spacing w:val="-2"/>
        </w:rPr>
        <w:t>以下简称</w:t>
      </w:r>
      <w:r>
        <w:rPr>
          <w:rFonts w:ascii="宋体" w:hAnsi="宋体" w:cs="宋体" w:eastAsia="宋体" w:hint="default"/>
          <w:spacing w:val="-2"/>
        </w:rPr>
        <w:t>“</w:t>
      </w:r>
      <w:r>
        <w:rPr>
          <w:spacing w:val="-2"/>
        </w:rPr>
        <w:t>本公司或公司</w:t>
      </w:r>
      <w:r>
        <w:rPr>
          <w:rFonts w:ascii="宋体" w:hAnsi="宋体" w:cs="宋体" w:eastAsia="宋体" w:hint="default"/>
          <w:spacing w:val="-2"/>
        </w:rPr>
        <w:t>”)</w:t>
      </w:r>
      <w:r>
        <w:rPr>
          <w:spacing w:val="-2"/>
        </w:rPr>
        <w:t>前身系广州广电运通金融电子有限</w:t>
      </w:r>
    </w:p>
    <w:p>
      <w:pPr>
        <w:pStyle w:val="Heading4"/>
        <w:spacing w:line="340" w:lineRule="auto" w:before="8"/>
        <w:ind w:right="147"/>
        <w:jc w:val="both"/>
      </w:pPr>
      <w:r>
        <w:rPr/>
        <w:t>公司，成立于</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8</w:t>
      </w:r>
      <w:r>
        <w:rPr/>
        <w:t>日，</w:t>
      </w:r>
      <w:r>
        <w:rPr>
          <w:rFonts w:ascii="宋体" w:hAnsi="宋体" w:cs="宋体" w:eastAsia="宋体" w:hint="default"/>
        </w:rPr>
        <w:t>2005</w:t>
      </w:r>
      <w:r>
        <w:rPr/>
        <w:t>年</w:t>
      </w:r>
      <w:r>
        <w:rPr>
          <w:rFonts w:ascii="宋体" w:hAnsi="宋体" w:cs="宋体" w:eastAsia="宋体" w:hint="default"/>
        </w:rPr>
        <w:t>10</w:t>
      </w:r>
      <w:r>
        <w:rPr/>
        <w:t>月经广州市人民政府办公厅穗府办函</w:t>
      </w:r>
      <w:r>
        <w:rPr>
          <w:rFonts w:ascii="宋体" w:hAnsi="宋体" w:cs="宋体" w:eastAsia="宋体" w:hint="default"/>
        </w:rPr>
        <w:t>[2005]161</w:t>
      </w:r>
      <w:r>
        <w:rPr/>
        <w:t>号文批准，广州市</w:t>
      </w:r>
      <w:r>
        <w:rPr>
          <w:spacing w:val="-31"/>
        </w:rPr>
        <w:t> </w:t>
      </w:r>
      <w:r>
        <w:rPr>
          <w:spacing w:val="-31"/>
        </w:rPr>
      </w:r>
      <w:r>
        <w:rPr/>
        <w:t>经济贸易委员会穗经贸函</w:t>
      </w:r>
      <w:r>
        <w:rPr>
          <w:rFonts w:ascii="宋体" w:hAnsi="宋体" w:cs="宋体" w:eastAsia="宋体" w:hint="default"/>
        </w:rPr>
        <w:t>[2005]492</w:t>
      </w:r>
      <w:r>
        <w:rPr/>
        <w:t>号文批复，由广州无线电集团有限公司、深圳市德通投资有限公司、</w:t>
      </w:r>
      <w:r>
        <w:rPr>
          <w:spacing w:val="-27"/>
        </w:rPr>
        <w:t> </w:t>
      </w:r>
      <w:r>
        <w:rPr>
          <w:spacing w:val="-27"/>
        </w:rPr>
      </w:r>
      <w:r>
        <w:rPr>
          <w:spacing w:val="-2"/>
        </w:rPr>
        <w:t>盈富泰克创业投资有限公司、梅州敬基金属制品有限公司、广州藤川科技有限公司作为发起人，以发起设</w:t>
      </w:r>
      <w:r>
        <w:rPr>
          <w:spacing w:val="-42"/>
        </w:rPr>
        <w:t> </w:t>
      </w:r>
      <w:r>
        <w:rPr>
          <w:spacing w:val="-42"/>
        </w:rPr>
      </w:r>
      <w:r>
        <w:rPr>
          <w:spacing w:val="2"/>
        </w:rPr>
        <w:t>立方式将广州广电运通金融电子有限公司整体变更为广州广电运通金融电子股份有限公司。注册资本为</w:t>
      </w:r>
      <w:r>
        <w:rPr>
          <w:spacing w:val="-28"/>
        </w:rPr>
        <w:t> </w:t>
      </w:r>
      <w:r>
        <w:rPr>
          <w:spacing w:val="-28"/>
        </w:rPr>
      </w:r>
      <w:r>
        <w:rPr>
          <w:rFonts w:ascii="宋体" w:hAnsi="宋体" w:cs="宋体" w:eastAsia="宋体" w:hint="default"/>
          <w:spacing w:val="-2"/>
        </w:rPr>
        <w:t>106,559,010.00</w:t>
      </w:r>
      <w:r>
        <w:rPr>
          <w:spacing w:val="-2"/>
        </w:rPr>
        <w:t>元，于</w:t>
      </w:r>
      <w:r>
        <w:rPr>
          <w:rFonts w:ascii="宋体" w:hAnsi="宋体" w:cs="宋体" w:eastAsia="宋体" w:hint="default"/>
          <w:spacing w:val="-2"/>
        </w:rPr>
        <w:t>2005</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日取得广州市工商行政管理局核发的变更后的企业法人营业执照，注</w:t>
      </w:r>
      <w:r>
        <w:rPr>
          <w:spacing w:val="-23"/>
        </w:rPr>
        <w:t> </w:t>
      </w:r>
      <w:r>
        <w:rPr>
          <w:spacing w:val="-23"/>
        </w:rPr>
      </w:r>
      <w:r>
        <w:rPr/>
        <w:t>册号为：</w:t>
      </w:r>
      <w:r>
        <w:rPr>
          <w:rFonts w:ascii="宋体" w:hAnsi="宋体" w:cs="宋体" w:eastAsia="宋体" w:hint="default"/>
        </w:rPr>
        <w:t>4401011103795</w:t>
      </w:r>
      <w:r>
        <w:rPr/>
        <w:t>。</w:t>
      </w:r>
    </w:p>
    <w:p>
      <w:pPr>
        <w:pStyle w:val="Heading4"/>
        <w:spacing w:line="340" w:lineRule="auto" w:before="28"/>
        <w:ind w:right="153" w:firstLine="420"/>
        <w:jc w:val="both"/>
      </w:pPr>
      <w:r>
        <w:rPr>
          <w:rFonts w:ascii="宋体" w:hAnsi="宋体" w:cs="宋体" w:eastAsia="宋体" w:hint="default"/>
        </w:rPr>
        <w:t>2006</w:t>
      </w:r>
      <w:r>
        <w:rPr/>
        <w:t>年</w:t>
      </w:r>
      <w:r>
        <w:rPr>
          <w:rFonts w:ascii="宋体" w:hAnsi="宋体" w:cs="宋体" w:eastAsia="宋体" w:hint="default"/>
        </w:rPr>
        <w:t>12</w:t>
      </w:r>
      <w:r>
        <w:rPr/>
        <w:t>月，经本公司股东大会审议通过，股东盈富泰克创业投资有限公司将持有本公司</w:t>
      </w:r>
      <w:r>
        <w:rPr>
          <w:rFonts w:ascii="宋体" w:hAnsi="宋体" w:cs="宋体" w:eastAsia="宋体" w:hint="default"/>
        </w:rPr>
        <w:t>10.657%</w:t>
      </w:r>
      <w:r>
        <w:rPr/>
        <w:t>股</w:t>
      </w:r>
      <w:r>
        <w:rPr>
          <w:w w:val="100"/>
        </w:rPr>
        <w:t> </w:t>
      </w:r>
      <w:r>
        <w:rPr/>
        <w:t>权中的</w:t>
      </w:r>
      <w:r>
        <w:rPr>
          <w:rFonts w:ascii="宋体" w:hAnsi="宋体" w:cs="宋体" w:eastAsia="宋体" w:hint="default"/>
        </w:rPr>
        <w:t>5.026%</w:t>
      </w:r>
      <w:r>
        <w:rPr/>
        <w:t>转让给股东广州无线电集团有限公司，股东深圳市德通投资有限公司将持有本公司</w:t>
      </w:r>
      <w:r>
        <w:rPr>
          <w:rFonts w:ascii="宋体" w:hAnsi="宋体" w:cs="宋体" w:eastAsia="宋体" w:hint="default"/>
        </w:rPr>
        <w:t>17.762%</w:t>
      </w:r>
      <w:r>
        <w:rPr>
          <w:rFonts w:ascii="宋体" w:hAnsi="宋体" w:cs="宋体" w:eastAsia="宋体" w:hint="default"/>
          <w:spacing w:val="-30"/>
        </w:rPr>
        <w:t> </w:t>
      </w:r>
      <w:r>
        <w:rPr>
          <w:rFonts w:ascii="宋体" w:hAnsi="宋体" w:cs="宋体" w:eastAsia="宋体" w:hint="default"/>
          <w:spacing w:val="-30"/>
        </w:rPr>
      </w:r>
      <w:r>
        <w:rPr/>
        <w:t>的股权全部转让给自然人股东叶子瑜等</w:t>
      </w:r>
      <w:r>
        <w:rPr>
          <w:rFonts w:ascii="宋体" w:hAnsi="宋体" w:cs="宋体" w:eastAsia="宋体" w:hint="default"/>
        </w:rPr>
        <w:t>48</w:t>
      </w:r>
      <w:r>
        <w:rPr/>
        <w:t>人。</w:t>
      </w:r>
    </w:p>
    <w:p>
      <w:pPr>
        <w:pStyle w:val="Heading4"/>
        <w:spacing w:line="340" w:lineRule="auto"/>
        <w:ind w:right="126" w:firstLine="419"/>
        <w:jc w:val="both"/>
      </w:pPr>
      <w:r>
        <w:rPr/>
        <w:t>经中国证券监督管理委员会证监发行字</w:t>
      </w:r>
      <w:r>
        <w:rPr>
          <w:rFonts w:ascii="宋体" w:hAnsi="宋体" w:cs="宋体" w:eastAsia="宋体" w:hint="default"/>
        </w:rPr>
        <w:t>[2007]188</w:t>
      </w:r>
      <w:r>
        <w:rPr/>
        <w:t>号《关于核准广州广电运通金融电子股份有限公司</w:t>
      </w:r>
      <w:r>
        <w:rPr>
          <w:w w:val="100"/>
        </w:rPr>
        <w:t> </w:t>
      </w:r>
      <w:r>
        <w:rPr/>
        <w:t>首次公开发行股票的通知》核准，本公司获准向社会公开发行人民币普通股（</w:t>
      </w:r>
      <w:r>
        <w:rPr>
          <w:rFonts w:ascii="宋体" w:hAnsi="宋体" w:cs="宋体" w:eastAsia="宋体" w:hint="default"/>
        </w:rPr>
        <w:t>A</w:t>
      </w:r>
      <w:r>
        <w:rPr/>
        <w:t>股）</w:t>
      </w:r>
      <w:r>
        <w:rPr>
          <w:rFonts w:ascii="宋体" w:hAnsi="宋体" w:cs="宋体" w:eastAsia="宋体" w:hint="default"/>
        </w:rPr>
        <w:t>3600</w:t>
      </w:r>
      <w:r>
        <w:rPr/>
        <w:t>万股。并于</w:t>
      </w:r>
      <w:r>
        <w:rPr>
          <w:rFonts w:ascii="宋体" w:hAnsi="宋体" w:cs="宋体" w:eastAsia="宋体" w:hint="default"/>
        </w:rPr>
        <w:t>2007</w:t>
      </w:r>
      <w:r>
        <w:rPr>
          <w:rFonts w:ascii="宋体" w:hAnsi="宋体" w:cs="宋体" w:eastAsia="宋体" w:hint="default"/>
          <w:spacing w:val="-37"/>
        </w:rPr>
        <w:t> </w:t>
      </w:r>
      <w:r>
        <w:rPr/>
        <w:t>年</w:t>
      </w:r>
      <w:r>
        <w:rPr>
          <w:spacing w:val="-76"/>
        </w:rPr>
        <w:t> </w:t>
      </w:r>
      <w:r>
        <w:rPr>
          <w:rFonts w:ascii="宋体" w:hAnsi="宋体" w:cs="宋体" w:eastAsia="宋体" w:hint="default"/>
        </w:rPr>
        <w:t>8</w:t>
      </w:r>
      <w:r>
        <w:rPr>
          <w:rFonts w:ascii="宋体" w:hAnsi="宋体" w:cs="宋体" w:eastAsia="宋体" w:hint="default"/>
          <w:spacing w:val="-76"/>
        </w:rPr>
        <w:t> </w:t>
      </w:r>
      <w:r>
        <w:rPr/>
        <w:t>月</w:t>
      </w:r>
      <w:r>
        <w:rPr>
          <w:spacing w:val="-78"/>
        </w:rPr>
        <w:t> </w:t>
      </w:r>
      <w:r>
        <w:rPr>
          <w:rFonts w:ascii="宋体" w:hAnsi="宋体" w:cs="宋体" w:eastAsia="宋体" w:hint="default"/>
        </w:rPr>
        <w:t>13</w:t>
      </w:r>
      <w:r>
        <w:rPr>
          <w:rFonts w:ascii="宋体" w:hAnsi="宋体" w:cs="宋体" w:eastAsia="宋体" w:hint="default"/>
          <w:spacing w:val="-76"/>
        </w:rPr>
        <w:t> </w:t>
      </w:r>
      <w:r>
        <w:rPr>
          <w:spacing w:val="11"/>
        </w:rPr>
        <w:t>日在</w:t>
      </w:r>
      <w:r>
        <w:rPr>
          <w:spacing w:val="-76"/>
        </w:rPr>
        <w:t> </w:t>
      </w:r>
      <w:r>
        <w:rPr>
          <w:spacing w:val="11"/>
        </w:rPr>
        <w:t>深圳</w:t>
      </w:r>
      <w:r>
        <w:rPr>
          <w:spacing w:val="-76"/>
        </w:rPr>
        <w:t> </w:t>
      </w:r>
      <w:r>
        <w:rPr>
          <w:spacing w:val="15"/>
        </w:rPr>
        <w:t>证券交</w:t>
      </w:r>
      <w:r>
        <w:rPr>
          <w:spacing w:val="-76"/>
        </w:rPr>
        <w:t> </w:t>
      </w:r>
      <w:r>
        <w:rPr>
          <w:spacing w:val="11"/>
        </w:rPr>
        <w:t>易所</w:t>
      </w:r>
      <w:r>
        <w:rPr>
          <w:spacing w:val="-76"/>
        </w:rPr>
        <w:t> </w:t>
      </w:r>
      <w:r>
        <w:rPr>
          <w:spacing w:val="11"/>
        </w:rPr>
        <w:t>挂牌</w:t>
      </w:r>
      <w:r>
        <w:rPr>
          <w:spacing w:val="-76"/>
        </w:rPr>
        <w:t> </w:t>
      </w:r>
      <w:r>
        <w:rPr>
          <w:spacing w:val="11"/>
        </w:rPr>
        <w:t>交易</w:t>
      </w:r>
      <w:r>
        <w:rPr>
          <w:spacing w:val="-76"/>
        </w:rPr>
        <w:t> </w:t>
      </w:r>
      <w:r>
        <w:rPr>
          <w:spacing w:val="11"/>
        </w:rPr>
        <w:t>，发</w:t>
      </w:r>
      <w:r>
        <w:rPr>
          <w:spacing w:val="-76"/>
        </w:rPr>
        <w:t> </w:t>
      </w:r>
      <w:r>
        <w:rPr>
          <w:spacing w:val="11"/>
        </w:rPr>
        <w:t>行上</w:t>
      </w:r>
      <w:r>
        <w:rPr>
          <w:spacing w:val="-76"/>
        </w:rPr>
        <w:t> </w:t>
      </w:r>
      <w:r>
        <w:rPr>
          <w:spacing w:val="11"/>
        </w:rPr>
        <w:t>市后</w:t>
      </w:r>
      <w:r>
        <w:rPr>
          <w:spacing w:val="-76"/>
        </w:rPr>
        <w:t> </w:t>
      </w:r>
      <w:r>
        <w:rPr>
          <w:spacing w:val="11"/>
        </w:rPr>
        <w:t>注册</w:t>
      </w:r>
      <w:r>
        <w:rPr>
          <w:spacing w:val="-76"/>
        </w:rPr>
        <w:t> </w:t>
      </w:r>
      <w:r>
        <w:rPr>
          <w:spacing w:val="11"/>
        </w:rPr>
        <w:t>资本</w:t>
      </w:r>
      <w:r>
        <w:rPr>
          <w:spacing w:val="-76"/>
        </w:rPr>
        <w:t> </w:t>
      </w:r>
      <w:r>
        <w:rPr>
          <w:spacing w:val="11"/>
        </w:rPr>
        <w:t>由人</w:t>
      </w:r>
      <w:r>
        <w:rPr>
          <w:spacing w:val="-76"/>
        </w:rPr>
        <w:t> </w:t>
      </w:r>
      <w:r>
        <w:rPr>
          <w:spacing w:val="11"/>
        </w:rPr>
        <w:t>民币</w:t>
      </w:r>
      <w:r>
        <w:rPr>
          <w:spacing w:val="-77"/>
        </w:rPr>
        <w:t> </w:t>
      </w:r>
      <w:r>
        <w:rPr>
          <w:rFonts w:ascii="宋体" w:hAnsi="宋体" w:cs="宋体" w:eastAsia="宋体" w:hint="default"/>
        </w:rPr>
        <w:t>106,559,010.00</w:t>
      </w:r>
      <w:r>
        <w:rPr>
          <w:rFonts w:ascii="宋体" w:hAnsi="宋体" w:cs="宋体" w:eastAsia="宋体" w:hint="default"/>
          <w:spacing w:val="-76"/>
        </w:rPr>
        <w:t> </w:t>
      </w:r>
      <w:r>
        <w:rPr>
          <w:spacing w:val="11"/>
        </w:rPr>
        <w:t>元增</w:t>
      </w:r>
      <w:r>
        <w:rPr>
          <w:spacing w:val="-76"/>
        </w:rPr>
        <w:t> </w:t>
      </w:r>
      <w:r>
        <w:rPr>
          <w:spacing w:val="11"/>
        </w:rPr>
        <w:t>加至</w:t>
      </w:r>
      <w:r>
        <w:rPr>
          <w:spacing w:val="-100"/>
        </w:rPr>
        <w:t> </w:t>
      </w:r>
      <w:r>
        <w:rPr>
          <w:rFonts w:ascii="宋体" w:hAnsi="宋体" w:cs="宋体" w:eastAsia="宋体" w:hint="default"/>
        </w:rPr>
        <w:t>142,559,010.00</w:t>
      </w:r>
      <w:r>
        <w:rPr/>
        <w:t>元。证券简称为</w:t>
      </w:r>
      <w:r>
        <w:rPr>
          <w:rFonts w:ascii="宋体" w:hAnsi="宋体" w:cs="宋体" w:eastAsia="宋体" w:hint="default"/>
        </w:rPr>
        <w:t>“</w:t>
      </w:r>
      <w:r>
        <w:rPr/>
        <w:t>广电运通</w:t>
      </w:r>
      <w:r>
        <w:rPr>
          <w:rFonts w:ascii="宋体" w:hAnsi="宋体" w:cs="宋体" w:eastAsia="宋体" w:hint="default"/>
        </w:rPr>
        <w:t>”</w:t>
      </w:r>
      <w:r>
        <w:rPr/>
        <w:t>，证券代码为</w:t>
      </w:r>
      <w:r>
        <w:rPr>
          <w:rFonts w:ascii="宋体" w:hAnsi="宋体" w:cs="宋体" w:eastAsia="宋体" w:hint="default"/>
        </w:rPr>
        <w:t>“002152”</w:t>
      </w:r>
      <w:r>
        <w:rPr/>
        <w:t>，所属行业为通用设备制造业。</w:t>
      </w:r>
    </w:p>
    <w:p>
      <w:pPr>
        <w:pStyle w:val="Heading4"/>
        <w:spacing w:line="340" w:lineRule="auto"/>
        <w:ind w:right="148" w:firstLine="420"/>
        <w:jc w:val="both"/>
      </w:pPr>
      <w:r>
        <w:rPr/>
        <w:t>经本公司第一届董事会第十五次会议、</w:t>
      </w:r>
      <w:r>
        <w:rPr>
          <w:rFonts w:ascii="宋体" w:hAnsi="宋体" w:cs="宋体" w:eastAsia="宋体" w:hint="default"/>
        </w:rPr>
        <w:t>2008</w:t>
      </w:r>
      <w:r>
        <w:rPr/>
        <w:t>年</w:t>
      </w:r>
      <w:r>
        <w:rPr>
          <w:rFonts w:ascii="宋体" w:hAnsi="宋体" w:cs="宋体" w:eastAsia="宋体" w:hint="default"/>
        </w:rPr>
        <w:t>4</w:t>
      </w:r>
      <w:r>
        <w:rPr/>
        <w:t>月</w:t>
      </w:r>
      <w:r>
        <w:rPr>
          <w:rFonts w:ascii="宋体" w:hAnsi="宋体" w:cs="宋体" w:eastAsia="宋体" w:hint="default"/>
        </w:rPr>
        <w:t>18</w:t>
      </w:r>
      <w:r>
        <w:rPr/>
        <w:t>日股东大会决议通过，本公司以</w:t>
      </w:r>
      <w:r>
        <w:rPr>
          <w:rFonts w:ascii="宋体" w:hAnsi="宋体" w:cs="宋体" w:eastAsia="宋体" w:hint="default"/>
        </w:rPr>
        <w:t>2007</w:t>
      </w:r>
      <w:r>
        <w:rPr/>
        <w:t>年末总股本</w:t>
      </w:r>
      <w:r>
        <w:rPr>
          <w:w w:val="100"/>
        </w:rPr>
        <w:t> </w:t>
      </w:r>
      <w:r>
        <w:rPr/>
        <w:t>为基数，以资本公积向全体股东每</w:t>
      </w:r>
      <w:r>
        <w:rPr>
          <w:rFonts w:ascii="宋体" w:hAnsi="宋体" w:cs="宋体" w:eastAsia="宋体" w:hint="default"/>
        </w:rPr>
        <w:t>10</w:t>
      </w:r>
      <w:r>
        <w:rPr/>
        <w:t>股转增</w:t>
      </w:r>
      <w:r>
        <w:rPr>
          <w:rFonts w:ascii="宋体" w:hAnsi="宋体" w:cs="宋体" w:eastAsia="宋体" w:hint="default"/>
        </w:rPr>
        <w:t>10</w:t>
      </w:r>
      <w:r>
        <w:rPr/>
        <w:t>股股本。</w:t>
      </w:r>
    </w:p>
    <w:p>
      <w:pPr>
        <w:pStyle w:val="Heading4"/>
        <w:spacing w:line="340" w:lineRule="auto"/>
        <w:ind w:right="148" w:firstLine="420"/>
        <w:jc w:val="both"/>
      </w:pPr>
      <w:r>
        <w:rPr/>
        <w:t>经本公司第二届董事会第二次会议、</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28</w:t>
      </w:r>
      <w:r>
        <w:rPr/>
        <w:t>日股东大会决议通过，本公司以</w:t>
      </w:r>
      <w:r>
        <w:rPr>
          <w:rFonts w:ascii="宋体" w:hAnsi="宋体" w:cs="宋体" w:eastAsia="宋体" w:hint="default"/>
        </w:rPr>
        <w:t>2008</w:t>
      </w:r>
      <w:r>
        <w:rPr/>
        <w:t>年末总股本为</w:t>
      </w:r>
      <w:r>
        <w:rPr>
          <w:w w:val="100"/>
        </w:rPr>
        <w:t> </w:t>
      </w:r>
      <w:r>
        <w:rPr/>
        <w:t>基数，以资本公积向全体股东每</w:t>
      </w:r>
      <w:r>
        <w:rPr>
          <w:rFonts w:ascii="宋体" w:hAnsi="宋体" w:cs="宋体" w:eastAsia="宋体" w:hint="default"/>
        </w:rPr>
        <w:t>10</w:t>
      </w:r>
      <w:r>
        <w:rPr/>
        <w:t>股转增</w:t>
      </w:r>
      <w:r>
        <w:rPr>
          <w:rFonts w:ascii="宋体" w:hAnsi="宋体" w:cs="宋体" w:eastAsia="宋体" w:hint="default"/>
        </w:rPr>
        <w:t>2</w:t>
      </w:r>
      <w:r>
        <w:rPr/>
        <w:t>股股本。</w:t>
      </w:r>
    </w:p>
    <w:p>
      <w:pPr>
        <w:pStyle w:val="Heading4"/>
        <w:spacing w:line="338" w:lineRule="auto"/>
        <w:ind w:right="148" w:firstLine="420"/>
        <w:jc w:val="both"/>
      </w:pPr>
      <w:r>
        <w:rPr/>
        <w:t>经本公司第二届董事会第十二次会议、</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15</w:t>
      </w:r>
      <w:r>
        <w:rPr/>
        <w:t>日股东大会决议通过，本公司以</w:t>
      </w:r>
      <w:r>
        <w:rPr>
          <w:rFonts w:ascii="宋体" w:hAnsi="宋体" w:cs="宋体" w:eastAsia="宋体" w:hint="default"/>
        </w:rPr>
        <w:t>2010</w:t>
      </w:r>
      <w:r>
        <w:rPr/>
        <w:t>年末总股本</w:t>
      </w:r>
      <w:r>
        <w:rPr>
          <w:w w:val="100"/>
        </w:rPr>
        <w:t> </w:t>
      </w:r>
      <w:r>
        <w:rPr/>
        <w:t>为基数，以未分配利润向全体股东每</w:t>
      </w:r>
      <w:r>
        <w:rPr>
          <w:rFonts w:ascii="宋体" w:hAnsi="宋体" w:cs="宋体" w:eastAsia="宋体" w:hint="default"/>
        </w:rPr>
        <w:t>10</w:t>
      </w:r>
      <w:r>
        <w:rPr/>
        <w:t>股送</w:t>
      </w:r>
      <w:r>
        <w:rPr>
          <w:rFonts w:ascii="宋体" w:hAnsi="宋体" w:cs="宋体" w:eastAsia="宋体" w:hint="default"/>
        </w:rPr>
        <w:t>3</w:t>
      </w:r>
      <w:r>
        <w:rPr/>
        <w:t>股红股。</w:t>
      </w:r>
    </w:p>
    <w:p>
      <w:pPr>
        <w:pStyle w:val="Heading4"/>
        <w:spacing w:line="338" w:lineRule="auto" w:before="30"/>
        <w:ind w:right="148" w:firstLine="420"/>
        <w:jc w:val="both"/>
      </w:pPr>
      <w:r>
        <w:rPr/>
        <w:t>经本公司第三届董事会第二次会议、</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19</w:t>
      </w:r>
      <w:r>
        <w:rPr/>
        <w:t>日股东大会决议通过，本公司以</w:t>
      </w:r>
      <w:r>
        <w:rPr>
          <w:rFonts w:ascii="宋体" w:hAnsi="宋体" w:cs="宋体" w:eastAsia="宋体" w:hint="default"/>
        </w:rPr>
        <w:t>2011</w:t>
      </w:r>
      <w:r>
        <w:rPr/>
        <w:t>年末总股本为</w:t>
      </w:r>
      <w:r>
        <w:rPr>
          <w:w w:val="100"/>
        </w:rPr>
        <w:t> </w:t>
      </w:r>
      <w:r>
        <w:rPr/>
        <w:t>基数，以资本公积向全体股东每</w:t>
      </w:r>
      <w:r>
        <w:rPr>
          <w:rFonts w:ascii="宋体" w:hAnsi="宋体" w:cs="宋体" w:eastAsia="宋体" w:hint="default"/>
        </w:rPr>
        <w:t>10</w:t>
      </w:r>
      <w:r>
        <w:rPr/>
        <w:t>股转增</w:t>
      </w:r>
      <w:r>
        <w:rPr>
          <w:rFonts w:ascii="宋体" w:hAnsi="宋体" w:cs="宋体" w:eastAsia="宋体" w:hint="default"/>
        </w:rPr>
        <w:t>4</w:t>
      </w:r>
      <w:r>
        <w:rPr/>
        <w:t>股股本。</w:t>
      </w:r>
    </w:p>
    <w:p>
      <w:pPr>
        <w:pStyle w:val="Heading4"/>
        <w:spacing w:line="338" w:lineRule="auto" w:before="30"/>
        <w:ind w:right="148" w:firstLine="420"/>
        <w:jc w:val="both"/>
      </w:pPr>
      <w:r>
        <w:rPr/>
        <w:t>经本公司第三届董事会第十次会议、</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23</w:t>
      </w:r>
      <w:r>
        <w:rPr/>
        <w:t>日股东大会决议通过，本公司以</w:t>
      </w:r>
      <w:r>
        <w:rPr>
          <w:rFonts w:ascii="宋体" w:hAnsi="宋体" w:cs="宋体" w:eastAsia="宋体" w:hint="default"/>
        </w:rPr>
        <w:t>2012</w:t>
      </w:r>
      <w:r>
        <w:rPr/>
        <w:t>年末总股本为</w:t>
      </w:r>
      <w:r>
        <w:rPr>
          <w:w w:val="100"/>
        </w:rPr>
        <w:t> </w:t>
      </w:r>
      <w:r>
        <w:rPr/>
        <w:t>基数，以未分配利润向全体股东每</w:t>
      </w:r>
      <w:r>
        <w:rPr>
          <w:rFonts w:ascii="宋体" w:hAnsi="宋体" w:cs="宋体" w:eastAsia="宋体" w:hint="default"/>
        </w:rPr>
        <w:t>10</w:t>
      </w:r>
      <w:r>
        <w:rPr/>
        <w:t>股送</w:t>
      </w:r>
      <w:r>
        <w:rPr>
          <w:rFonts w:ascii="宋体" w:hAnsi="宋体" w:cs="宋体" w:eastAsia="宋体" w:hint="default"/>
        </w:rPr>
        <w:t>2</w:t>
      </w:r>
      <w:r>
        <w:rPr/>
        <w:t>股红股。</w:t>
      </w:r>
    </w:p>
    <w:p>
      <w:pPr>
        <w:pStyle w:val="Heading4"/>
        <w:spacing w:line="338" w:lineRule="auto" w:before="30"/>
        <w:ind w:right="148" w:firstLine="420"/>
        <w:jc w:val="both"/>
      </w:pPr>
      <w:r>
        <w:rPr/>
        <w:t>经本公司第三届董事会第十八次会议、</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日股东大会决议通过，本公司以</w:t>
      </w:r>
      <w:r>
        <w:rPr>
          <w:rFonts w:ascii="宋体" w:hAnsi="宋体" w:cs="宋体" w:eastAsia="宋体" w:hint="default"/>
        </w:rPr>
        <w:t>2013</w:t>
      </w:r>
      <w:r>
        <w:rPr/>
        <w:t>年末总股本</w:t>
      </w:r>
      <w:r>
        <w:rPr>
          <w:w w:val="100"/>
        </w:rPr>
        <w:t> </w:t>
      </w:r>
      <w:r>
        <w:rPr/>
        <w:t>为基数，以未分配利润向全体股东每</w:t>
      </w:r>
      <w:r>
        <w:rPr>
          <w:rFonts w:ascii="宋体" w:hAnsi="宋体" w:cs="宋体" w:eastAsia="宋体" w:hint="default"/>
        </w:rPr>
        <w:t>10</w:t>
      </w:r>
      <w:r>
        <w:rPr/>
        <w:t>股送</w:t>
      </w:r>
      <w:r>
        <w:rPr>
          <w:rFonts w:ascii="宋体" w:hAnsi="宋体" w:cs="宋体" w:eastAsia="宋体" w:hint="default"/>
        </w:rPr>
        <w:t>2</w:t>
      </w:r>
      <w:r>
        <w:rPr/>
        <w:t>股红股。</w:t>
      </w:r>
    </w:p>
    <w:p>
      <w:pPr>
        <w:pStyle w:val="Heading4"/>
        <w:spacing w:line="338" w:lineRule="auto" w:before="30"/>
        <w:ind w:right="151" w:firstLine="420"/>
        <w:jc w:val="both"/>
      </w:pP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4</w:t>
      </w:r>
      <w:r>
        <w:rPr/>
        <w:t>日，本公司取得变更后的企业法人营业执照，注册号为：</w:t>
      </w:r>
      <w:r>
        <w:rPr>
          <w:rFonts w:ascii="宋体" w:hAnsi="宋体" w:cs="宋体" w:eastAsia="宋体" w:hint="default"/>
        </w:rPr>
        <w:t>440101000000880</w:t>
      </w:r>
      <w:r>
        <w:rPr/>
        <w:t>。注册地为广</w:t>
      </w:r>
      <w:r>
        <w:rPr>
          <w:w w:val="100"/>
        </w:rPr>
        <w:t> </w:t>
      </w:r>
      <w:r>
        <w:rPr/>
        <w:t>州市萝岗区科学城科林路</w:t>
      </w:r>
      <w:r>
        <w:rPr>
          <w:rFonts w:ascii="宋体" w:hAnsi="宋体" w:cs="宋体" w:eastAsia="宋体" w:hint="default"/>
        </w:rPr>
        <w:t>9</w:t>
      </w:r>
      <w:r>
        <w:rPr/>
        <w:t>号。</w:t>
      </w:r>
    </w:p>
    <w:p>
      <w:pPr>
        <w:pStyle w:val="Heading4"/>
        <w:spacing w:line="338" w:lineRule="auto" w:before="30"/>
        <w:ind w:left="573" w:right="0" w:hanging="3"/>
        <w:jc w:val="left"/>
      </w:pPr>
      <w:r>
        <w:rPr/>
        <w:t>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日，本公司注册资本为人民币</w:t>
      </w:r>
      <w:r>
        <w:rPr>
          <w:rFonts w:ascii="宋体" w:hAnsi="宋体" w:cs="宋体" w:eastAsia="宋体" w:hint="default"/>
        </w:rPr>
        <w:t>896,684,767.00</w:t>
      </w:r>
      <w:r>
        <w:rPr/>
        <w:t>元，总股本为</w:t>
      </w:r>
      <w:r>
        <w:rPr>
          <w:rFonts w:ascii="宋体" w:hAnsi="宋体" w:cs="宋体" w:eastAsia="宋体" w:hint="default"/>
        </w:rPr>
        <w:t>896,684,767</w:t>
      </w:r>
      <w:r>
        <w:rPr/>
        <w:t>股。</w:t>
      </w:r>
      <w:r>
        <w:rPr>
          <w:spacing w:val="-3"/>
          <w:w w:val="100"/>
        </w:rPr>
        <w:t> </w:t>
      </w:r>
      <w:r>
        <w:rPr>
          <w:spacing w:val="-2"/>
        </w:rPr>
        <w:t>本公司经营范围：计算机、通信和其他电子设备制造业。计算机应用电子设备制造；自动售货机、售</w:t>
      </w:r>
    </w:p>
    <w:p>
      <w:pPr>
        <w:pStyle w:val="Heading4"/>
        <w:spacing w:line="338" w:lineRule="auto" w:before="30"/>
        <w:ind w:right="147"/>
        <w:jc w:val="both"/>
      </w:pPr>
      <w:r>
        <w:rPr>
          <w:spacing w:val="-2"/>
        </w:rPr>
        <w:t>票机、柜员机及零配件的批发；技术进出口；货物进出口（专营专控商品除外）；计算器及货币专用设备</w:t>
      </w:r>
      <w:r>
        <w:rPr>
          <w:spacing w:val="-42"/>
        </w:rPr>
        <w:t> </w:t>
      </w:r>
      <w:r>
        <w:rPr>
          <w:spacing w:val="-42"/>
        </w:rPr>
      </w:r>
      <w:r>
        <w:rPr>
          <w:spacing w:val="-2"/>
        </w:rPr>
        <w:t>制造；信息系统集成服务；信息技术咨询服务；软件开发；计算机技术开发、技术服务；计算机和辅助设</w:t>
      </w:r>
    </w:p>
    <w:p>
      <w:pPr>
        <w:spacing w:after="0" w:line="338" w:lineRule="auto"/>
        <w:jc w:val="both"/>
        <w:sectPr>
          <w:headerReference w:type="default" r:id="rId38"/>
          <w:footerReference w:type="default" r:id="rId39"/>
          <w:pgSz w:w="11910" w:h="16840"/>
          <w:pgMar w:header="877" w:footer="982" w:top="1100" w:bottom="1180" w:left="980" w:right="980"/>
          <w:pgNumType w:start="100"/>
        </w:sectPr>
      </w:pPr>
    </w:p>
    <w:p>
      <w:pPr>
        <w:spacing w:line="240" w:lineRule="auto" w:before="10"/>
        <w:rPr>
          <w:rFonts w:ascii="宋体" w:hAnsi="宋体" w:cs="宋体" w:eastAsia="宋体" w:hint="default"/>
          <w:sz w:val="23"/>
          <w:szCs w:val="23"/>
        </w:rPr>
      </w:pPr>
    </w:p>
    <w:p>
      <w:pPr>
        <w:pStyle w:val="Heading4"/>
        <w:spacing w:line="240" w:lineRule="auto" w:before="36"/>
        <w:ind w:right="101"/>
        <w:jc w:val="left"/>
      </w:pPr>
      <w:bookmarkStart w:name="1、编制基础" w:id="161"/>
      <w:bookmarkEnd w:id="161"/>
      <w:r>
        <w:rPr/>
      </w:r>
      <w:bookmarkStart w:name="2、持续经营" w:id="162"/>
      <w:bookmarkEnd w:id="162"/>
      <w:r>
        <w:rPr/>
      </w:r>
      <w:r>
        <w:rPr/>
        <w:t>备修理。</w:t>
      </w:r>
    </w:p>
    <w:p>
      <w:pPr>
        <w:pStyle w:val="Heading4"/>
        <w:spacing w:line="340" w:lineRule="auto" w:before="114"/>
        <w:ind w:left="573" w:right="101" w:hanging="1"/>
        <w:jc w:val="left"/>
      </w:pPr>
      <w:r>
        <w:rPr>
          <w:spacing w:val="-2"/>
        </w:rPr>
        <w:t>本公司的母公司为广州无线电集团有限公司，本公司的实际控制人为广州市国资委。</w:t>
      </w:r>
      <w:r>
        <w:rPr>
          <w:spacing w:val="-35"/>
        </w:rPr>
        <w:t> </w:t>
      </w:r>
      <w:r>
        <w:rPr>
          <w:spacing w:val="-35"/>
        </w:rPr>
      </w:r>
      <w:r>
        <w:rPr/>
        <w:t>本财务报表业经公司董事会于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24</w:t>
      </w:r>
      <w:r>
        <w:rPr/>
        <w:t>日批准报出。</w:t>
      </w:r>
    </w:p>
    <w:p>
      <w:pPr>
        <w:pStyle w:val="Heading4"/>
        <w:spacing w:line="692" w:lineRule="exact" w:before="17"/>
        <w:ind w:left="572" w:right="101" w:hanging="1"/>
        <w:jc w:val="left"/>
      </w:pPr>
      <w:r>
        <w:rPr>
          <w:rFonts w:ascii="宋体" w:hAnsi="宋体" w:cs="宋体" w:eastAsia="宋体" w:hint="default"/>
          <w:b/>
          <w:bCs/>
        </w:rPr>
        <w:t>2</w:t>
      </w:r>
      <w:bookmarkStart w:name="2、合并财务报表范围" w:id="163"/>
      <w:bookmarkEnd w:id="163"/>
      <w:r>
        <w:rPr>
          <w:rFonts w:ascii="宋体" w:hAnsi="宋体" w:cs="宋体" w:eastAsia="宋体" w:hint="default"/>
          <w:b/>
          <w:bCs/>
        </w:rPr>
      </w:r>
      <w:r>
        <w:rPr>
          <w:rFonts w:ascii="宋体" w:hAnsi="宋体" w:cs="宋体" w:eastAsia="宋体" w:hint="default"/>
          <w:b/>
          <w:bCs/>
        </w:rPr>
        <w:t>、合并财务报表范围</w:t>
      </w:r>
      <w:r>
        <w:rPr>
          <w:rFonts w:ascii="宋体" w:hAnsi="宋体" w:cs="宋体" w:eastAsia="宋体" w:hint="default"/>
          <w:b/>
          <w:bCs/>
          <w:spacing w:val="-103"/>
        </w:rPr>
        <w:t> </w:t>
      </w: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日止，本公司合并财务报表范围内子公司共有</w:t>
      </w:r>
      <w:r>
        <w:rPr>
          <w:rFonts w:ascii="宋体" w:hAnsi="宋体" w:cs="宋体" w:eastAsia="宋体" w:hint="default"/>
          <w:spacing w:val="-2"/>
        </w:rPr>
        <w:t>40</w:t>
      </w:r>
      <w:r>
        <w:rPr>
          <w:spacing w:val="-2"/>
        </w:rPr>
        <w:t>家（广州广电银通金融电子科技有</w:t>
      </w:r>
    </w:p>
    <w:p>
      <w:pPr>
        <w:pStyle w:val="Heading4"/>
        <w:tabs>
          <w:tab w:pos="7382" w:val="left" w:leader="none"/>
        </w:tabs>
        <w:spacing w:line="340" w:lineRule="auto" w:before="5"/>
        <w:ind w:left="153" w:right="101"/>
        <w:jc w:val="left"/>
      </w:pPr>
      <w:r>
        <w:rPr>
          <w:spacing w:val="-2"/>
        </w:rPr>
        <w:t>限公司、深圳广电银通金融电子科技有限公司、深圳鹏通金融服务有限公司、石家庄市银通金融服务有限</w:t>
      </w:r>
      <w:r>
        <w:rPr>
          <w:spacing w:val="-44"/>
        </w:rPr>
        <w:t> </w:t>
      </w:r>
      <w:r>
        <w:rPr>
          <w:spacing w:val="-44"/>
        </w:rPr>
      </w:r>
      <w:r>
        <w:rPr>
          <w:spacing w:val="-5"/>
        </w:rPr>
        <w:t>公司、上海欣辰通金融电子科技有限公司、宜昌宜通金融服务有限公司、云南云通金融外包服务有限公司、 </w:t>
      </w:r>
      <w:r>
        <w:rPr>
          <w:spacing w:val="-5"/>
        </w:rPr>
      </w:r>
      <w:r>
        <w:rPr>
          <w:spacing w:val="-2"/>
        </w:rPr>
        <w:t>南宁盈通金融电子科技有限公司、辽宁辽通金融电子科技有限公司、河南商通金融服务外包有限公司、河</w:t>
      </w:r>
      <w:r>
        <w:rPr>
          <w:spacing w:val="-43"/>
        </w:rPr>
        <w:t> </w:t>
      </w:r>
      <w:r>
        <w:rPr>
          <w:spacing w:val="-43"/>
        </w:rPr>
      </w:r>
      <w:r>
        <w:rPr>
          <w:spacing w:val="-2"/>
        </w:rPr>
        <w:t>北晨通金融电子科技有限公司、南阳宛通金融电子科技有限公司、山西尚通金融外包服务有限公司、内蒙</w:t>
      </w:r>
      <w:r>
        <w:rPr>
          <w:spacing w:val="-44"/>
        </w:rPr>
        <w:t> </w:t>
      </w:r>
      <w:r>
        <w:rPr>
          <w:spacing w:val="-44"/>
        </w:rPr>
      </w:r>
      <w:r>
        <w:rPr>
          <w:spacing w:val="-3"/>
        </w:rPr>
        <w:t>古广电银通安保投资有限公司、广州穗通金融服务有限公司、广州支点创业投资有限公司、广州中智融通</w:t>
      </w:r>
      <w:r>
        <w:rPr>
          <w:spacing w:val="-7"/>
        </w:rPr>
        <w:t> </w:t>
      </w:r>
      <w:r>
        <w:rPr>
          <w:spacing w:val="-7"/>
        </w:rPr>
      </w:r>
      <w:r>
        <w:rPr>
          <w:spacing w:val="-2"/>
        </w:rPr>
        <w:t>金融科技有限公司、广州广电银通安保投资有限公司、宜昌市金牛押运护卫保安服务有限责任公司、商洛</w:t>
      </w:r>
      <w:r>
        <w:rPr>
          <w:spacing w:val="-42"/>
        </w:rPr>
        <w:t> </w:t>
      </w:r>
      <w:r>
        <w:rPr>
          <w:spacing w:val="-42"/>
        </w:rPr>
      </w:r>
      <w:r>
        <w:rPr>
          <w:spacing w:val="-2"/>
        </w:rPr>
        <w:t>市金盾押运有限责任公司、武威市神威保安守押有限责任公司、邵阳市保安服务有限责任公司、兴安盟威</w:t>
      </w:r>
      <w:r>
        <w:rPr>
          <w:spacing w:val="-43"/>
        </w:rPr>
        <w:t> </w:t>
      </w:r>
      <w:r>
        <w:rPr>
          <w:spacing w:val="-43"/>
        </w:rPr>
      </w:r>
      <w:r>
        <w:rPr>
          <w:spacing w:val="-2"/>
        </w:rPr>
        <w:t>信保安守押服务有限责任公司、巴彦淖尔天力保押有限责任公司、广州广电汇通金融服务有限公司、广州</w:t>
      </w:r>
      <w:r>
        <w:rPr>
          <w:spacing w:val="-45"/>
        </w:rPr>
        <w:t> </w:t>
      </w:r>
      <w:r>
        <w:rPr>
          <w:spacing w:val="-45"/>
        </w:rPr>
      </w:r>
      <w:r>
        <w:rPr>
          <w:spacing w:val="-2"/>
        </w:rPr>
        <w:t>广电运通信息科技有限公司、北京广电运通科技有限公司、广州市龙源环保科技有限公司、赣州中联环保</w:t>
      </w:r>
      <w:r>
        <w:rPr>
          <w:spacing w:val="-43"/>
        </w:rPr>
        <w:t> </w:t>
      </w:r>
      <w:r>
        <w:rPr>
          <w:spacing w:val="-43"/>
        </w:rPr>
      </w:r>
      <w:r>
        <w:rPr>
          <w:spacing w:val="-2"/>
        </w:rPr>
        <w:t>科技开发有限公司、赣州中联电镀原料配送经营服务有限公司、赣州龙源环保产业经营管理有限公司、深</w:t>
      </w:r>
      <w:r>
        <w:rPr>
          <w:spacing w:val="-42"/>
        </w:rPr>
        <w:t> </w:t>
      </w:r>
      <w:r>
        <w:rPr>
          <w:spacing w:val="-42"/>
        </w:rPr>
      </w:r>
      <w:r>
        <w:rPr>
          <w:spacing w:val="22"/>
        </w:rPr>
        <w:t>圳市创自技术有限公司、深圳市创自软件有限公司、广东榕通科技服务有限公司、</w:t>
      </w:r>
      <w:r>
        <w:rPr>
          <w:spacing w:val="-74"/>
        </w:rPr>
        <w:t> </w:t>
      </w:r>
      <w:r>
        <w:rPr>
          <w:rFonts w:ascii="宋体" w:hAnsi="宋体" w:cs="宋体" w:eastAsia="宋体" w:hint="default"/>
        </w:rPr>
        <w:t>GRG</w:t>
      </w:r>
      <w:r>
        <w:rPr>
          <w:rFonts w:ascii="宋体" w:hAnsi="宋体" w:cs="宋体" w:eastAsia="宋体" w:hint="default"/>
          <w:spacing w:val="62"/>
        </w:rPr>
        <w:t> </w:t>
      </w:r>
      <w:r>
        <w:rPr>
          <w:rFonts w:ascii="宋体" w:hAnsi="宋体" w:cs="宋体" w:eastAsia="宋体" w:hint="default"/>
        </w:rPr>
        <w:t>Banking</w:t>
      </w:r>
      <w:r>
        <w:rPr>
          <w:rFonts w:ascii="宋体" w:hAnsi="宋体" w:cs="宋体" w:eastAsia="宋体" w:hint="default"/>
          <w:spacing w:val="-70"/>
        </w:rPr>
        <w:t> </w:t>
      </w:r>
      <w:r>
        <w:rPr>
          <w:rFonts w:ascii="宋体" w:hAnsi="宋体" w:cs="宋体" w:eastAsia="宋体" w:hint="default"/>
          <w:spacing w:val="-70"/>
        </w:rPr>
      </w:r>
      <w:r>
        <w:rPr>
          <w:rFonts w:ascii="宋体" w:hAnsi="宋体" w:cs="宋体" w:eastAsia="宋体" w:hint="default"/>
          <w:spacing w:val="-3"/>
        </w:rPr>
        <w:t>Equipment(HK)Co.Limited</w:t>
      </w:r>
      <w:r>
        <w:rPr>
          <w:spacing w:val="-3"/>
        </w:rPr>
        <w:t>、</w:t>
      </w:r>
      <w:r>
        <w:rPr>
          <w:rFonts w:ascii="宋体" w:hAnsi="宋体" w:cs="宋体" w:eastAsia="宋体" w:hint="default"/>
          <w:spacing w:val="-3"/>
        </w:rPr>
        <w:t>GRG</w:t>
      </w:r>
      <w:r>
        <w:rPr>
          <w:rFonts w:ascii="宋体" w:hAnsi="宋体" w:cs="宋体" w:eastAsia="宋体" w:hint="default"/>
          <w:spacing w:val="-51"/>
        </w:rPr>
        <w:t> </w:t>
      </w:r>
      <w:r>
        <w:rPr>
          <w:rFonts w:ascii="宋体" w:hAnsi="宋体" w:cs="宋体" w:eastAsia="宋体" w:hint="default"/>
        </w:rPr>
        <w:t>Hongkong</w:t>
      </w:r>
      <w:r>
        <w:rPr>
          <w:rFonts w:ascii="宋体" w:hAnsi="宋体" w:cs="宋体" w:eastAsia="宋体" w:hint="default"/>
          <w:spacing w:val="-51"/>
        </w:rPr>
        <w:t> </w:t>
      </w:r>
      <w:r>
        <w:rPr>
          <w:rFonts w:ascii="宋体" w:hAnsi="宋体" w:cs="宋体" w:eastAsia="宋体" w:hint="default"/>
        </w:rPr>
        <w:t>Mexico,</w:t>
      </w:r>
      <w:r>
        <w:rPr>
          <w:rFonts w:ascii="宋体" w:hAnsi="宋体" w:cs="宋体" w:eastAsia="宋体" w:hint="default"/>
          <w:spacing w:val="-48"/>
        </w:rPr>
        <w:t> </w:t>
      </w:r>
      <w:r>
        <w:rPr>
          <w:rFonts w:ascii="宋体" w:hAnsi="宋体" w:cs="宋体" w:eastAsia="宋体" w:hint="default"/>
        </w:rPr>
        <w:t>S.A.</w:t>
      </w:r>
      <w:r>
        <w:rPr>
          <w:rFonts w:ascii="宋体" w:hAnsi="宋体" w:cs="宋体" w:eastAsia="宋体" w:hint="default"/>
          <w:spacing w:val="-48"/>
        </w:rPr>
        <w:t> </w:t>
      </w:r>
      <w:r>
        <w:rPr>
          <w:rFonts w:ascii="宋体" w:hAnsi="宋体" w:cs="宋体" w:eastAsia="宋体" w:hint="default"/>
          <w:spacing w:val="-8"/>
        </w:rPr>
        <w:t>DE</w:t>
      </w:r>
      <w:r>
        <w:rPr>
          <w:spacing w:val="-8"/>
        </w:rPr>
        <w:t>、</w:t>
      </w:r>
      <w:r>
        <w:rPr>
          <w:rFonts w:ascii="宋体" w:hAnsi="宋体" w:cs="宋体" w:eastAsia="宋体" w:hint="default"/>
          <w:spacing w:val="-8"/>
        </w:rPr>
        <w:t>Global</w:t>
      </w:r>
      <w:r>
        <w:rPr>
          <w:rFonts w:ascii="宋体" w:hAnsi="宋体" w:cs="宋体" w:eastAsia="宋体" w:hint="default"/>
          <w:spacing w:val="-48"/>
        </w:rPr>
        <w:t> </w:t>
      </w:r>
      <w:r>
        <w:rPr>
          <w:rFonts w:ascii="宋体" w:hAnsi="宋体" w:cs="宋体" w:eastAsia="宋体" w:hint="default"/>
        </w:rPr>
        <w:t>ATM</w:t>
      </w:r>
      <w:r>
        <w:rPr>
          <w:rFonts w:ascii="宋体" w:hAnsi="宋体" w:cs="宋体" w:eastAsia="宋体" w:hint="default"/>
          <w:spacing w:val="-48"/>
        </w:rPr>
        <w:t> </w:t>
      </w:r>
      <w:r>
        <w:rPr>
          <w:rFonts w:ascii="宋体" w:hAnsi="宋体" w:cs="宋体" w:eastAsia="宋体" w:hint="default"/>
        </w:rPr>
        <w:t>Parts</w:t>
        <w:tab/>
      </w:r>
      <w:r>
        <w:rPr>
          <w:rFonts w:ascii="宋体" w:hAnsi="宋体" w:cs="宋体" w:eastAsia="宋体" w:hint="default"/>
          <w:spacing w:val="-5"/>
        </w:rPr>
        <w:t>Co.,Limited</w:t>
      </w:r>
      <w:r>
        <w:rPr>
          <w:spacing w:val="-5"/>
        </w:rPr>
        <w:t>、</w:t>
      </w:r>
      <w:r>
        <w:rPr>
          <w:rFonts w:ascii="宋体" w:hAnsi="宋体" w:cs="宋体" w:eastAsia="宋体" w:hint="default"/>
          <w:spacing w:val="-5"/>
        </w:rPr>
        <w:t>GRG</w:t>
      </w:r>
      <w:r>
        <w:rPr>
          <w:rFonts w:ascii="宋体" w:hAnsi="宋体" w:cs="宋体" w:eastAsia="宋体" w:hint="default"/>
          <w:spacing w:val="-41"/>
        </w:rPr>
        <w:t> </w:t>
      </w:r>
      <w:r>
        <w:rPr>
          <w:rFonts w:ascii="宋体" w:hAnsi="宋体" w:cs="宋体" w:eastAsia="宋体" w:hint="default"/>
        </w:rPr>
        <w:t>Turkiye</w:t>
      </w:r>
      <w:r>
        <w:rPr>
          <w:rFonts w:ascii="宋体" w:hAnsi="宋体" w:cs="宋体" w:eastAsia="宋体" w:hint="default"/>
          <w:w w:val="100"/>
        </w:rPr>
        <w:t> </w:t>
      </w:r>
      <w:r>
        <w:rPr>
          <w:rFonts w:ascii="宋体" w:hAnsi="宋体" w:cs="宋体" w:eastAsia="宋体" w:hint="default"/>
        </w:rPr>
        <w:t>Bankacilik Ekipmanlari Ltd</w:t>
      </w:r>
      <w:r>
        <w:rPr/>
        <w:t>、</w:t>
      </w:r>
      <w:r>
        <w:rPr>
          <w:rFonts w:ascii="宋体" w:hAnsi="宋体" w:cs="宋体" w:eastAsia="宋体" w:hint="default"/>
        </w:rPr>
        <w:t>GRG Banking Equipment (HK) Europe</w:t>
      </w:r>
      <w:r>
        <w:rPr/>
        <w:t>、</w:t>
      </w:r>
      <w:r>
        <w:rPr>
          <w:rFonts w:ascii="宋体" w:hAnsi="宋体" w:cs="宋体" w:eastAsia="宋体" w:hint="default"/>
        </w:rPr>
        <w:t>GRG Deutschland</w:t>
      </w:r>
      <w:r>
        <w:rPr>
          <w:rFonts w:ascii="宋体" w:hAnsi="宋体" w:cs="宋体" w:eastAsia="宋体" w:hint="default"/>
          <w:spacing w:val="-13"/>
        </w:rPr>
        <w:t> </w:t>
      </w:r>
      <w:r>
        <w:rPr>
          <w:rFonts w:ascii="宋体" w:hAnsi="宋体" w:cs="宋体" w:eastAsia="宋体" w:hint="default"/>
        </w:rPr>
        <w:t>GmbH</w:t>
      </w:r>
      <w:r>
        <w:rPr/>
        <w:t>）。</w:t>
      </w:r>
    </w:p>
    <w:p>
      <w:pPr>
        <w:pStyle w:val="Heading4"/>
        <w:spacing w:line="338" w:lineRule="auto" w:before="69"/>
        <w:ind w:left="153" w:right="101" w:firstLine="419"/>
        <w:jc w:val="left"/>
      </w:pPr>
      <w:r>
        <w:rPr>
          <w:spacing w:val="-2"/>
        </w:rPr>
        <w:t>本期合并财务报表范围及其变化情况详见本附注</w:t>
      </w:r>
      <w:r>
        <w:rPr>
          <w:rFonts w:ascii="宋体" w:hAnsi="宋体" w:cs="宋体" w:eastAsia="宋体" w:hint="default"/>
          <w:spacing w:val="-2"/>
        </w:rPr>
        <w:t>“</w:t>
      </w:r>
      <w:r>
        <w:rPr>
          <w:spacing w:val="-2"/>
        </w:rPr>
        <w:t>八、合并范围的变更</w:t>
      </w:r>
      <w:r>
        <w:rPr>
          <w:rFonts w:ascii="宋体" w:hAnsi="宋体" w:cs="宋体" w:eastAsia="宋体" w:hint="default"/>
          <w:spacing w:val="-2"/>
        </w:rPr>
        <w:t>”</w:t>
      </w:r>
      <w:r>
        <w:rPr>
          <w:spacing w:val="-2"/>
        </w:rPr>
        <w:t>和</w:t>
      </w:r>
      <w:r>
        <w:rPr>
          <w:rFonts w:ascii="宋体" w:hAnsi="宋体" w:cs="宋体" w:eastAsia="宋体" w:hint="default"/>
          <w:spacing w:val="-2"/>
        </w:rPr>
        <w:t>“</w:t>
      </w:r>
      <w:r>
        <w:rPr>
          <w:spacing w:val="-2"/>
        </w:rPr>
        <w:t>九、在其他主体中的权</w:t>
      </w:r>
      <w:r>
        <w:rPr>
          <w:w w:val="100"/>
        </w:rPr>
        <w:t> </w:t>
      </w:r>
      <w:r>
        <w:rPr/>
        <w:t>益</w:t>
      </w:r>
      <w:r>
        <w:rPr>
          <w:rFonts w:ascii="宋体" w:hAnsi="宋体" w:cs="宋体" w:eastAsia="宋体" w:hint="default"/>
        </w:rPr>
        <w:t>”</w:t>
      </w:r>
      <w:r>
        <w:rPr/>
        <w:t>。</w:t>
      </w:r>
    </w:p>
    <w:p>
      <w:pPr>
        <w:spacing w:line="240" w:lineRule="auto" w:before="3"/>
        <w:rPr>
          <w:rFonts w:ascii="宋体" w:hAnsi="宋体" w:cs="宋体" w:eastAsia="宋体" w:hint="default"/>
          <w:sz w:val="20"/>
          <w:szCs w:val="20"/>
        </w:rPr>
      </w:pPr>
    </w:p>
    <w:p>
      <w:pPr>
        <w:pStyle w:val="Heading2"/>
        <w:spacing w:line="240" w:lineRule="auto"/>
        <w:ind w:left="572" w:right="101"/>
        <w:jc w:val="left"/>
        <w:rPr>
          <w:b w:val="0"/>
          <w:bCs w:val="0"/>
        </w:rPr>
      </w:pPr>
      <w:r>
        <w:rPr/>
        <w:t>四、财务报表的编制基础</w:t>
      </w:r>
      <w:r>
        <w:rPr>
          <w:b w:val="0"/>
          <w:bCs w:val="0"/>
        </w:rPr>
      </w:r>
    </w:p>
    <w:p>
      <w:pPr>
        <w:pStyle w:val="Heading4"/>
        <w:spacing w:line="652" w:lineRule="exact" w:before="49"/>
        <w:ind w:left="572" w:right="101"/>
        <w:jc w:val="left"/>
      </w:pPr>
      <w:r>
        <w:rPr>
          <w:rFonts w:ascii="宋体" w:hAnsi="宋体" w:cs="宋体" w:eastAsia="宋体" w:hint="default"/>
          <w:b/>
          <w:bCs/>
        </w:rPr>
        <w:t>1</w:t>
      </w:r>
      <w:r>
        <w:rPr>
          <w:rFonts w:ascii="宋体" w:hAnsi="宋体" w:cs="宋体" w:eastAsia="宋体" w:hint="default"/>
          <w:b/>
          <w:bCs/>
        </w:rPr>
        <w:t>、编制基础</w:t>
      </w:r>
      <w:r>
        <w:rPr>
          <w:rFonts w:ascii="宋体" w:hAnsi="宋体" w:cs="宋体" w:eastAsia="宋体" w:hint="default"/>
          <w:b/>
          <w:bCs/>
          <w:w w:val="100"/>
        </w:rPr>
        <w:t> </w:t>
      </w:r>
      <w:r>
        <w:rPr>
          <w:spacing w:val="-3"/>
        </w:rPr>
        <w:t>公司以持续经营为基础，根据实际发生的交易和事项，按照财政部颁布的《企业会计准则</w:t>
      </w:r>
      <w:bookmarkStart w:name="四、财务报表的编制基础" w:id="164"/>
      <w:bookmarkEnd w:id="164"/>
      <w:r>
        <w:rPr>
          <w:spacing w:val="-3"/>
        </w:rPr>
      </w:r>
      <w:r>
        <w:rPr>
          <w:rFonts w:ascii="宋体" w:hAnsi="宋体" w:cs="宋体" w:eastAsia="宋体" w:hint="default"/>
          <w:spacing w:val="-3"/>
        </w:rPr>
        <w:t>——</w:t>
      </w:r>
      <w:r>
        <w:rPr>
          <w:spacing w:val="-3"/>
        </w:rPr>
        <w:t>基本准</w:t>
      </w:r>
      <w:r>
        <w:rPr/>
      </w:r>
    </w:p>
    <w:p>
      <w:pPr>
        <w:pStyle w:val="Heading4"/>
        <w:spacing w:line="340" w:lineRule="auto" w:before="13"/>
        <w:ind w:right="101"/>
        <w:jc w:val="left"/>
      </w:pPr>
      <w:r>
        <w:rPr/>
        <w:t>则》和各项具体会计准则、企业会计准则应用指南、企业会计准则解释及其他相关规定</w:t>
      </w:r>
      <w:r>
        <w:rPr>
          <w:rFonts w:ascii="宋体" w:hAnsi="宋体" w:cs="宋体" w:eastAsia="宋体" w:hint="default"/>
        </w:rPr>
        <w:t>(</w:t>
      </w:r>
      <w:r>
        <w:rPr/>
        <w:t>以下合称</w:t>
      </w:r>
      <w:r>
        <w:rPr>
          <w:rFonts w:ascii="宋体" w:hAnsi="宋体" w:cs="宋体" w:eastAsia="宋体" w:hint="default"/>
        </w:rPr>
        <w:t>“</w:t>
      </w:r>
      <w:r>
        <w:rPr/>
        <w:t>企业</w:t>
      </w:r>
      <w:r>
        <w:rPr>
          <w:spacing w:val="-3"/>
          <w:w w:val="100"/>
        </w:rPr>
        <w:t> </w:t>
      </w:r>
      <w:r>
        <w:rPr>
          <w:spacing w:val="-2"/>
        </w:rPr>
        <w:t>会计准则</w:t>
      </w:r>
      <w:r>
        <w:rPr>
          <w:rFonts w:ascii="宋体" w:hAnsi="宋体" w:cs="宋体" w:eastAsia="宋体" w:hint="default"/>
          <w:spacing w:val="-2"/>
        </w:rPr>
        <w:t>”)</w:t>
      </w:r>
      <w:r>
        <w:rPr>
          <w:spacing w:val="-2"/>
        </w:rPr>
        <w:t>，以及中国证券监督管理委员会《公开发行证券的公司信息披露编报规则第</w:t>
      </w:r>
      <w:r>
        <w:rPr>
          <w:rFonts w:ascii="宋体" w:hAnsi="宋体" w:cs="宋体" w:eastAsia="宋体" w:hint="default"/>
          <w:spacing w:val="-2"/>
        </w:rPr>
        <w:t>15</w:t>
      </w:r>
      <w:r>
        <w:rPr>
          <w:rFonts w:ascii="宋体" w:hAnsi="宋体" w:cs="宋体" w:eastAsia="宋体" w:hint="default"/>
          <w:spacing w:val="44"/>
        </w:rPr>
        <w:t> </w:t>
      </w:r>
      <w:r>
        <w:rPr>
          <w:spacing w:val="-2"/>
        </w:rPr>
        <w:t>号</w:t>
      </w:r>
      <w:r>
        <w:rPr>
          <w:rFonts w:ascii="宋体" w:hAnsi="宋体" w:cs="宋体" w:eastAsia="宋体" w:hint="default"/>
          <w:spacing w:val="-2"/>
        </w:rPr>
        <w:t>——</w:t>
      </w:r>
      <w:r>
        <w:rPr>
          <w:spacing w:val="-2"/>
        </w:rPr>
        <w:t>财务报</w:t>
      </w:r>
      <w:r>
        <w:rPr>
          <w:spacing w:val="-94"/>
        </w:rPr>
        <w:t> </w:t>
      </w:r>
      <w:r>
        <w:rPr/>
        <w:t>告的一般规定》的披露规定编制财务报表。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568" w:lineRule="auto" w:before="0"/>
        <w:ind w:left="572" w:right="392"/>
        <w:jc w:val="left"/>
      </w:pPr>
      <w:r>
        <w:rPr>
          <w:rFonts w:ascii="宋体" w:hAnsi="宋体" w:cs="宋体" w:eastAsia="宋体" w:hint="default"/>
          <w:b/>
          <w:bCs/>
        </w:rPr>
        <w:t>2</w:t>
      </w:r>
      <w:r>
        <w:rPr>
          <w:rFonts w:ascii="宋体" w:hAnsi="宋体" w:cs="宋体" w:eastAsia="宋体" w:hint="default"/>
          <w:b/>
          <w:bCs/>
        </w:rPr>
        <w:t>、持续经营</w:t>
      </w:r>
      <w:r>
        <w:rPr>
          <w:rFonts w:ascii="宋体" w:hAnsi="宋体" w:cs="宋体" w:eastAsia="宋体" w:hint="default"/>
          <w:b/>
          <w:bCs/>
          <w:w w:val="100"/>
        </w:rPr>
        <w:t> </w:t>
      </w:r>
      <w:r>
        <w:rPr>
          <w:spacing w:val="-2"/>
        </w:rPr>
        <w:t>公司自本报告期末至少</w:t>
      </w:r>
      <w:r>
        <w:rPr>
          <w:rFonts w:ascii="宋体" w:hAnsi="宋体" w:cs="宋体" w:eastAsia="宋体" w:hint="default"/>
          <w:spacing w:val="-2"/>
        </w:rPr>
        <w:t>12</w:t>
      </w:r>
      <w:r>
        <w:rPr>
          <w:spacing w:val="-2"/>
        </w:rPr>
        <w:t>个月内具备持续经营能力，无影响持续经营能力的重大事项。</w:t>
      </w:r>
    </w:p>
    <w:p>
      <w:pPr>
        <w:spacing w:after="0" w:line="568" w:lineRule="auto"/>
        <w:jc w:val="left"/>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left="572" w:right="0"/>
        <w:jc w:val="left"/>
        <w:rPr>
          <w:b w:val="0"/>
          <w:bCs w:val="0"/>
        </w:rPr>
      </w:pPr>
      <w:bookmarkStart w:name="6、合并财务报表的编制方法" w:id="165"/>
      <w:bookmarkEnd w:id="165"/>
      <w:r>
        <w:rPr>
          <w:b w:val="0"/>
          <w:bCs w:val="0"/>
        </w:rPr>
      </w:r>
      <w:r>
        <w:rPr/>
        <w:t>五、重要会计政策及会计估计</w:t>
      </w:r>
      <w:r>
        <w:rPr>
          <w:b w:val="0"/>
          <w:bCs w:val="0"/>
        </w:rPr>
      </w:r>
    </w:p>
    <w:p>
      <w:pPr>
        <w:spacing w:line="240" w:lineRule="auto" w:before="11"/>
        <w:rPr>
          <w:rFonts w:ascii="宋体" w:hAnsi="宋体" w:cs="宋体" w:eastAsia="宋体" w:hint="default"/>
          <w:b/>
          <w:bCs/>
          <w:sz w:val="27"/>
          <w:szCs w:val="27"/>
        </w:rPr>
      </w:pPr>
    </w:p>
    <w:p>
      <w:pPr>
        <w:pStyle w:val="Heading4"/>
        <w:spacing w:line="338" w:lineRule="auto" w:before="0"/>
        <w:ind w:left="572" w:right="0"/>
        <w:jc w:val="left"/>
      </w:pPr>
      <w:bookmarkStart w:name="五、重要会计政策及会计估计" w:id="166"/>
      <w:bookmarkEnd w:id="166"/>
      <w:r>
        <w:rPr/>
      </w:r>
      <w:r>
        <w:rPr/>
        <w:t>具体会计政策和会计估计提示：</w:t>
      </w:r>
      <w:r>
        <w:rPr>
          <w:w w:val="100"/>
        </w:rPr>
        <w:t> </w:t>
      </w:r>
      <w:r>
        <w:rPr>
          <w:spacing w:val="-2"/>
        </w:rPr>
        <w:t>以下披露内容已涵盖了本公司根据实际生产经营特点制定的具体会计政策和会计估计。</w:t>
      </w:r>
    </w:p>
    <w:p>
      <w:pPr>
        <w:spacing w:line="650" w:lineRule="exact" w:before="17"/>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1</w:t>
      </w:r>
      <w:bookmarkStart w:name="1、遵循企业会计准则的声明" w:id="167"/>
      <w:bookmarkEnd w:id="167"/>
      <w:r>
        <w:rPr>
          <w:rFonts w:ascii="宋体" w:hAnsi="宋体" w:cs="宋体" w:eastAsia="宋体" w:hint="default"/>
          <w:b/>
          <w:bCs/>
          <w:sz w:val="21"/>
          <w:szCs w:val="21"/>
        </w:rPr>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Heading4"/>
        <w:spacing w:line="240" w:lineRule="auto" w:before="16"/>
        <w:ind w:right="0"/>
        <w:jc w:val="both"/>
      </w:pPr>
      <w:r>
        <w:rPr/>
        <w:t>成果、现金流量等有关信息。</w:t>
      </w:r>
    </w:p>
    <w:p>
      <w:pPr>
        <w:spacing w:line="240" w:lineRule="auto" w:before="9"/>
        <w:rPr>
          <w:rFonts w:ascii="宋体" w:hAnsi="宋体" w:cs="宋体" w:eastAsia="宋体" w:hint="default"/>
          <w:sz w:val="28"/>
          <w:szCs w:val="28"/>
        </w:rPr>
      </w:pPr>
    </w:p>
    <w:p>
      <w:pPr>
        <w:spacing w:line="535" w:lineRule="auto" w:before="0"/>
        <w:ind w:left="572" w:right="473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pacing w:val="-2"/>
          <w:sz w:val="21"/>
          <w:szCs w:val="21"/>
        </w:rPr>
        <w:t>自公历</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日至</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日止为一</w:t>
      </w:r>
      <w:bookmarkStart w:name="2、会计期间" w:id="168"/>
      <w:bookmarkEnd w:id="168"/>
      <w:r>
        <w:rPr>
          <w:rFonts w:ascii="宋体" w:hAnsi="宋体" w:cs="宋体" w:eastAsia="宋体" w:hint="default"/>
          <w:spacing w:val="-2"/>
          <w:sz w:val="21"/>
          <w:szCs w:val="21"/>
        </w:rPr>
        <w:t>个</w:t>
      </w:r>
      <w:r>
        <w:rPr>
          <w:rFonts w:ascii="宋体" w:hAnsi="宋体" w:cs="宋体" w:eastAsia="宋体" w:hint="default"/>
          <w:spacing w:val="-2"/>
          <w:sz w:val="21"/>
          <w:szCs w:val="21"/>
        </w:rPr>
        <w:t>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Heading4"/>
        <w:spacing w:line="240" w:lineRule="auto" w:before="79"/>
        <w:ind w:left="572" w:right="0"/>
        <w:jc w:val="left"/>
      </w:pPr>
      <w:r>
        <w:rPr/>
        <w:t>本公司营业周期为</w:t>
      </w:r>
      <w:r>
        <w:rPr>
          <w:rFonts w:ascii="宋体" w:hAnsi="宋体" w:cs="宋体" w:eastAsia="宋体" w:hint="default"/>
        </w:rPr>
        <w:t>12</w:t>
      </w:r>
      <w:r>
        <w:rPr/>
        <w:t>个月。</w:t>
      </w:r>
    </w:p>
    <w:p>
      <w:pPr>
        <w:spacing w:line="652" w:lineRule="exact" w:before="61"/>
        <w:ind w:left="572" w:right="6622" w:hanging="1"/>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4"/>
          <w:sz w:val="21"/>
          <w:szCs w:val="21"/>
        </w:rPr>
        <w:t> </w:t>
      </w:r>
      <w:r>
        <w:rPr>
          <w:rFonts w:ascii="宋体" w:hAnsi="宋体" w:cs="宋体" w:eastAsia="宋体" w:hint="default"/>
          <w:spacing w:val="-2"/>
          <w:sz w:val="21"/>
          <w:szCs w:val="21"/>
        </w:rPr>
        <w:t>采用人民币为记账本位币。</w:t>
      </w:r>
    </w:p>
    <w:p>
      <w:pPr>
        <w:pStyle w:val="Heading4"/>
        <w:spacing w:line="240" w:lineRule="auto" w:before="13"/>
        <w:ind w:left="572" w:right="0"/>
        <w:jc w:val="left"/>
      </w:pPr>
      <w:r>
        <w:rPr/>
        <w:t>境外子公司以其所在国的运营经济环境的主要</w:t>
      </w:r>
      <w:bookmarkStart w:name="3、营业周期" w:id="169"/>
      <w:bookmarkEnd w:id="169"/>
      <w:r>
        <w:rPr/>
        <w:t>货</w:t>
      </w:r>
      <w:r>
        <w:rPr/>
        <w:t>币为记账</w:t>
      </w:r>
      <w:bookmarkStart w:name="4、记账本位币" w:id="170"/>
      <w:bookmarkEnd w:id="170"/>
      <w:r>
        <w:rPr/>
        <w:t>本</w:t>
      </w:r>
      <w:r>
        <w:rPr/>
        <w:t>位币。</w:t>
      </w:r>
    </w:p>
    <w:p>
      <w:pPr>
        <w:spacing w:line="650" w:lineRule="atLeast" w:before="2"/>
        <w:ind w:left="572" w:right="0" w:hanging="1"/>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7"/>
          <w:sz w:val="21"/>
          <w:szCs w:val="21"/>
        </w:rPr>
        <w:t>同一控制下企业合并：本公司在企业合并中取得的资产和负债，按照合并日</w:t>
      </w:r>
      <w:bookmarkStart w:name="5、同一控制下和非同一控制下企业合并的会计处理方法" w:id="171"/>
      <w:bookmarkEnd w:id="171"/>
      <w:r>
        <w:rPr>
          <w:rFonts w:ascii="宋体" w:hAnsi="宋体" w:cs="宋体" w:eastAsia="宋体" w:hint="default"/>
          <w:spacing w:val="-7"/>
          <w:sz w:val="21"/>
          <w:szCs w:val="21"/>
        </w:rPr>
        <w:t>在被</w:t>
      </w:r>
      <w:r>
        <w:rPr>
          <w:rFonts w:ascii="宋体" w:hAnsi="宋体" w:cs="宋体" w:eastAsia="宋体" w:hint="default"/>
          <w:spacing w:val="-7"/>
          <w:sz w:val="21"/>
          <w:szCs w:val="21"/>
        </w:rPr>
        <w:t>合并方资产、负债（包</w:t>
      </w:r>
    </w:p>
    <w:p>
      <w:pPr>
        <w:pStyle w:val="Heading4"/>
        <w:spacing w:line="340" w:lineRule="auto" w:before="116"/>
        <w:ind w:right="146"/>
        <w:jc w:val="both"/>
      </w:pPr>
      <w:r>
        <w:rPr>
          <w:spacing w:val="-2"/>
        </w:rPr>
        <w:t>括最终控制方收购被合并方而形成的商誉）在最终控制方合并财务报表中的账面价值计量。在合并中取得</w:t>
      </w:r>
      <w:r>
        <w:rPr>
          <w:spacing w:val="-43"/>
        </w:rPr>
        <w:t> </w:t>
      </w:r>
      <w:r>
        <w:rPr>
          <w:spacing w:val="-43"/>
        </w:rPr>
      </w:r>
      <w:r>
        <w:rPr>
          <w:spacing w:val="-2"/>
        </w:rPr>
        <w:t>的净资产账面价值与支付的合并对价账面价值（或发行股份面值总额）的差额，调整资本公积中的股本溢</w:t>
      </w:r>
      <w:r>
        <w:rPr>
          <w:spacing w:val="-42"/>
        </w:rPr>
        <w:t> </w:t>
      </w:r>
      <w:r>
        <w:rPr>
          <w:spacing w:val="-42"/>
        </w:rPr>
      </w:r>
      <w:r>
        <w:rPr/>
        <w:t>价，资本公积中的股本溢价不足冲减的，调整留存收益。</w:t>
      </w:r>
    </w:p>
    <w:p>
      <w:pPr>
        <w:pStyle w:val="Heading4"/>
        <w:spacing w:line="340" w:lineRule="auto"/>
        <w:ind w:right="146" w:firstLine="420"/>
        <w:jc w:val="both"/>
      </w:pPr>
      <w:r>
        <w:rPr>
          <w:spacing w:val="-2"/>
        </w:rPr>
        <w:t>非同一控制下企业合并：本公司在购买日对作为企业合并对价付出的资产、发生或承担的负债按照公</w:t>
      </w:r>
      <w:r>
        <w:rPr>
          <w:w w:val="100"/>
        </w:rPr>
        <w:t> </w:t>
      </w:r>
      <w:r>
        <w:rPr>
          <w:spacing w:val="-2"/>
        </w:rPr>
        <w:t>允价值计量，公允价值与其账面价值的差额，计入当期损益。本公司对合并成本大于合并中取得的被购买</w:t>
      </w:r>
      <w:r>
        <w:rPr>
          <w:spacing w:val="-43"/>
        </w:rPr>
        <w:t> </w:t>
      </w:r>
      <w:r>
        <w:rPr>
          <w:spacing w:val="-43"/>
        </w:rPr>
      </w:r>
      <w:r>
        <w:rPr>
          <w:spacing w:val="-2"/>
        </w:rPr>
        <w:t>方可辨认净资产公允价值份额的差额，确认为商誉；合并成本小于合并中取得的被购买方可辨认净资产公</w:t>
      </w:r>
      <w:r>
        <w:rPr>
          <w:spacing w:val="-44"/>
        </w:rPr>
        <w:t> </w:t>
      </w:r>
      <w:r>
        <w:rPr>
          <w:spacing w:val="-44"/>
        </w:rPr>
      </w:r>
      <w:r>
        <w:rPr/>
        <w:t>允价值份额的差额，经复核后，计入当期损益。</w:t>
      </w:r>
    </w:p>
    <w:p>
      <w:pPr>
        <w:pStyle w:val="Heading4"/>
        <w:spacing w:line="340" w:lineRule="auto"/>
        <w:ind w:right="0" w:firstLine="420"/>
        <w:jc w:val="left"/>
      </w:pPr>
      <w:r>
        <w:rPr>
          <w:spacing w:val="-2"/>
        </w:rPr>
        <w:t>为企业合并发生的审计、法律服务、评估咨询等中介费用以及其他直接相关费用，于发生时计入当期</w:t>
      </w:r>
      <w:r>
        <w:rPr>
          <w:w w:val="100"/>
        </w:rPr>
        <w:t> </w:t>
      </w:r>
      <w:r>
        <w:rPr/>
        <w:t>损益；为企业合并而发行权益性证券的交易费用，冲减权益。</w:t>
      </w:r>
    </w:p>
    <w:p>
      <w:pPr>
        <w:pStyle w:val="Heading3"/>
        <w:spacing w:line="652" w:lineRule="exact" w:before="11"/>
        <w:ind w:right="6731"/>
        <w:jc w:val="left"/>
        <w:rPr>
          <w:b w:val="0"/>
          <w:bCs w:val="0"/>
        </w:rPr>
      </w:pPr>
      <w:r>
        <w:rPr>
          <w:rFonts w:ascii="宋体" w:hAnsi="宋体" w:cs="宋体" w:eastAsia="宋体" w:hint="default"/>
          <w:spacing w:val="-1"/>
        </w:rPr>
        <w:t>6</w:t>
      </w:r>
      <w:r>
        <w:rPr>
          <w:spacing w:val="-1"/>
        </w:rPr>
        <w:t>、合并财务报表的编制方法</w:t>
      </w:r>
      <w:r>
        <w:rPr>
          <w:spacing w:val="-95"/>
        </w:rPr>
        <w:t> </w:t>
      </w:r>
      <w:r>
        <w:rPr>
          <w:spacing w:val="-95"/>
        </w:rPr>
      </w:r>
      <w:r>
        <w:rPr>
          <w:rFonts w:ascii="宋体" w:hAnsi="宋体" w:cs="宋体" w:eastAsia="宋体" w:hint="default"/>
        </w:rPr>
        <w:t>(1)</w:t>
      </w:r>
      <w:r>
        <w:rPr/>
        <w:t>合并范围</w:t>
      </w:r>
      <w:r>
        <w:rPr>
          <w:b w:val="0"/>
          <w:bCs w:val="0"/>
        </w:rPr>
      </w:r>
    </w:p>
    <w:p>
      <w:pPr>
        <w:pStyle w:val="Heading4"/>
        <w:spacing w:line="240" w:lineRule="auto" w:before="13"/>
        <w:ind w:left="572" w:right="0"/>
        <w:jc w:val="left"/>
      </w:pPr>
      <w:r>
        <w:rPr/>
        <w:t>本公司合并财务报表的合并范围以控制为基础确定，所有子公司（包括本公司所控制的单独主体）均</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240" w:lineRule="auto" w:before="36"/>
        <w:ind w:right="0"/>
        <w:jc w:val="both"/>
      </w:pPr>
      <w:r>
        <w:rPr/>
        <w:t>纳入合并财务报表。</w:t>
      </w:r>
    </w:p>
    <w:p>
      <w:pPr>
        <w:pStyle w:val="Heading4"/>
        <w:spacing w:line="340" w:lineRule="auto" w:before="114"/>
        <w:ind w:left="572" w:right="0"/>
        <w:jc w:val="left"/>
      </w:pP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本公司以自身和各子公司的财务报表为基础，根据其他有关资料，编制合并财务报表。本公司编制合</w:t>
      </w:r>
    </w:p>
    <w:p>
      <w:pPr>
        <w:pStyle w:val="Heading4"/>
        <w:spacing w:line="340" w:lineRule="auto"/>
        <w:ind w:right="149"/>
        <w:jc w:val="both"/>
      </w:pPr>
      <w:r>
        <w:rPr>
          <w:spacing w:val="-2"/>
        </w:rPr>
        <w:t>并财务报表，将整个企业集团视为一个会计主体，依据相关企业会计准则的确认、计量和列报要求，按照</w:t>
      </w:r>
      <w:r>
        <w:rPr>
          <w:spacing w:val="-47"/>
        </w:rPr>
        <w:t> </w:t>
      </w:r>
      <w:r>
        <w:rPr>
          <w:spacing w:val="-47"/>
        </w:rPr>
      </w:r>
      <w:r>
        <w:rPr/>
        <w:t>统一的会计政策，反映本企业集团整体财务状况、经营成果和现金流量。</w:t>
      </w:r>
    </w:p>
    <w:p>
      <w:pPr>
        <w:pStyle w:val="Heading4"/>
        <w:spacing w:line="340" w:lineRule="auto"/>
        <w:ind w:right="147" w:firstLine="420"/>
        <w:jc w:val="both"/>
      </w:pPr>
      <w:r>
        <w:rPr>
          <w:spacing w:val="-2"/>
        </w:rPr>
        <w:t>所有纳入合并财务报表合并范围的子公司所采用的会计政策、会计期间与本公司一致，如子公司采用</w:t>
      </w:r>
      <w:r>
        <w:rPr>
          <w:w w:val="100"/>
        </w:rPr>
        <w:t> </w:t>
      </w:r>
      <w:r>
        <w:rPr>
          <w:spacing w:val="-3"/>
        </w:rPr>
        <w:t>的会计政策、会计期间与本公司不一致的，在编制合并财务报表时，按本公司的会计政策、会计期间进行</w:t>
      </w:r>
      <w:r>
        <w:rPr>
          <w:spacing w:val="-13"/>
        </w:rPr>
        <w:t> </w:t>
      </w:r>
      <w:r>
        <w:rPr>
          <w:spacing w:val="-13"/>
        </w:rPr>
      </w:r>
      <w:r>
        <w:rPr>
          <w:spacing w:val="-2"/>
        </w:rPr>
        <w:t>必要的调整。对于非同一控制下企业合并取得的子公司，以购买日可辨认净资产公允价值为基础对其财务</w:t>
      </w:r>
      <w:r>
        <w:rPr>
          <w:spacing w:val="-43"/>
        </w:rPr>
        <w:t> </w:t>
      </w:r>
      <w:r>
        <w:rPr>
          <w:spacing w:val="-43"/>
        </w:rPr>
      </w:r>
      <w:r>
        <w:rPr>
          <w:spacing w:val="-3"/>
        </w:rPr>
        <w:t>报表进行调整。对于同一控制下企业合并取得的子公司，以其资产、负债（包括最终控制方收购该子公司</w:t>
      </w:r>
      <w:r>
        <w:rPr>
          <w:spacing w:val="-7"/>
        </w:rPr>
        <w:t> </w:t>
      </w:r>
      <w:r>
        <w:rPr>
          <w:spacing w:val="-7"/>
        </w:rPr>
      </w:r>
      <w:r>
        <w:rPr/>
        <w:t>而形成的商誉）在最终控制方财务报表中的账面价值为基础对其财务报表进行调整。</w:t>
      </w:r>
    </w:p>
    <w:p>
      <w:pPr>
        <w:pStyle w:val="Heading4"/>
        <w:spacing w:line="340" w:lineRule="auto" w:before="28"/>
        <w:ind w:right="146" w:firstLine="420"/>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49"/>
        </w:rPr>
        <w:t> </w:t>
      </w:r>
      <w:r>
        <w:rPr>
          <w:spacing w:val="-49"/>
        </w:rPr>
      </w:r>
      <w:r>
        <w:rPr/>
        <w:t>亏损超过了少数股东在该子公司期初所有者权益中所享有份额而形成的余额，冲减少数股东权益。</w:t>
      </w:r>
    </w:p>
    <w:p>
      <w:pPr>
        <w:pStyle w:val="Heading4"/>
        <w:spacing w:line="340" w:lineRule="auto"/>
        <w:ind w:left="575" w:right="0" w:hanging="3"/>
        <w:jc w:val="left"/>
      </w:pPr>
      <w:r>
        <w:rPr/>
        <w:t>①增加子公司或业务</w:t>
      </w:r>
      <w:r>
        <w:rPr>
          <w:w w:val="100"/>
        </w:rPr>
        <w:t> </w:t>
      </w:r>
      <w:r>
        <w:rPr>
          <w:spacing w:val="-3"/>
        </w:rPr>
        <w:t>在报告期内，若因同一控制下企业合并增加子公司或业务的，则调整合并资产负债表的期初数；将子</w:t>
      </w:r>
      <w:r>
        <w:rPr/>
      </w:r>
    </w:p>
    <w:p>
      <w:pPr>
        <w:pStyle w:val="Heading4"/>
        <w:spacing w:line="340" w:lineRule="auto"/>
        <w:ind w:right="146"/>
        <w:jc w:val="both"/>
      </w:pPr>
      <w:r>
        <w:rPr>
          <w:spacing w:val="-2"/>
        </w:rPr>
        <w:t>公司或业务合并当期期初至报告期末的收入、费用、利润纳入合并利润表；将子公司或业务合并当期期初</w:t>
      </w:r>
      <w:r>
        <w:rPr>
          <w:spacing w:val="-43"/>
        </w:rPr>
        <w:t> </w:t>
      </w:r>
      <w:r>
        <w:rPr>
          <w:spacing w:val="-43"/>
        </w:rPr>
      </w:r>
      <w:r>
        <w:rPr>
          <w:spacing w:val="-2"/>
        </w:rPr>
        <w:t>至报告期末的现金流量纳入合并现金流量表，同时对比较报表的相关项目进行调整，视同合并后的报告主</w:t>
      </w:r>
      <w:r>
        <w:rPr>
          <w:spacing w:val="-43"/>
        </w:rPr>
        <w:t> </w:t>
      </w:r>
      <w:r>
        <w:rPr>
          <w:spacing w:val="-43"/>
        </w:rPr>
      </w:r>
      <w:r>
        <w:rPr/>
        <w:t>体自最终控制方开始控制时点起一直存在。</w:t>
      </w:r>
    </w:p>
    <w:p>
      <w:pPr>
        <w:pStyle w:val="Heading4"/>
        <w:spacing w:line="340" w:lineRule="auto" w:before="28"/>
        <w:ind w:right="146" w:firstLine="420"/>
        <w:jc w:val="both"/>
      </w:pPr>
      <w:r>
        <w:rPr>
          <w:spacing w:val="-2"/>
        </w:rPr>
        <w:t>因追加投资等原因能够对同一控制下的被投资方实施控制的，视同参与合并的各方在最终控制方开始</w:t>
      </w:r>
      <w:r>
        <w:rPr>
          <w:spacing w:val="-3"/>
          <w:w w:val="100"/>
        </w:rPr>
        <w:t> </w:t>
      </w:r>
      <w:r>
        <w:rPr>
          <w:spacing w:val="-2"/>
        </w:rPr>
        <w:t>控制时即以目前的状态存在进行调整。在取得被合并方控制权之前持有的股权投资，在取得原股权之日与</w:t>
      </w:r>
      <w:r>
        <w:rPr>
          <w:spacing w:val="-44"/>
        </w:rPr>
        <w:t> </w:t>
      </w:r>
      <w:r>
        <w:rPr>
          <w:spacing w:val="-44"/>
        </w:rPr>
      </w:r>
      <w:r>
        <w:rPr>
          <w:spacing w:val="-2"/>
        </w:rPr>
        <w:t>合并方和被合并方同处于同一控制之日孰晚日起至合并日之间已确认有关损益、其他综合收益以及其他净</w:t>
      </w:r>
      <w:r>
        <w:rPr>
          <w:spacing w:val="-43"/>
        </w:rPr>
        <w:t> </w:t>
      </w:r>
      <w:r>
        <w:rPr>
          <w:spacing w:val="-43"/>
        </w:rPr>
      </w:r>
      <w:r>
        <w:rPr/>
        <w:t>资产变动，分别冲减比较报表期间的期初留存收益或当期损益。</w:t>
      </w:r>
    </w:p>
    <w:p>
      <w:pPr>
        <w:pStyle w:val="Heading4"/>
        <w:spacing w:line="340" w:lineRule="auto" w:before="28"/>
        <w:ind w:right="147" w:firstLine="420"/>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43"/>
        </w:rPr>
        <w:t> </w:t>
      </w:r>
      <w:r>
        <w:rPr>
          <w:spacing w:val="-43"/>
        </w:rPr>
      </w:r>
      <w:r>
        <w:rPr/>
        <w:t>告期末的现金流量纳入合并现金流量表。</w:t>
      </w:r>
    </w:p>
    <w:p>
      <w:pPr>
        <w:pStyle w:val="Heading4"/>
        <w:spacing w:line="340" w:lineRule="auto"/>
        <w:ind w:right="147" w:firstLine="420"/>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44"/>
        </w:rPr>
        <w:t> </w:t>
      </w:r>
      <w:r>
        <w:rPr>
          <w:spacing w:val="-44"/>
        </w:rPr>
      </w:r>
      <w:r>
        <w:rPr>
          <w:spacing w:val="-2"/>
        </w:rPr>
        <w:t>益。购买日之前持有的被购买方的股权涉及权益法核算下的其他综合收益以及除净损益、其他综合收益和</w:t>
      </w:r>
      <w:r>
        <w:rPr>
          <w:spacing w:val="-44"/>
        </w:rPr>
        <w:t> </w:t>
      </w:r>
      <w:r>
        <w:rPr>
          <w:spacing w:val="-44"/>
        </w:rPr>
      </w:r>
      <w:r>
        <w:rPr>
          <w:spacing w:val="-2"/>
        </w:rPr>
        <w:t>利润分配之外的其他所有者权益变动的，与其相关的其他综合收益、其他所有者权益变动转为购买日所属</w:t>
      </w:r>
      <w:r>
        <w:rPr>
          <w:spacing w:val="-43"/>
        </w:rPr>
        <w:t> </w:t>
      </w:r>
      <w:r>
        <w:rPr>
          <w:spacing w:val="-43"/>
        </w:rPr>
      </w:r>
      <w:r>
        <w:rPr/>
        <w:t>当期投资收益，由于被投资方重新计量设定受益计划净负债或净资产变动而产生的其他综合收益除外。</w:t>
      </w:r>
    </w:p>
    <w:p>
      <w:pPr>
        <w:pStyle w:val="Heading4"/>
        <w:spacing w:line="338" w:lineRule="auto" w:before="28"/>
        <w:ind w:left="572" w:right="7480" w:firstLine="2"/>
        <w:jc w:val="left"/>
      </w:pPr>
      <w:r>
        <w:rPr>
          <w:spacing w:val="-2"/>
        </w:rPr>
        <w:t>②处置子公司或业务</w:t>
      </w:r>
      <w:r>
        <w:rPr>
          <w:spacing w:val="-97"/>
        </w:rPr>
        <w:t> </w:t>
      </w:r>
      <w:r>
        <w:rPr>
          <w:spacing w:val="-97"/>
        </w:rPr>
      </w:r>
      <w:r>
        <w:rPr/>
        <w:t>一般处理方法</w:t>
      </w:r>
    </w:p>
    <w:p>
      <w:pPr>
        <w:pStyle w:val="Heading4"/>
        <w:spacing w:line="338" w:lineRule="auto" w:before="30"/>
        <w:ind w:right="155" w:firstLine="420"/>
        <w:jc w:val="both"/>
      </w:pPr>
      <w:r>
        <w:rPr>
          <w:spacing w:val="-3"/>
        </w:rPr>
        <w:t>在报告期内，本公司处置子公司或业务，则该子公司或业务期初至处置日的收入、费用、利润纳入合</w:t>
      </w:r>
      <w:r>
        <w:rPr>
          <w:spacing w:val="-3"/>
          <w:w w:val="100"/>
        </w:rPr>
        <w:t> </w:t>
      </w:r>
      <w:r>
        <w:rPr/>
        <w:t>并利润表；该子公司或业务期初至处置日的现金流量纳入合并现金流量表。</w:t>
      </w:r>
    </w:p>
    <w:p>
      <w:pPr>
        <w:pStyle w:val="Heading4"/>
        <w:spacing w:line="240" w:lineRule="auto" w:before="31"/>
        <w:ind w:left="572" w:right="0"/>
        <w:jc w:val="left"/>
      </w:pPr>
      <w:r>
        <w:rPr/>
        <w:t>因处置部分股权投资或其他原因丧失了对被投资方控制权时，对于处置后的剩余股权投资，本公司按</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right="146"/>
        <w:jc w:val="both"/>
      </w:pPr>
      <w:bookmarkStart w:name="7、合营安排分类及共同经营会计处理方法" w:id="172"/>
      <w:bookmarkEnd w:id="172"/>
      <w:r>
        <w:rPr/>
      </w:r>
      <w:r>
        <w:rPr>
          <w:spacing w:val="-2"/>
        </w:rPr>
        <w:t>照其在丧失控制权日的公允价值进行重新计量。处置股权取得的对价与剩余股权公允价值之和，减去按原</w:t>
      </w:r>
      <w:r>
        <w:rPr>
          <w:spacing w:val="-43"/>
        </w:rPr>
        <w:t> </w:t>
      </w:r>
      <w:r>
        <w:rPr>
          <w:spacing w:val="-43"/>
        </w:rPr>
      </w:r>
      <w:r>
        <w:rPr>
          <w:spacing w:val="-2"/>
        </w:rPr>
        <w:t>持股比例计算应享有原有子公司自购买日或合并日开始持续计算的净资产的份额与商誉之和的差额，计入</w:t>
      </w:r>
      <w:r>
        <w:rPr>
          <w:spacing w:val="-43"/>
        </w:rPr>
        <w:t> </w:t>
      </w:r>
      <w:r>
        <w:rPr>
          <w:spacing w:val="-43"/>
        </w:rPr>
      </w:r>
      <w:r>
        <w:rPr>
          <w:spacing w:val="-2"/>
        </w:rPr>
        <w:t>丧失控制权当期的投资收益。与原有子公司股权投资相关的其他综合收益或除净损益、其他综合收益及利</w:t>
      </w:r>
      <w:r>
        <w:rPr>
          <w:spacing w:val="-43"/>
        </w:rPr>
        <w:t> </w:t>
      </w:r>
      <w:r>
        <w:rPr>
          <w:spacing w:val="-43"/>
        </w:rPr>
      </w:r>
      <w:r>
        <w:rPr>
          <w:spacing w:val="-2"/>
        </w:rPr>
        <w:t>润分配之外的其他所有者权益变动，在丧失控制权时转为当期投资收益，由于被投资方重新计量设定受益</w:t>
      </w:r>
      <w:r>
        <w:rPr>
          <w:spacing w:val="-50"/>
        </w:rPr>
        <w:t> </w:t>
      </w:r>
      <w:r>
        <w:rPr>
          <w:spacing w:val="-50"/>
        </w:rPr>
      </w:r>
      <w:r>
        <w:rPr/>
        <w:t>计划净负债或净资产变动而产生的其他综合收益除外。</w:t>
      </w:r>
    </w:p>
    <w:p>
      <w:pPr>
        <w:pStyle w:val="Heading4"/>
        <w:spacing w:line="340" w:lineRule="auto"/>
        <w:ind w:left="572" w:right="0"/>
        <w:jc w:val="left"/>
      </w:pPr>
      <w:r>
        <w:rPr/>
        <w:t>分步处置子公司</w:t>
      </w:r>
      <w:r>
        <w:rPr>
          <w:spacing w:val="-103"/>
        </w:rPr>
        <w:t> </w:t>
      </w:r>
      <w:r>
        <w:rPr>
          <w:spacing w:val="-103"/>
        </w:rPr>
      </w:r>
      <w:r>
        <w:rPr>
          <w:spacing w:val="-2"/>
        </w:rPr>
        <w:t>通过多次交易分步处置对子公司股权投资直至丧失控制权的，处置对子公司股权投资的各项交易的条</w:t>
      </w:r>
    </w:p>
    <w:p>
      <w:pPr>
        <w:pStyle w:val="Heading4"/>
        <w:spacing w:line="340" w:lineRule="auto"/>
        <w:ind w:right="146"/>
        <w:jc w:val="both"/>
      </w:pPr>
      <w:r>
        <w:rPr>
          <w:spacing w:val="-2"/>
        </w:rPr>
        <w:t>款、条件以及经济影响符合以下一种或多种情况，通常表明应将多次交易事项作为一揽子交易进行会计处</w:t>
      </w:r>
      <w:r>
        <w:rPr>
          <w:spacing w:val="-43"/>
        </w:rPr>
        <w:t> </w:t>
      </w:r>
      <w:r>
        <w:rPr>
          <w:spacing w:val="-43"/>
        </w:rPr>
      </w:r>
      <w:r>
        <w:rPr/>
        <w:t>理：</w:t>
      </w:r>
    </w:p>
    <w:p>
      <w:pPr>
        <w:pStyle w:val="Heading4"/>
        <w:spacing w:line="340" w:lineRule="auto"/>
        <w:ind w:left="572"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处置对子公司股权投资直至丧失控制权的各项交易属于一揽子交易的，本公司将各项交易作为一项处</w:t>
      </w:r>
    </w:p>
    <w:p>
      <w:pPr>
        <w:pStyle w:val="Heading4"/>
        <w:spacing w:line="340" w:lineRule="auto" w:before="28"/>
        <w:ind w:right="146"/>
        <w:jc w:val="both"/>
      </w:pPr>
      <w:r>
        <w:rPr>
          <w:spacing w:val="-2"/>
        </w:rPr>
        <w:t>置子公司并丧失控制权的交易进行会计处理；但是，在丧失控制权之前每一次处置价款与处置投资对应的</w:t>
      </w:r>
      <w:r>
        <w:rPr>
          <w:spacing w:val="-43"/>
        </w:rPr>
        <w:t> </w:t>
      </w:r>
      <w:r>
        <w:rPr>
          <w:spacing w:val="-43"/>
        </w:rPr>
      </w:r>
      <w:r>
        <w:rPr>
          <w:spacing w:val="-2"/>
        </w:rPr>
        <w:t>享有该子公司净资产份额的差额，在合并财务报表中确认为其他综合收益，在丧失控制权时一并转入丧失</w:t>
      </w:r>
      <w:r>
        <w:rPr>
          <w:spacing w:val="-43"/>
        </w:rPr>
        <w:t> </w:t>
      </w:r>
      <w:r>
        <w:rPr>
          <w:spacing w:val="-43"/>
        </w:rPr>
      </w:r>
      <w:r>
        <w:rPr/>
        <w:t>控制权当期的损益。</w:t>
      </w:r>
    </w:p>
    <w:p>
      <w:pPr>
        <w:pStyle w:val="Heading4"/>
        <w:spacing w:line="340" w:lineRule="auto"/>
        <w:ind w:right="146" w:firstLine="420"/>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43"/>
        </w:rPr>
        <w:t> </w:t>
      </w:r>
      <w:r>
        <w:rPr>
          <w:spacing w:val="-43"/>
        </w:rPr>
      </w:r>
      <w:r>
        <w:rPr/>
        <w:t>司一般处理方法进行会计处理。</w:t>
      </w:r>
    </w:p>
    <w:p>
      <w:pPr>
        <w:pStyle w:val="Heading4"/>
        <w:spacing w:line="338" w:lineRule="auto" w:before="28"/>
        <w:ind w:left="572" w:right="0"/>
        <w:jc w:val="left"/>
      </w:pPr>
      <w:r>
        <w:rPr/>
        <w:t>③购买子公司少数股权</w:t>
      </w:r>
      <w:r>
        <w:rPr>
          <w:w w:val="100"/>
        </w:rPr>
        <w:t> </w:t>
      </w:r>
      <w:r>
        <w:rPr>
          <w:spacing w:val="-2"/>
        </w:rPr>
        <w:t>本公司因购买少数股权新取得的长期股权投资与按照新增持股比例计算应享有子公司自购买日（或合</w:t>
      </w:r>
    </w:p>
    <w:p>
      <w:pPr>
        <w:pStyle w:val="Heading4"/>
        <w:spacing w:line="338" w:lineRule="auto" w:before="30"/>
        <w:ind w:right="149"/>
        <w:jc w:val="both"/>
      </w:pPr>
      <w:r>
        <w:rPr>
          <w:spacing w:val="-3"/>
        </w:rPr>
        <w:t>并日）开始持续计算的净资产份额之间的差额，调整合并资产负债表中的资本公积中的股本溢价，资本公</w:t>
      </w:r>
      <w:r>
        <w:rPr>
          <w:spacing w:val="-6"/>
        </w:rPr>
        <w:t> </w:t>
      </w:r>
      <w:r>
        <w:rPr>
          <w:spacing w:val="-6"/>
        </w:rPr>
      </w:r>
      <w:r>
        <w:rPr/>
        <w:t>积中的股本溢价不足冲减的，调整留存收益。</w:t>
      </w:r>
    </w:p>
    <w:p>
      <w:pPr>
        <w:pStyle w:val="Heading4"/>
        <w:spacing w:line="338" w:lineRule="auto" w:before="30"/>
        <w:ind w:left="572" w:right="0"/>
        <w:jc w:val="left"/>
      </w:pPr>
      <w:r>
        <w:rPr/>
        <w:t>④不丧失控制权的情况下部分处置对子公司的长期股权投资</w:t>
      </w:r>
      <w:r>
        <w:rPr>
          <w:w w:val="100"/>
        </w:rPr>
        <w:t> </w:t>
      </w:r>
      <w:r>
        <w:rPr>
          <w:spacing w:val="2"/>
        </w:rPr>
        <w:t>在不丧失控制权的情况下因部分处置对子公司的长期股权投资而取得的处置价款与处置长期股权投</w:t>
      </w:r>
    </w:p>
    <w:p>
      <w:pPr>
        <w:pStyle w:val="Heading4"/>
        <w:spacing w:line="338" w:lineRule="auto" w:before="30"/>
        <w:ind w:right="146"/>
        <w:jc w:val="both"/>
      </w:pPr>
      <w:r>
        <w:rPr>
          <w:spacing w:val="-2"/>
        </w:rPr>
        <w:t>资相对应享有子公司自购买日或合并日开始持续计算的净资产份额之间的差额，调整合并资产负债表中的</w:t>
      </w:r>
      <w:r>
        <w:rPr>
          <w:spacing w:val="-43"/>
        </w:rPr>
        <w:t> </w:t>
      </w:r>
      <w:r>
        <w:rPr>
          <w:spacing w:val="-43"/>
        </w:rPr>
      </w:r>
      <w:r>
        <w:rPr/>
        <w:t>资本公积中的股本溢价，资本公积中的股本溢价不足冲减的，调整留存收益。</w:t>
      </w:r>
    </w:p>
    <w:p>
      <w:pPr>
        <w:spacing w:line="650" w:lineRule="exact" w:before="17"/>
        <w:ind w:left="572" w:right="4734" w:firstLine="0"/>
        <w:jc w:val="left"/>
        <w:rPr>
          <w:rFonts w:ascii="宋体" w:hAnsi="宋体" w:cs="宋体" w:eastAsia="宋体" w:hint="default"/>
          <w:sz w:val="21"/>
          <w:szCs w:val="21"/>
        </w:rPr>
      </w:pPr>
      <w:r>
        <w:rPr>
          <w:rFonts w:ascii="宋体" w:hAnsi="宋体" w:cs="宋体" w:eastAsia="宋体"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合营安排分为共同经营和合营企业。</w:t>
      </w:r>
    </w:p>
    <w:p>
      <w:pPr>
        <w:pStyle w:val="Heading4"/>
        <w:spacing w:line="340" w:lineRule="auto" w:before="16"/>
        <w:ind w:left="572" w:right="0"/>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r>
        <w:rPr>
          <w:spacing w:val="-27"/>
        </w:rPr>
        <w:t> </w:t>
      </w:r>
      <w:r>
        <w:rPr>
          <w:spacing w:val="-27"/>
        </w:rPr>
      </w:r>
      <w:r>
        <w:rPr>
          <w:rFonts w:ascii="宋体" w:hAnsi="宋体" w:cs="宋体" w:eastAsia="宋体" w:hint="default"/>
        </w:rPr>
        <w:t>(1)</w:t>
      </w:r>
      <w:r>
        <w:rPr/>
        <w:t>确认本公司单独所持有的资产，以及按本公司份额确认共同持有的资产；</w:t>
      </w:r>
      <w:r>
        <w:rPr>
          <w:w w:val="100"/>
        </w:rPr>
        <w:t> </w:t>
      </w:r>
      <w:r>
        <w:rPr>
          <w:rFonts w:ascii="宋体" w:hAnsi="宋体" w:cs="宋体" w:eastAsia="宋体" w:hint="default"/>
        </w:rPr>
        <w:t>(2)</w:t>
      </w:r>
      <w:r>
        <w:rPr/>
        <w:t>确认本公司单独所承担的负债，以及按本公司份额确认共同承担的负债；</w:t>
      </w:r>
    </w:p>
    <w:p>
      <w:pPr>
        <w:spacing w:after="0" w:line="3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left="572" w:right="101"/>
        <w:jc w:val="left"/>
      </w:pPr>
      <w:r>
        <w:rPr>
          <w:rFonts w:ascii="宋体" w:hAnsi="宋体" w:cs="宋体" w:eastAsia="宋体" w:hint="default"/>
        </w:rPr>
        <w:t>(3)</w:t>
      </w:r>
      <w:r>
        <w:rPr/>
        <w:t>确认出售本公司享有的共同经营产出份额所产生的收入；</w:t>
      </w:r>
      <w:r>
        <w:rPr>
          <w:w w:val="100"/>
        </w:rPr>
        <w:t> </w:t>
      </w:r>
      <w:r>
        <w:rPr>
          <w:rFonts w:ascii="宋体" w:hAnsi="宋体" w:cs="宋体" w:eastAsia="宋体" w:hint="default"/>
        </w:rPr>
        <w:t>(4)</w:t>
      </w:r>
      <w:r>
        <w:rPr/>
        <w:t>按本公司份额确认共同经营因出售产出所产生的收入；</w:t>
      </w:r>
      <w:r>
        <w:rPr>
          <w:w w:val="100"/>
        </w:rPr>
        <w:t> </w:t>
      </w:r>
      <w:r>
        <w:rPr>
          <w:rFonts w:ascii="宋体" w:hAnsi="宋体" w:cs="宋体" w:eastAsia="宋体" w:hint="default"/>
          <w:spacing w:val="-2"/>
        </w:rPr>
        <w:t>(5)</w:t>
      </w:r>
      <w:r>
        <w:rPr>
          <w:spacing w:val="-2"/>
        </w:rPr>
        <w:t>确认单独所发生的费用，以及按本公司份额确认共同经营发生的费用。</w:t>
      </w:r>
      <w:r>
        <w:rPr>
          <w:spacing w:val="-45"/>
        </w:rPr>
        <w:t> </w:t>
      </w:r>
      <w:r>
        <w:rPr>
          <w:spacing w:val="-45"/>
        </w:rPr>
      </w:r>
      <w:r>
        <w:rPr/>
        <w:t>本公司对合营企业投资的会计政策见本附注</w:t>
      </w:r>
      <w:r>
        <w:rPr>
          <w:rFonts w:ascii="宋体" w:hAnsi="宋体" w:cs="宋体" w:eastAsia="宋体" w:hint="default"/>
        </w:rPr>
        <w:t>“</w:t>
      </w:r>
      <w:r>
        <w:rPr/>
        <w:t>五、</w:t>
      </w:r>
      <w:r>
        <w:rPr>
          <w:rFonts w:ascii="宋体" w:hAnsi="宋体" w:cs="宋体" w:eastAsia="宋体" w:hint="default"/>
        </w:rPr>
        <w:t>13</w:t>
      </w:r>
      <w:r>
        <w:rPr/>
        <w:t>长期股权投资</w:t>
      </w:r>
      <w:r>
        <w:rPr>
          <w:rFonts w:ascii="宋体" w:hAnsi="宋体" w:cs="宋体" w:eastAsia="宋体" w:hint="default"/>
        </w:rPr>
        <w:t>”</w:t>
      </w:r>
      <w:r>
        <w:rPr/>
        <w:t>。</w:t>
      </w:r>
    </w:p>
    <w:p>
      <w:pPr>
        <w:spacing w:line="652" w:lineRule="exact" w:before="13"/>
        <w:ind w:left="572" w:right="101" w:firstLine="0"/>
        <w:jc w:val="left"/>
        <w:rPr>
          <w:rFonts w:ascii="宋体" w:hAnsi="宋体" w:cs="宋体" w:eastAsia="宋体" w:hint="default"/>
          <w:sz w:val="21"/>
          <w:szCs w:val="21"/>
        </w:rPr>
      </w:pPr>
      <w:r>
        <w:rPr>
          <w:rFonts w:ascii="宋体" w:hAnsi="宋体" w:cs="宋体" w:eastAsia="宋体" w:hint="default"/>
          <w:b/>
          <w:bCs/>
          <w:sz w:val="21"/>
          <w:szCs w:val="21"/>
        </w:rPr>
        <w:t>8</w:t>
      </w:r>
      <w:bookmarkStart w:name="8、现金及现金等价物的确定标准" w:id="173"/>
      <w:bookmarkEnd w:id="173"/>
      <w:r>
        <w:rPr>
          <w:rFonts w:ascii="宋体" w:hAnsi="宋体" w:cs="宋体" w:eastAsia="宋体" w:hint="default"/>
          <w:b/>
          <w:bCs/>
          <w:sz w:val="21"/>
          <w:szCs w:val="21"/>
        </w:rPr>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Heading4"/>
        <w:spacing w:line="340" w:lineRule="auto" w:before="13"/>
        <w:ind w:right="101"/>
        <w:jc w:val="left"/>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pStyle w:val="Heading3"/>
        <w:spacing w:line="652" w:lineRule="exact" w:before="11"/>
        <w:ind w:right="6791"/>
        <w:jc w:val="left"/>
        <w:rPr>
          <w:b w:val="0"/>
          <w:bCs w:val="0"/>
        </w:rPr>
      </w:pPr>
      <w:r>
        <w:rPr>
          <w:rFonts w:ascii="宋体" w:hAnsi="宋体" w:cs="宋体" w:eastAsia="宋体" w:hint="default"/>
          <w:spacing w:val="-1"/>
        </w:rPr>
        <w:t>9</w:t>
      </w:r>
      <w:r>
        <w:rPr>
          <w:spacing w:val="-1"/>
        </w:rPr>
        <w:t>、外币业务和外币报表折算</w:t>
      </w:r>
      <w:r>
        <w:rPr>
          <w:spacing w:val="-95"/>
        </w:rPr>
        <w:t> </w:t>
      </w:r>
      <w:r>
        <w:rPr>
          <w:spacing w:val="-95"/>
        </w:rPr>
      </w:r>
      <w:r>
        <w:rPr>
          <w:rFonts w:ascii="宋体" w:hAnsi="宋体" w:cs="宋体" w:eastAsia="宋体" w:hint="default"/>
        </w:rPr>
        <w:t>(1)</w:t>
      </w:r>
      <w:r>
        <w:rPr/>
        <w:t>外币业务</w:t>
      </w:r>
      <w:r>
        <w:rPr>
          <w:b w:val="0"/>
          <w:bCs w:val="0"/>
        </w:rPr>
      </w:r>
    </w:p>
    <w:p>
      <w:pPr>
        <w:pStyle w:val="Heading4"/>
        <w:spacing w:line="340" w:lineRule="auto" w:before="13"/>
        <w:ind w:left="572" w:right="101"/>
        <w:jc w:val="left"/>
      </w:pPr>
      <w:r>
        <w:rPr/>
        <w:t>外币业务采用交易发生日的即期汇率</w:t>
      </w:r>
      <w:bookmarkStart w:name="9、外币业务和外币报表折算" w:id="174"/>
      <w:bookmarkEnd w:id="174"/>
      <w:r>
        <w:rPr/>
        <w:t>作</w:t>
      </w:r>
      <w:r>
        <w:rPr/>
        <w:t>为折算汇率将外币金额折合成人民币记账。</w:t>
      </w:r>
      <w:r>
        <w:rPr>
          <w:w w:val="100"/>
        </w:rPr>
        <w:t> </w:t>
      </w:r>
      <w:r>
        <w:rPr>
          <w:spacing w:val="-2"/>
        </w:rPr>
        <w:t>资产负债表日外币货币性项目余额按资产负债表日即期汇率折算，由此产生的汇兑差额，除属于与购</w:t>
      </w:r>
    </w:p>
    <w:p>
      <w:pPr>
        <w:pStyle w:val="Heading4"/>
        <w:spacing w:line="340" w:lineRule="auto"/>
        <w:ind w:left="212" w:right="101"/>
        <w:jc w:val="left"/>
      </w:pPr>
      <w:r>
        <w:rPr>
          <w:spacing w:val="-4"/>
          <w:w w:val="100"/>
        </w:rPr>
        <w:t>建符合资本化条件的资产相关的外币专门借款产生的汇兑差额按照借款费用资本化的原则处理外，均计入</w:t>
      </w:r>
      <w:r>
        <w:rPr>
          <w:spacing w:val="-70"/>
          <w:w w:val="100"/>
        </w:rPr>
        <w:t> </w:t>
      </w:r>
      <w:r>
        <w:rPr>
          <w:spacing w:val="-70"/>
          <w:w w:val="100"/>
        </w:rPr>
      </w:r>
      <w:r>
        <w:rPr/>
        <w:t>当期损益。</w:t>
      </w:r>
    </w:p>
    <w:p>
      <w:pPr>
        <w:spacing w:line="340" w:lineRule="auto" w:before="26"/>
        <w:ind w:left="572" w:right="10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spacing w:val="-104"/>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r>
        <w:rPr>
          <w:rFonts w:ascii="宋体" w:hAnsi="宋体" w:cs="宋体" w:eastAsia="宋体" w:hint="default"/>
          <w:spacing w:val="-2"/>
          <w:sz w:val="21"/>
          <w:szCs w:val="21"/>
        </w:rPr>
        <w:t>“</w:t>
      </w:r>
      <w:r>
        <w:rPr>
          <w:rFonts w:ascii="宋体" w:hAnsi="宋体" w:cs="宋体" w:eastAsia="宋体" w:hint="default"/>
          <w:spacing w:val="-2"/>
          <w:sz w:val="21"/>
          <w:szCs w:val="21"/>
        </w:rPr>
        <w:t>未分配利</w:t>
      </w:r>
      <w:r>
        <w:rPr>
          <w:rFonts w:ascii="宋体" w:hAnsi="宋体" w:cs="宋体" w:eastAsia="宋体" w:hint="default"/>
          <w:sz w:val="21"/>
          <w:szCs w:val="21"/>
        </w:rPr>
      </w:r>
    </w:p>
    <w:p>
      <w:pPr>
        <w:pStyle w:val="Heading4"/>
        <w:spacing w:line="340" w:lineRule="auto"/>
        <w:ind w:left="572" w:right="101" w:hanging="361"/>
        <w:jc w:val="left"/>
      </w:pPr>
      <w:r>
        <w:rPr>
          <w:spacing w:val="-6"/>
        </w:rPr>
        <w:t>润</w:t>
      </w:r>
      <w:r>
        <w:rPr>
          <w:rFonts w:ascii="宋体" w:hAnsi="宋体" w:cs="宋体" w:eastAsia="宋体" w:hint="default"/>
          <w:spacing w:val="-6"/>
        </w:rPr>
        <w:t>”</w:t>
      </w:r>
      <w:r>
        <w:rPr>
          <w:spacing w:val="-6"/>
        </w:rPr>
        <w:t>项目外，其他项目采用发生时的即期汇率折算。利润表中的收入和费用项目，采用年度平均汇率折算。</w:t>
      </w:r>
      <w:r>
        <w:rPr>
          <w:spacing w:val="-29"/>
        </w:rPr>
        <w:t> </w:t>
      </w:r>
      <w:r>
        <w:rPr>
          <w:spacing w:val="-29"/>
        </w:rPr>
      </w:r>
      <w:r>
        <w:rPr>
          <w:spacing w:val="-2"/>
        </w:rPr>
        <w:t>处置境外经营时，将与该境外经营相关的外币财务报表折算差额，自所有者权益项目转入处置当期损</w:t>
      </w:r>
    </w:p>
    <w:p>
      <w:pPr>
        <w:pStyle w:val="Heading4"/>
        <w:spacing w:line="240" w:lineRule="auto"/>
        <w:ind w:right="101"/>
        <w:jc w:val="left"/>
      </w:pPr>
      <w:r>
        <w:rPr/>
        <w:t>益。</w:t>
      </w:r>
    </w:p>
    <w:p>
      <w:pPr>
        <w:spacing w:line="650" w:lineRule="atLeast" w:before="3"/>
        <w:ind w:left="572" w:right="4014"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Heading4"/>
        <w:spacing w:line="338" w:lineRule="auto" w:before="116"/>
        <w:ind w:left="572" w:right="101"/>
        <w:jc w:val="left"/>
      </w:pPr>
      <w:r>
        <w:rPr>
          <w:rFonts w:ascii="宋体" w:hAnsi="宋体" w:cs="宋体" w:eastAsia="宋体"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金融资产和金融负债于初始确认时分类为：以公允价值计量且其变动计入当期损益的金</w:t>
      </w:r>
      <w:bookmarkStart w:name="10、金融工具" w:id="175"/>
      <w:bookmarkEnd w:id="175"/>
      <w:r>
        <w:rPr>
          <w:spacing w:val="-2"/>
        </w:rPr>
        <w:t>融</w:t>
      </w:r>
      <w:r>
        <w:rPr>
          <w:spacing w:val="-2"/>
        </w:rPr>
        <w:t>资产或金融</w:t>
      </w:r>
    </w:p>
    <w:p>
      <w:pPr>
        <w:pStyle w:val="Heading4"/>
        <w:spacing w:line="338" w:lineRule="auto" w:before="30"/>
        <w:ind w:left="212" w:right="101"/>
        <w:jc w:val="left"/>
      </w:pPr>
      <w:r>
        <w:rPr>
          <w:spacing w:val="-4"/>
        </w:rPr>
        <w:t>负债，包括交易性金融资产或金融负债和直接指定为以公允价值计量且其变动计入当期损益的金融资产或</w:t>
      </w:r>
      <w:r>
        <w:rPr>
          <w:spacing w:val="-20"/>
        </w:rPr>
        <w:t> </w:t>
      </w:r>
      <w:r>
        <w:rPr>
          <w:spacing w:val="-20"/>
        </w:rPr>
      </w:r>
      <w:r>
        <w:rPr/>
        <w:t>金融负债；持有至到期投资；应收款项；可供出售金融资产；其他金融负债等。</w:t>
      </w:r>
    </w:p>
    <w:p>
      <w:pPr>
        <w:pStyle w:val="Heading3"/>
        <w:spacing w:line="240" w:lineRule="auto" w:before="30"/>
        <w:ind w:right="101"/>
        <w:jc w:val="left"/>
        <w:rPr>
          <w:b w:val="0"/>
          <w:bCs w:val="0"/>
        </w:rPr>
      </w:pPr>
      <w:r>
        <w:rPr>
          <w:rFonts w:ascii="宋体" w:hAnsi="宋体" w:cs="宋体" w:eastAsia="宋体" w:hint="default"/>
        </w:rPr>
        <w:t>(2)</w:t>
      </w:r>
      <w:r>
        <w:rPr/>
        <w:t>金融工具的确认依据和计量方法</w:t>
      </w:r>
      <w:r>
        <w:rPr>
          <w:b w:val="0"/>
          <w:bCs w:val="0"/>
        </w:rPr>
      </w:r>
    </w:p>
    <w:p>
      <w:pPr>
        <w:pStyle w:val="Heading4"/>
        <w:spacing w:line="340" w:lineRule="auto" w:before="114"/>
        <w:ind w:left="572" w:right="101"/>
        <w:jc w:val="left"/>
      </w:pPr>
      <w:r>
        <w:rPr/>
        <w:t>①以公允价值计量且其变动计入当期损益的金融资产（金融负债）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Heading4"/>
        <w:spacing w:line="340" w:lineRule="auto"/>
        <w:ind w:left="572" w:right="101"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spacing w:after="0" w:line="3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3"/>
          <w:szCs w:val="23"/>
        </w:rPr>
      </w:pPr>
    </w:p>
    <w:p>
      <w:pPr>
        <w:pStyle w:val="Heading4"/>
        <w:spacing w:line="340" w:lineRule="auto" w:before="36"/>
        <w:ind w:left="572" w:right="101"/>
        <w:jc w:val="left"/>
      </w:pPr>
      <w:r>
        <w:rPr/>
        <w:t>②持有至到期投资</w:t>
      </w:r>
      <w:r>
        <w:rPr>
          <w:w w:val="100"/>
        </w:rPr>
        <w:t> </w:t>
      </w:r>
      <w:r>
        <w:rPr>
          <w:spacing w:val="-5"/>
        </w:rPr>
        <w:t>取得时按公允价值（扣除已到付息期但尚未领取的债券利息）和相关交易费用之和作为初始确认金额。</w:t>
      </w:r>
      <w:r>
        <w:rPr>
          <w:spacing w:val="-21"/>
        </w:rPr>
        <w:t> </w:t>
      </w:r>
      <w:r>
        <w:rPr>
          <w:spacing w:val="-21"/>
        </w:rPr>
      </w:r>
      <w:r>
        <w:rPr/>
        <w:t>持有期间按照摊余成本和实际利率计算确认利息收入，计入投资收益。实际利率在取得时确定，在该</w:t>
      </w:r>
    </w:p>
    <w:p>
      <w:pPr>
        <w:pStyle w:val="Heading4"/>
        <w:spacing w:line="340" w:lineRule="auto"/>
        <w:ind w:left="572" w:right="101" w:hanging="361"/>
        <w:jc w:val="left"/>
      </w:pPr>
      <w:r>
        <w:rPr/>
        <w:t>预期存续期间或适用的更短期间内保持不变。</w:t>
      </w:r>
      <w:r>
        <w:rPr>
          <w:w w:val="100"/>
        </w:rPr>
        <w:t> </w:t>
      </w:r>
      <w:r>
        <w:rPr>
          <w:spacing w:val="-2"/>
        </w:rPr>
        <w:t>处置时，将所取得价款与该投资账面价值之间的差额计入投资收益。</w:t>
      </w:r>
    </w:p>
    <w:p>
      <w:pPr>
        <w:pStyle w:val="Heading4"/>
        <w:spacing w:line="340" w:lineRule="auto"/>
        <w:ind w:left="572" w:right="101"/>
        <w:jc w:val="left"/>
      </w:pPr>
      <w:r>
        <w:rPr/>
        <w:t>③应收款项</w:t>
      </w:r>
      <w:r>
        <w:rPr>
          <w:spacing w:val="-102"/>
        </w:rPr>
        <w:t> </w:t>
      </w:r>
      <w:r>
        <w:rPr>
          <w:spacing w:val="-102"/>
        </w:rPr>
      </w:r>
      <w:r>
        <w:rPr>
          <w:spacing w:val="-2"/>
        </w:rPr>
        <w:t>公司对外销售商品或提供劳务形成的应收债权，以及公司持有的其他企业的不包括在活跃市场上有报</w:t>
      </w:r>
    </w:p>
    <w:p>
      <w:pPr>
        <w:pStyle w:val="Heading4"/>
        <w:spacing w:line="340" w:lineRule="auto"/>
        <w:ind w:left="212" w:right="101"/>
        <w:jc w:val="left"/>
      </w:pPr>
      <w:r>
        <w:rPr>
          <w:spacing w:val="-4"/>
        </w:rPr>
        <w:t>价的债务工具的债权，包括应收账款、其他应收款等，以向购货方应收的合同或协议价款作为初始确认金</w:t>
      </w:r>
      <w:r>
        <w:rPr>
          <w:spacing w:val="-13"/>
        </w:rPr>
        <w:t> </w:t>
      </w:r>
      <w:r>
        <w:rPr>
          <w:spacing w:val="-13"/>
        </w:rPr>
      </w:r>
      <w:r>
        <w:rPr/>
        <w:t>额；具有融资性质的，按其现值进行初始确认。</w:t>
      </w:r>
    </w:p>
    <w:p>
      <w:pPr>
        <w:pStyle w:val="Heading4"/>
        <w:spacing w:line="240" w:lineRule="auto"/>
        <w:ind w:left="572" w:right="101"/>
        <w:jc w:val="left"/>
      </w:pPr>
      <w:r>
        <w:rPr/>
        <w:t>收回或处置时，将取得的价款与该应收款项账面价值之间的差额计入当期损益。</w:t>
      </w:r>
    </w:p>
    <w:p>
      <w:pPr>
        <w:pStyle w:val="Heading4"/>
        <w:spacing w:line="338" w:lineRule="auto" w:before="116"/>
        <w:ind w:left="572" w:right="101"/>
        <w:jc w:val="left"/>
      </w:pPr>
      <w:r>
        <w:rPr/>
        <w:t>④可供出售金融资产</w:t>
      </w:r>
      <w:r>
        <w:rPr>
          <w:w w:val="100"/>
        </w:rPr>
        <w:t> </w:t>
      </w:r>
      <w:r>
        <w:rPr>
          <w:spacing w:val="-2"/>
        </w:rPr>
        <w:t>取得时按公允价值（扣除已宣告但尚未发放的现金股利或已到付息期但尚未领取的债券利息）和相关</w:t>
      </w:r>
    </w:p>
    <w:p>
      <w:pPr>
        <w:pStyle w:val="Heading4"/>
        <w:spacing w:line="338" w:lineRule="auto" w:before="30"/>
        <w:ind w:left="572" w:right="101" w:hanging="360"/>
        <w:jc w:val="left"/>
      </w:pPr>
      <w:r>
        <w:rPr/>
        <w:t>交易费用之和作为初始确认金额。</w:t>
      </w:r>
      <w:r>
        <w:rPr>
          <w:w w:val="100"/>
        </w:rPr>
        <w:t> </w:t>
      </w:r>
      <w:r>
        <w:rPr>
          <w:spacing w:val="-2"/>
        </w:rPr>
        <w:t>持有期间将取得的利息或现金股利确认为投资收益。期末以公允价值计量且将公允价值变动计入其他</w:t>
      </w:r>
      <w:r>
        <w:rPr/>
      </w:r>
    </w:p>
    <w:p>
      <w:pPr>
        <w:pStyle w:val="Heading4"/>
        <w:spacing w:line="338" w:lineRule="auto" w:before="30"/>
        <w:ind w:left="212" w:right="101"/>
        <w:jc w:val="left"/>
      </w:pPr>
      <w:r>
        <w:rPr>
          <w:spacing w:val="-4"/>
        </w:rPr>
        <w:t>综合收益。但是，在活跃市场中没有报价且其公允价值不能可靠计量的权益工具投资，以及与该权益工具</w:t>
      </w:r>
      <w:r>
        <w:rPr>
          <w:spacing w:val="-23"/>
        </w:rPr>
        <w:t> </w:t>
      </w:r>
      <w:r>
        <w:rPr>
          <w:spacing w:val="-23"/>
        </w:rPr>
      </w:r>
      <w:r>
        <w:rPr/>
        <w:t>挂钩并须通过交付该权益工具结算的衍生金融资产，按照成本计量。</w:t>
      </w:r>
    </w:p>
    <w:p>
      <w:pPr>
        <w:pStyle w:val="Heading4"/>
        <w:spacing w:line="338" w:lineRule="auto" w:before="30"/>
        <w:ind w:left="212" w:right="101" w:firstLine="360"/>
        <w:jc w:val="left"/>
      </w:pPr>
      <w:r>
        <w:rPr>
          <w:spacing w:val="-2"/>
        </w:rPr>
        <w:t>处置时，将取得的价款与该金融资产账面价值之间的差额，计入投资损益；同时，将原直接计入其他</w:t>
      </w:r>
      <w:r>
        <w:rPr>
          <w:w w:val="100"/>
        </w:rPr>
        <w:t> </w:t>
      </w:r>
      <w:r>
        <w:rPr/>
        <w:t>综合收益的公允价值变动累计额对应处置部分的金额转出，计入当期损益。</w:t>
      </w:r>
    </w:p>
    <w:p>
      <w:pPr>
        <w:pStyle w:val="Heading4"/>
        <w:spacing w:line="340" w:lineRule="auto" w:before="30"/>
        <w:ind w:left="572" w:right="207"/>
        <w:jc w:val="left"/>
      </w:pPr>
      <w:r>
        <w:rPr/>
        <w:t>⑤其他金融负债</w:t>
      </w:r>
      <w:r>
        <w:rPr>
          <w:spacing w:val="-103"/>
        </w:rPr>
        <w:t> </w:t>
      </w:r>
      <w:r>
        <w:rPr>
          <w:spacing w:val="-103"/>
        </w:rPr>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spacing w:val="-104"/>
        </w:rPr>
        <w:t> </w:t>
      </w:r>
      <w:r>
        <w:rPr>
          <w:rFonts w:ascii="宋体" w:hAnsi="宋体" w:cs="宋体" w:eastAsia="宋体" w:hint="default"/>
          <w:b/>
          <w:bCs/>
          <w:spacing w:val="-104"/>
        </w:rPr>
      </w:r>
      <w:r>
        <w:rPr>
          <w:spacing w:val="-2"/>
        </w:rPr>
        <w:t>公司发生金融资产转移时，如已将金融资产所有权上几乎所有的风险和报酬转移给转入方，则终止确</w:t>
      </w:r>
    </w:p>
    <w:p>
      <w:pPr>
        <w:pStyle w:val="Heading4"/>
        <w:spacing w:line="338" w:lineRule="auto" w:before="28"/>
        <w:ind w:left="572" w:right="101"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Heading4"/>
        <w:spacing w:line="338" w:lineRule="auto" w:before="30"/>
        <w:ind w:right="101"/>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Heading4"/>
        <w:spacing w:line="240" w:lineRule="auto" w:before="30"/>
        <w:ind w:left="572" w:right="101"/>
        <w:jc w:val="left"/>
      </w:pPr>
      <w:r>
        <w:rPr/>
        <w:t>①所转移金融资产的账面价值；</w:t>
      </w:r>
    </w:p>
    <w:p>
      <w:pPr>
        <w:pStyle w:val="Heading4"/>
        <w:spacing w:line="340" w:lineRule="auto" w:before="114"/>
        <w:ind w:right="101" w:firstLine="422"/>
        <w:jc w:val="left"/>
      </w:pPr>
      <w:r>
        <w:rPr>
          <w:spacing w:val="-2"/>
        </w:rPr>
        <w:t>②因转移而收到的对价，与原直接计入所有者权益的公允价值变动累计额（涉及转移的金融资产为可</w:t>
      </w:r>
      <w:r>
        <w:rPr>
          <w:w w:val="100"/>
        </w:rPr>
        <w:t> </w:t>
      </w:r>
      <w:r>
        <w:rPr/>
        <w:t>供出售金融资产的情形）之和。</w:t>
      </w:r>
    </w:p>
    <w:p>
      <w:pPr>
        <w:pStyle w:val="Heading4"/>
        <w:spacing w:line="340" w:lineRule="auto"/>
        <w:ind w:right="101"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Heading4"/>
        <w:spacing w:line="240" w:lineRule="auto"/>
        <w:ind w:left="572" w:right="101"/>
        <w:jc w:val="left"/>
      </w:pPr>
      <w:r>
        <w:rPr/>
        <w:t>①终止确认部分的账面价值；</w:t>
      </w:r>
    </w:p>
    <w:p>
      <w:pPr>
        <w:pStyle w:val="Heading4"/>
        <w:spacing w:line="240" w:lineRule="auto" w:before="116"/>
        <w:ind w:left="575" w:right="101"/>
        <w:jc w:val="left"/>
      </w:pPr>
      <w:r>
        <w:rPr/>
        <w:t>②终止确认部分的对价，与原直接计入所有者权益的公允价值变动累计额中对应终止确认部分的金额</w:t>
      </w:r>
    </w:p>
    <w:p>
      <w:pPr>
        <w:pStyle w:val="Heading4"/>
        <w:spacing w:line="340" w:lineRule="auto" w:before="114"/>
        <w:ind w:left="573" w:right="101" w:hanging="421"/>
        <w:jc w:val="left"/>
      </w:pPr>
      <w:r>
        <w:rPr/>
        <w:t>（涉及转移的金融资产为可供出售金融资产的情形）之和。</w:t>
      </w:r>
      <w:r>
        <w:rPr>
          <w:w w:val="100"/>
        </w:rPr>
        <w:t> </w:t>
      </w:r>
      <w:r>
        <w:rPr>
          <w:spacing w:val="-2"/>
        </w:rPr>
        <w:t>金融资产转移不满足终止确认条件的，继续确认该金融资产，所收到的对价确认为一项金融负债。</w:t>
      </w:r>
    </w:p>
    <w:p>
      <w:pPr>
        <w:spacing w:after="0" w:line="3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3"/>
          <w:szCs w:val="23"/>
        </w:rPr>
      </w:pPr>
    </w:p>
    <w:p>
      <w:pPr>
        <w:spacing w:line="338" w:lineRule="auto" w:before="36"/>
        <w:ind w:left="632" w:right="101" w:firstLine="0"/>
        <w:jc w:val="left"/>
        <w:rPr>
          <w:rFonts w:ascii="宋体" w:hAnsi="宋体" w:cs="宋体" w:eastAsia="宋体" w:hint="default"/>
          <w:sz w:val="21"/>
          <w:szCs w:val="21"/>
        </w:rPr>
      </w:pPr>
      <w:bookmarkStart w:name="11、应收款项" w:id="176"/>
      <w:bookmarkEnd w:id="176"/>
      <w:r>
        <w:rPr/>
      </w:r>
      <w:bookmarkStart w:name="(1)单项金额重大并单独计提坏账准备的应收款项" w:id="177"/>
      <w:bookmarkEnd w:id="177"/>
      <w:r>
        <w:rPr/>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spacing w:val="-103"/>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r>
        <w:rPr>
          <w:rFonts w:ascii="宋体" w:hAnsi="宋体" w:cs="宋体" w:eastAsia="宋体" w:hint="default"/>
          <w:sz w:val="21"/>
          <w:szCs w:val="21"/>
        </w:rPr>
      </w:r>
    </w:p>
    <w:p>
      <w:pPr>
        <w:pStyle w:val="Heading4"/>
        <w:spacing w:line="338" w:lineRule="auto" w:before="30"/>
        <w:ind w:left="212" w:right="147"/>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Heading4"/>
        <w:spacing w:line="338" w:lineRule="auto" w:before="30"/>
        <w:ind w:left="212" w:right="147"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Heading4"/>
        <w:spacing w:line="338" w:lineRule="auto" w:before="30"/>
        <w:ind w:left="212" w:right="147"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Heading4"/>
        <w:spacing w:line="340" w:lineRule="auto" w:before="30"/>
        <w:ind w:left="212" w:right="147"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340" w:lineRule="auto" w:before="26"/>
        <w:ind w:left="632" w:right="10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存在活跃市场的金融工具，以活跃市场中的报价确定其公允价值。不存在活跃市场的金融工具，采用</w:t>
      </w:r>
    </w:p>
    <w:p>
      <w:pPr>
        <w:pStyle w:val="Heading4"/>
        <w:spacing w:line="340" w:lineRule="auto"/>
        <w:ind w:left="212" w:right="125"/>
        <w:jc w:val="both"/>
      </w:pPr>
      <w:r>
        <w:rPr>
          <w:spacing w:val="-2"/>
        </w:rPr>
        <w:t>估值技术确定其公允价值。在估值时，本公司采用在当前情况下适用并且有足够可利用数据和其他信息支</w:t>
      </w:r>
      <w:r>
        <w:rPr>
          <w:spacing w:val="-43"/>
        </w:rPr>
        <w:t> </w:t>
      </w:r>
      <w:r>
        <w:rPr>
          <w:spacing w:val="-43"/>
        </w:rPr>
      </w:r>
      <w:r>
        <w:rPr>
          <w:spacing w:val="-2"/>
        </w:rPr>
        <w:t>持的估值技术，选择与市场参与者在相关资产或负债的交易中所考虑的资产或负债特征相一致的输入值，</w:t>
      </w:r>
      <w:r>
        <w:rPr>
          <w:spacing w:val="-21"/>
        </w:rPr>
        <w:t> </w:t>
      </w:r>
      <w:r>
        <w:rPr>
          <w:spacing w:val="-21"/>
        </w:rPr>
      </w:r>
      <w:r>
        <w:rPr>
          <w:spacing w:val="-2"/>
        </w:rPr>
        <w:t>并优先使用相关可观察输入值。只有在相关可观察输入值无法取得或取得不切实可行的情况下，才使用不</w:t>
      </w:r>
      <w:r>
        <w:rPr>
          <w:spacing w:val="-43"/>
        </w:rPr>
        <w:t> </w:t>
      </w:r>
      <w:r>
        <w:rPr>
          <w:spacing w:val="-43"/>
        </w:rPr>
      </w:r>
      <w:r>
        <w:rPr/>
        <w:t>可观察输入值。</w:t>
      </w:r>
    </w:p>
    <w:p>
      <w:pPr>
        <w:spacing w:line="340" w:lineRule="auto" w:before="26"/>
        <w:ind w:left="632" w:right="101"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w:t>
      </w:r>
    </w:p>
    <w:p>
      <w:pPr>
        <w:pStyle w:val="Heading4"/>
        <w:spacing w:line="240" w:lineRule="auto"/>
        <w:ind w:left="212" w:right="0"/>
        <w:jc w:val="both"/>
      </w:pPr>
      <w:r>
        <w:rPr/>
        <w:t>值进行检查，如果有客观证据表明某项金融资产发生减值的，计提减值准备。</w:t>
      </w:r>
    </w:p>
    <w:p>
      <w:pPr>
        <w:pStyle w:val="Heading4"/>
        <w:spacing w:line="338" w:lineRule="auto" w:before="116"/>
        <w:ind w:left="695" w:right="101" w:hanging="63"/>
        <w:jc w:val="left"/>
      </w:pPr>
      <w:r>
        <w:rPr/>
        <w:t>①可供出售金融资产的减值准备：</w:t>
      </w:r>
      <w:r>
        <w:rPr>
          <w:w w:val="100"/>
        </w:rPr>
        <w:t> </w:t>
      </w:r>
      <w:r>
        <w:rPr>
          <w:spacing w:val="-4"/>
        </w:rPr>
        <w:t>期末如果可供出售金融资产的公允价值发生严重下降，或在综合考虑各种相关因素后，预期这种下降</w:t>
      </w:r>
      <w:r>
        <w:rPr/>
      </w:r>
    </w:p>
    <w:p>
      <w:pPr>
        <w:pStyle w:val="Heading4"/>
        <w:spacing w:line="338" w:lineRule="auto" w:before="30"/>
        <w:ind w:left="272" w:right="149"/>
        <w:jc w:val="both"/>
      </w:pPr>
      <w:r>
        <w:rPr>
          <w:spacing w:val="-4"/>
        </w:rPr>
        <w:t>趋势属于非暂时性的，就认定其已发生减值，将原直接计入所有者权益的公允价值下降形成的累计损失一</w:t>
      </w:r>
      <w:r>
        <w:rPr>
          <w:spacing w:val="-14"/>
        </w:rPr>
        <w:t> </w:t>
      </w:r>
      <w:r>
        <w:rPr>
          <w:spacing w:val="-14"/>
        </w:rPr>
      </w:r>
      <w:r>
        <w:rPr/>
        <w:t>并转出，确认减值损失。</w:t>
      </w:r>
    </w:p>
    <w:p>
      <w:pPr>
        <w:pStyle w:val="Heading4"/>
        <w:spacing w:line="338" w:lineRule="auto" w:before="30"/>
        <w:ind w:left="272" w:right="147" w:firstLine="360"/>
        <w:jc w:val="both"/>
      </w:pPr>
      <w:r>
        <w:rPr>
          <w:spacing w:val="-2"/>
        </w:rPr>
        <w:t>对于已确认减值损失的可供出售债务工具，在随后的会计期间公允价值已上升且客观上与确认原减值</w:t>
      </w:r>
      <w:r>
        <w:rPr>
          <w:w w:val="100"/>
        </w:rPr>
        <w:t> </w:t>
      </w:r>
      <w:r>
        <w:rPr/>
        <w:t>损失确认后发生的事项有关的，原确认的减值损失予以转回，计入当期损益。</w:t>
      </w:r>
    </w:p>
    <w:p>
      <w:pPr>
        <w:pStyle w:val="Heading4"/>
        <w:spacing w:line="240" w:lineRule="auto" w:before="30"/>
        <w:ind w:left="632" w:right="101"/>
        <w:jc w:val="left"/>
      </w:pPr>
      <w:r>
        <w:rPr/>
        <w:t>可供出售权益工具投资发生的减值损失，不通过损益转回。</w:t>
      </w:r>
    </w:p>
    <w:p>
      <w:pPr>
        <w:pStyle w:val="Heading4"/>
        <w:spacing w:line="340" w:lineRule="auto" w:before="114"/>
        <w:ind w:left="632" w:right="101"/>
        <w:jc w:val="left"/>
      </w:pPr>
      <w:r>
        <w:rPr/>
        <w:t>②持有至到期投资的减值准备：</w:t>
      </w:r>
      <w:r>
        <w:rPr>
          <w:w w:val="100"/>
        </w:rPr>
        <w:t> </w:t>
      </w:r>
      <w:r>
        <w:rPr>
          <w:spacing w:val="-2"/>
        </w:rPr>
        <w:t>持有至到期投资减值损失的计量比照应收款项减值损失计量方法处理。</w:t>
      </w:r>
    </w:p>
    <w:p>
      <w:pPr>
        <w:spacing w:line="240" w:lineRule="auto" w:before="13"/>
        <w:rPr>
          <w:rFonts w:ascii="宋体" w:hAnsi="宋体" w:cs="宋体" w:eastAsia="宋体" w:hint="default"/>
          <w:sz w:val="21"/>
          <w:szCs w:val="21"/>
        </w:rPr>
      </w:pPr>
    </w:p>
    <w:p>
      <w:pPr>
        <w:pStyle w:val="Heading3"/>
        <w:spacing w:line="537" w:lineRule="auto" w:before="0"/>
        <w:ind w:left="632" w:right="4820"/>
        <w:jc w:val="left"/>
        <w:rPr>
          <w:b w:val="0"/>
          <w:bCs w:val="0"/>
        </w:rPr>
      </w:pPr>
      <w:r>
        <w:rPr>
          <w:rFonts w:ascii="宋体" w:hAnsi="宋体" w:cs="宋体" w:eastAsia="宋体" w:hint="default"/>
        </w:rPr>
        <w:t>11</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828"/>
        <w:gridCol w:w="5741"/>
      </w:tblGrid>
      <w:tr>
        <w:trPr>
          <w:trHeight w:val="40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674"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单独进行减值测试，如有客观证据表明其已发生减值，按预计未来现金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流量现值低于其账面价值的差额计提坏账准备，计入当期损益。单独测</w:t>
            </w:r>
          </w:p>
        </w:tc>
      </w:tr>
    </w:tbl>
    <w:p>
      <w:pPr>
        <w:spacing w:after="0" w:line="316" w:lineRule="auto"/>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3"/>
        <w:rPr>
          <w:rFonts w:ascii="宋体" w:hAnsi="宋体" w:cs="宋体" w:eastAsia="宋体" w:hint="default"/>
          <w:b/>
          <w:bCs/>
          <w:sz w:val="24"/>
          <w:szCs w:val="24"/>
        </w:rPr>
      </w:pPr>
    </w:p>
    <w:p>
      <w:pPr>
        <w:spacing w:line="381" w:lineRule="exact"/>
        <w:ind w:left="100" w:right="0" w:firstLine="0"/>
        <w:rPr>
          <w:rFonts w:ascii="宋体" w:hAnsi="宋体" w:cs="宋体" w:eastAsia="宋体" w:hint="default"/>
          <w:sz w:val="20"/>
          <w:szCs w:val="20"/>
        </w:rPr>
      </w:pPr>
      <w:bookmarkStart w:name="12、存货" w:id="178"/>
      <w:bookmarkEnd w:id="178"/>
      <w:r>
        <w:rPr/>
      </w: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0;width:3819;height:2" coordorigin="10,10" coordsize="3819,2">
              <v:shape style="position:absolute;left:10;top:10;width:3819;height:2" coordorigin="10,10" coordsize="3819,0" path="m10,10l3828,10e" filled="false" stroked="true" strokeweight=".48pt" strokecolor="#000000">
                <v:path arrowok="t"/>
              </v:shape>
            </v:group>
            <v:group style="position:absolute;left:3838;top:10;width:5732;height:2" coordorigin="3838,10" coordsize="5732,2">
              <v:shape style="position:absolute;left:3838;top:10;width:5732;height:2" coordorigin="3838,10" coordsize="5732,0" path="m383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819;height:2" coordorigin="10,372" coordsize="3819,2">
              <v:shape style="position:absolute;left:10;top:372;width:3819;height:2" coordorigin="10,372" coordsize="3819,0" path="m10,372l3828,372e" filled="false" stroked="true" strokeweight=".48pt" strokecolor="#000000">
                <v:path arrowok="t"/>
              </v:shape>
            </v:group>
            <v:group style="position:absolute;left:3833;top:5;width:2;height:372" coordorigin="3833,5" coordsize="2,372">
              <v:shape style="position:absolute;left:3833;top:5;width:2;height:372" coordorigin="3833,5" coordsize="0,372" path="m3833,5l3833,377e" filled="false" stroked="true" strokeweight=".48pt" strokecolor="#000000">
                <v:path arrowok="t"/>
              </v:shape>
            </v:group>
            <v:group style="position:absolute;left:3838;top:372;width:5732;height:2" coordorigin="3838,372" coordsize="5732,2">
              <v:shape style="position:absolute;left:3838;top:372;width:5732;height:2" coordorigin="3838,372" coordsize="5732,0" path="m383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833;top:10;width:5741;height:363" type="#_x0000_t202" filled="false" stroked="false">
                <v:textbox inset="0,0,0,0">
                  <w:txbxContent>
                    <w:p>
                      <w:pPr>
                        <w:spacing w:before="13"/>
                        <w:ind w:left="108" w:right="0" w:firstLine="0"/>
                        <w:jc w:val="left"/>
                        <w:rPr>
                          <w:rFonts w:ascii="宋体" w:hAnsi="宋体" w:cs="宋体" w:eastAsia="宋体" w:hint="default"/>
                          <w:sz w:val="18"/>
                          <w:szCs w:val="18"/>
                        </w:rPr>
                      </w:pPr>
                      <w:r>
                        <w:rPr>
                          <w:rFonts w:ascii="宋体" w:hAnsi="宋体" w:cs="宋体" w:eastAsia="宋体" w:hint="default"/>
                          <w:sz w:val="18"/>
                          <w:szCs w:val="18"/>
                        </w:rPr>
                        <w:t>试未发生减值的应收款项，将其归入相应组合计提坏账准备。</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b/>
          <w:bCs/>
          <w:sz w:val="18"/>
          <w:szCs w:val="18"/>
        </w:rPr>
      </w:pPr>
    </w:p>
    <w:p>
      <w:pPr>
        <w:pStyle w:val="Heading3"/>
        <w:spacing w:line="240" w:lineRule="auto"/>
        <w:ind w:left="632" w:right="101"/>
        <w:jc w:val="left"/>
        <w:rPr>
          <w:b w:val="0"/>
          <w:bCs w:val="0"/>
        </w:rPr>
      </w:pPr>
      <w:bookmarkStart w:name="(2)按信用风险特征组合计提坏账准备的应收款项" w:id="179"/>
      <w:bookmarkEnd w:id="179"/>
      <w:r>
        <w:rPr>
          <w:b w:val="0"/>
          <w:bCs w:val="0"/>
        </w:rPr>
      </w: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：合并范围内的关联方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不计提坏账准备</w:t>
            </w:r>
          </w:p>
        </w:tc>
      </w:tr>
    </w:tbl>
    <w:p>
      <w:pPr>
        <w:pStyle w:val="BodyText"/>
        <w:spacing w:line="240" w:lineRule="auto" w:before="49"/>
        <w:ind w:left="632" w:right="101"/>
        <w:jc w:val="left"/>
      </w:pPr>
      <w:r>
        <w:rPr/>
        <w:t>组合中，采用账龄分析法计提坏账准备的：</w:t>
      </w:r>
    </w:p>
    <w:p>
      <w:pPr>
        <w:spacing w:line="240" w:lineRule="auto" w:before="2"/>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49"/>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19"/>
          <w:szCs w:val="19"/>
        </w:rPr>
      </w:pPr>
    </w:p>
    <w:p>
      <w:pPr>
        <w:pStyle w:val="Heading3"/>
        <w:spacing w:line="240" w:lineRule="auto"/>
        <w:ind w:left="632" w:right="101"/>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410"/>
        <w:gridCol w:w="7159"/>
      </w:tblGrid>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bookmarkStart w:name="(3)单项金额不重大但单独计提坏账准备的应收款项" w:id="180"/>
            <w:bookmarkEnd w:id="180"/>
            <w:r>
              <w:rPr/>
            </w:r>
            <w:r>
              <w:rPr>
                <w:rFonts w:ascii="宋体" w:hAnsi="宋体" w:cs="宋体" w:eastAsia="宋体" w:hint="default"/>
                <w:spacing w:val="-3"/>
                <w:sz w:val="18"/>
                <w:szCs w:val="18"/>
              </w:rPr>
              <w:t>如有客观证据表明年末单项金额不重大的应收款项发生了减值的，根据其未来现金流量现</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值低于其账面价值的差额，确认减值损失，计提坏账准备。</w:t>
            </w:r>
          </w:p>
        </w:tc>
      </w:tr>
      <w:tr>
        <w:trPr>
          <w:trHeight w:val="20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105" w:right="98"/>
              <w:jc w:val="left"/>
              <w:rPr>
                <w:rFonts w:ascii="宋体" w:hAnsi="宋体" w:cs="宋体" w:eastAsia="宋体" w:hint="default"/>
                <w:sz w:val="18"/>
                <w:szCs w:val="18"/>
              </w:rPr>
            </w:pPr>
            <w:r>
              <w:rPr>
                <w:rFonts w:ascii="宋体" w:hAnsi="宋体" w:cs="宋体" w:eastAsia="宋体" w:hint="default"/>
                <w:spacing w:val="-2"/>
                <w:sz w:val="18"/>
                <w:szCs w:val="18"/>
              </w:rPr>
              <w:t>单独测试未发生减值的应收账款和其他应收款，以账龄为信用风险特征根据账龄分析法计</w:t>
            </w:r>
            <w:r>
              <w:rPr>
                <w:rFonts w:ascii="宋体" w:hAnsi="宋体" w:cs="宋体" w:eastAsia="宋体" w:hint="default"/>
                <w:sz w:val="18"/>
                <w:szCs w:val="18"/>
              </w:rPr>
              <w:t> 提坏账准备。 </w:t>
            </w:r>
            <w:r>
              <w:rPr>
                <w:rFonts w:ascii="宋体" w:hAnsi="宋体" w:cs="宋体" w:eastAsia="宋体" w:hint="default"/>
                <w:spacing w:val="-2"/>
                <w:sz w:val="18"/>
                <w:szCs w:val="18"/>
              </w:rPr>
              <w:t>其他说明：年末对于不适用按账龄段划分的类似信用风险特征组合的应收票据、预付账款</w:t>
            </w:r>
          </w:p>
          <w:p>
            <w:pPr>
              <w:pStyle w:val="TableParagraph"/>
              <w:spacing w:line="316" w:lineRule="auto" w:before="2"/>
              <w:ind w:left="105" w:right="98"/>
              <w:jc w:val="both"/>
              <w:rPr>
                <w:rFonts w:ascii="宋体" w:hAnsi="宋体" w:cs="宋体" w:eastAsia="宋体" w:hint="default"/>
                <w:sz w:val="18"/>
                <w:szCs w:val="18"/>
              </w:rPr>
            </w:pPr>
            <w:r>
              <w:rPr>
                <w:rFonts w:ascii="宋体" w:hAnsi="宋体" w:cs="宋体" w:eastAsia="宋体" w:hint="default"/>
                <w:spacing w:val="-2"/>
                <w:sz w:val="18"/>
                <w:szCs w:val="18"/>
              </w:rPr>
              <w:t>和长期应收款均进行单项减值测试。如有客观证据表明其发生了减值的，根据其未来现金</w:t>
            </w:r>
            <w:r>
              <w:rPr>
                <w:rFonts w:ascii="宋体" w:hAnsi="宋体" w:cs="宋体" w:eastAsia="宋体" w:hint="default"/>
                <w:sz w:val="18"/>
                <w:szCs w:val="18"/>
              </w:rPr>
              <w:t> </w:t>
            </w:r>
            <w:r>
              <w:rPr>
                <w:rFonts w:ascii="宋体" w:hAnsi="宋体" w:cs="宋体" w:eastAsia="宋体" w:hint="default"/>
                <w:spacing w:val="-3"/>
                <w:sz w:val="18"/>
                <w:szCs w:val="18"/>
              </w:rPr>
              <w:t>流量现值低于其账面价值的差额，确认减值损失，计提坏账准备。如经减值测试未发现减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值的，则不计提坏账准备。</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宋体" w:hAnsi="宋体" w:cs="宋体" w:eastAsia="宋体" w:hint="default"/>
        </w:rPr>
        <w:t>12</w:t>
      </w:r>
      <w:r>
        <w:rPr/>
        <w:t>、存货</w:t>
      </w:r>
      <w:r>
        <w:rPr>
          <w:b w:val="0"/>
          <w:bCs w:val="0"/>
        </w:rPr>
      </w:r>
    </w:p>
    <w:p>
      <w:pPr>
        <w:spacing w:line="240" w:lineRule="auto" w:before="12"/>
        <w:rPr>
          <w:rFonts w:ascii="宋体" w:hAnsi="宋体" w:cs="宋体" w:eastAsia="宋体" w:hint="default"/>
          <w:b/>
          <w:bCs/>
          <w:sz w:val="28"/>
          <w:szCs w:val="28"/>
        </w:rPr>
      </w:pPr>
    </w:p>
    <w:p>
      <w:pPr>
        <w:spacing w:line="340" w:lineRule="auto" w:before="0"/>
        <w:ind w:left="632" w:right="401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存货分类为：原材料、在产品、库存商品、开发产品等。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Heading4"/>
        <w:spacing w:line="240" w:lineRule="auto" w:before="25"/>
        <w:ind w:left="632" w:right="101"/>
        <w:jc w:val="left"/>
      </w:pPr>
      <w:r>
        <w:rPr/>
        <w:t>存货发出时按加权平均法计价。</w:t>
      </w:r>
    </w:p>
    <w:p>
      <w:pPr>
        <w:spacing w:line="338" w:lineRule="auto" w:before="116"/>
        <w:ind w:left="632" w:right="10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产成品、库存商品和用于出售的材料等直接用于出售的商品存货，在正常生产经营过程中，以该存货</w:t>
      </w:r>
      <w:r>
        <w:rPr>
          <w:rFonts w:ascii="宋体" w:hAnsi="宋体" w:cs="宋体" w:eastAsia="宋体" w:hint="default"/>
          <w:sz w:val="21"/>
          <w:szCs w:val="21"/>
        </w:rPr>
      </w:r>
    </w:p>
    <w:p>
      <w:pPr>
        <w:pStyle w:val="Heading4"/>
        <w:spacing w:line="338" w:lineRule="auto" w:before="30"/>
        <w:ind w:left="212" w:right="101"/>
        <w:jc w:val="left"/>
      </w:pPr>
      <w:r>
        <w:rPr>
          <w:spacing w:val="-2"/>
        </w:rPr>
        <w:t>的估计售价减去估计的销售费用和相关税费后的金额，确定其可变现净值；需要经过加工的材料存货，在</w:t>
      </w:r>
      <w:r>
        <w:rPr>
          <w:spacing w:val="-43"/>
        </w:rPr>
        <w:t> </w:t>
      </w:r>
      <w:r>
        <w:rPr>
          <w:spacing w:val="-43"/>
        </w:rPr>
      </w:r>
      <w:r>
        <w:rPr>
          <w:spacing w:val="-2"/>
        </w:rPr>
        <w:t>正常生产经营过程中，以所生产的产成品的估计售价减去至完工时估计将要发生的成本、估计的销售费用</w:t>
      </w:r>
    </w:p>
    <w:p>
      <w:pPr>
        <w:spacing w:after="0" w:line="338" w:lineRule="auto"/>
        <w:jc w:val="left"/>
        <w:sectPr>
          <w:pgSz w:w="11910" w:h="16840"/>
          <w:pgMar w:header="877" w:footer="982" w:top="1100" w:bottom="1180" w:left="920" w:right="980"/>
        </w:sectPr>
      </w:pPr>
    </w:p>
    <w:p>
      <w:pPr>
        <w:spacing w:line="240" w:lineRule="auto" w:before="10"/>
        <w:rPr>
          <w:rFonts w:ascii="宋体" w:hAnsi="宋体" w:cs="宋体" w:eastAsia="宋体" w:hint="default"/>
          <w:sz w:val="23"/>
          <w:szCs w:val="23"/>
        </w:rPr>
      </w:pPr>
    </w:p>
    <w:p>
      <w:pPr>
        <w:pStyle w:val="Heading4"/>
        <w:spacing w:line="340" w:lineRule="auto" w:before="36"/>
        <w:ind w:right="146"/>
        <w:jc w:val="both"/>
      </w:pP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Heading4"/>
        <w:spacing w:line="340" w:lineRule="auto"/>
        <w:ind w:right="147"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9"/>
        </w:rPr>
        <w:t> </w:t>
      </w:r>
      <w:r>
        <w:rPr>
          <w:spacing w:val="-49"/>
        </w:rPr>
      </w:r>
      <w:r>
        <w:rPr/>
        <w:t>项目分开计量的存货，则合并计提存货跌价准备。</w:t>
      </w:r>
    </w:p>
    <w:p>
      <w:pPr>
        <w:pStyle w:val="Heading4"/>
        <w:spacing w:line="338" w:lineRule="auto" w:before="28"/>
        <w:ind w:right="147" w:firstLine="420"/>
        <w:jc w:val="both"/>
      </w:pPr>
      <w:r>
        <w:rPr>
          <w:spacing w:val="-2"/>
        </w:rPr>
        <w:t>除有明确证据表明资产负债表日市场价格异常外，存货项目的可变现净值以资产负债表日市场价格为</w:t>
      </w:r>
      <w:r>
        <w:rPr>
          <w:w w:val="100"/>
        </w:rPr>
        <w:t> </w:t>
      </w:r>
      <w:r>
        <w:rPr/>
        <w:t>基础确定。</w:t>
      </w:r>
    </w:p>
    <w:p>
      <w:pPr>
        <w:pStyle w:val="Heading4"/>
        <w:spacing w:line="240" w:lineRule="auto" w:before="30"/>
        <w:ind w:left="572" w:right="0"/>
        <w:jc w:val="left"/>
      </w:pPr>
      <w:r>
        <w:rPr/>
        <w:t>本期期末存货项目的可变现净值以资产负债表日市场价格为基础确定。</w:t>
      </w:r>
    </w:p>
    <w:p>
      <w:pPr>
        <w:spacing w:line="340" w:lineRule="auto" w:before="114"/>
        <w:ind w:left="572" w:right="60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Heading4"/>
        <w:spacing w:line="240" w:lineRule="auto" w:before="28"/>
        <w:ind w:left="572" w:right="0"/>
        <w:jc w:val="left"/>
      </w:pPr>
      <w:r>
        <w:rPr/>
        <w:t>①低值易耗品采用一次转销法；</w:t>
      </w:r>
    </w:p>
    <w:p>
      <w:pPr>
        <w:pStyle w:val="Heading4"/>
        <w:spacing w:line="240" w:lineRule="auto" w:before="114"/>
        <w:ind w:left="572" w:right="0"/>
        <w:jc w:val="left"/>
      </w:pPr>
      <w:r>
        <w:rPr/>
        <w:t>②包装物采用一次转销法。</w:t>
      </w:r>
    </w:p>
    <w:p>
      <w:pPr>
        <w:pStyle w:val="Heading3"/>
        <w:spacing w:line="650" w:lineRule="atLeast" w:before="2"/>
        <w:ind w:right="6085"/>
        <w:jc w:val="left"/>
        <w:rPr>
          <w:b w:val="0"/>
          <w:bCs w:val="0"/>
        </w:rPr>
      </w:pPr>
      <w:r>
        <w:rPr>
          <w:rFonts w:ascii="宋体" w:hAnsi="宋体" w:cs="宋体" w:eastAsia="宋体" w:hint="default"/>
        </w:rPr>
        <w:t>13</w:t>
      </w:r>
      <w:r>
        <w:rPr/>
        <w:t>、长期股权投资</w:t>
      </w:r>
      <w:r>
        <w:rPr>
          <w:spacing w:val="-104"/>
        </w:rPr>
        <w:t> </w:t>
      </w:r>
      <w:r>
        <w:rPr>
          <w:rFonts w:ascii="宋体" w:hAnsi="宋体" w:cs="宋体" w:eastAsia="宋体" w:hint="default"/>
        </w:rPr>
        <w:t>(1)</w:t>
      </w:r>
      <w:r>
        <w:rPr/>
        <w:t>共同控制、重大影响的判断标准</w:t>
      </w:r>
      <w:r>
        <w:rPr>
          <w:b w:val="0"/>
          <w:bCs w:val="0"/>
        </w:rPr>
      </w:r>
    </w:p>
    <w:p>
      <w:pPr>
        <w:pStyle w:val="Heading4"/>
        <w:spacing w:line="340" w:lineRule="auto" w:before="114"/>
        <w:ind w:right="146" w:firstLine="420"/>
        <w:jc w:val="both"/>
      </w:pPr>
      <w:r>
        <w:rPr>
          <w:spacing w:val="-2"/>
        </w:rPr>
        <w:t>共同控制，是指按照相关约定对某项安排所共有的控制，</w:t>
      </w:r>
      <w:bookmarkStart w:name="13、长期股权投资" w:id="181"/>
      <w:bookmarkEnd w:id="181"/>
      <w:r>
        <w:rPr>
          <w:spacing w:val="-2"/>
        </w:rPr>
        <w:t>并</w:t>
      </w:r>
      <w:r>
        <w:rPr>
          <w:spacing w:val="-2"/>
        </w:rPr>
        <w:t>且该安排的相关活动必须经过分享控制权</w:t>
      </w:r>
      <w:r>
        <w:rPr>
          <w:w w:val="100"/>
        </w:rPr>
        <w:t> </w:t>
      </w:r>
      <w:r>
        <w:rPr>
          <w:spacing w:val="-2"/>
        </w:rPr>
        <w:t>的参与方一致同意后才能决策。本公司与其他合营方一同对被投资单位实施共同控制且对被投资单位净资</w:t>
      </w:r>
      <w:r>
        <w:rPr>
          <w:spacing w:val="-43"/>
        </w:rPr>
        <w:t> </w:t>
      </w:r>
      <w:r>
        <w:rPr>
          <w:spacing w:val="-43"/>
        </w:rPr>
      </w:r>
      <w:r>
        <w:rPr/>
        <w:t>产享有权利的，被投资单位为本公司的合营企业。</w:t>
      </w:r>
    </w:p>
    <w:p>
      <w:pPr>
        <w:pStyle w:val="Heading4"/>
        <w:spacing w:line="338" w:lineRule="auto" w:before="28"/>
        <w:ind w:right="147" w:firstLine="420"/>
        <w:jc w:val="both"/>
      </w:pPr>
      <w:r>
        <w:rPr>
          <w:spacing w:val="-2"/>
        </w:rPr>
        <w:t>重大影响，是指对一个企业的财务和经营决策有参与决策的权力，但并不能够控制或者与其他方一起</w:t>
      </w:r>
      <w:r>
        <w:rPr>
          <w:w w:val="100"/>
        </w:rPr>
        <w:t> </w:t>
      </w:r>
      <w:r>
        <w:rPr/>
        <w:t>共同控制这些政策的制定。本公司能够对被投资单位施加重大影响的，被投资单位为本公司联营企业。</w:t>
      </w:r>
    </w:p>
    <w:p>
      <w:pPr>
        <w:pStyle w:val="Heading3"/>
        <w:spacing w:line="240" w:lineRule="auto" w:before="28"/>
        <w:ind w:right="0"/>
        <w:jc w:val="left"/>
        <w:rPr>
          <w:b w:val="0"/>
          <w:bCs w:val="0"/>
        </w:rPr>
      </w:pPr>
      <w:r>
        <w:rPr>
          <w:rFonts w:ascii="宋体" w:hAnsi="宋体" w:cs="宋体" w:eastAsia="宋体" w:hint="default"/>
        </w:rPr>
        <w:t>(2)</w:t>
      </w:r>
      <w:r>
        <w:rPr/>
        <w:t>初始投资成本的确定</w:t>
      </w:r>
      <w:r>
        <w:rPr>
          <w:b w:val="0"/>
          <w:bCs w:val="0"/>
        </w:rPr>
      </w:r>
    </w:p>
    <w:p>
      <w:pPr>
        <w:pStyle w:val="Heading4"/>
        <w:spacing w:line="338" w:lineRule="auto" w:before="116"/>
        <w:ind w:left="572" w:right="0"/>
        <w:jc w:val="left"/>
      </w:pPr>
      <w:r>
        <w:rPr/>
        <w:t>①企业合并形成的长期股权投资</w:t>
      </w:r>
      <w:r>
        <w:rPr>
          <w:w w:val="100"/>
        </w:rPr>
        <w:t> </w:t>
      </w:r>
      <w:r>
        <w:rPr>
          <w:spacing w:val="-2"/>
        </w:rPr>
        <w:t>同一控制下的企业合并：公司以支付现金、转让非现金资产或承担债务方式以及以发行权益性证券作</w:t>
      </w:r>
    </w:p>
    <w:p>
      <w:pPr>
        <w:pStyle w:val="Heading4"/>
        <w:spacing w:line="340" w:lineRule="auto" w:before="30"/>
        <w:ind w:left="212" w:right="146"/>
        <w:jc w:val="both"/>
      </w:pPr>
      <w:r>
        <w:rPr>
          <w:spacing w:val="-4"/>
        </w:rPr>
        <w:t>为合并对价的，在合并日按照取得被合并方所有者权益在最终控制方合并财务报表中的账面价值的份额作</w:t>
      </w:r>
      <w:r>
        <w:rPr>
          <w:spacing w:val="-20"/>
        </w:rPr>
        <w:t> </w:t>
      </w:r>
      <w:r>
        <w:rPr>
          <w:spacing w:val="-20"/>
        </w:rPr>
      </w:r>
      <w:r>
        <w:rPr>
          <w:spacing w:val="-4"/>
        </w:rPr>
        <w:t>为长期股权投资的初始投资成本。因追加投资等原因能够对同一控制下的被投资单位实施控制的，在合并</w:t>
      </w:r>
      <w:r>
        <w:rPr>
          <w:spacing w:val="-14"/>
        </w:rPr>
        <w:t> </w:t>
      </w:r>
      <w:r>
        <w:rPr>
          <w:spacing w:val="-14"/>
        </w:rPr>
      </w:r>
      <w:r>
        <w:rPr>
          <w:spacing w:val="-4"/>
        </w:rPr>
        <w:t>日根据合并后应享有被合并方净资产在最终控制方合并财务报表中的账面价值的份额，确定长期股权投资</w:t>
      </w:r>
      <w:r>
        <w:rPr>
          <w:spacing w:val="-21"/>
        </w:rPr>
        <w:t> </w:t>
      </w:r>
      <w:r>
        <w:rPr>
          <w:spacing w:val="-21"/>
        </w:rPr>
      </w:r>
      <w:r>
        <w:rPr>
          <w:spacing w:val="-4"/>
        </w:rPr>
        <w:t>的初始投资成本。合并日长期股权投资的初始投资成本，与达到合并前的长期股权投资账面价值加上合并</w:t>
      </w:r>
      <w:r>
        <w:rPr>
          <w:spacing w:val="-14"/>
        </w:rPr>
        <w:t> </w:t>
      </w:r>
      <w:r>
        <w:rPr>
          <w:spacing w:val="-14"/>
        </w:rPr>
      </w:r>
      <w:r>
        <w:rPr>
          <w:spacing w:val="-4"/>
        </w:rPr>
        <w:t>日进一步取得股份新支付对价的账面价值之和的差额，调整股本溢价，股本溢价不足冲减的，冲减留存收</w:t>
      </w:r>
      <w:r>
        <w:rPr>
          <w:spacing w:val="-10"/>
        </w:rPr>
        <w:t> </w:t>
      </w:r>
      <w:r>
        <w:rPr>
          <w:spacing w:val="-10"/>
        </w:rPr>
      </w:r>
      <w:r>
        <w:rPr/>
        <w:t>益。</w:t>
      </w:r>
    </w:p>
    <w:p>
      <w:pPr>
        <w:pStyle w:val="Heading4"/>
        <w:spacing w:line="340" w:lineRule="auto" w:before="28"/>
        <w:ind w:right="146" w:firstLine="420"/>
        <w:jc w:val="both"/>
      </w:pPr>
      <w:r>
        <w:rPr>
          <w:spacing w:val="-2"/>
        </w:rPr>
        <w:t>非同一控制下的企业合并：公司按照购买日确定的合并成本作为长期股权投资的初始投资成本。因追</w:t>
      </w:r>
      <w:r>
        <w:rPr>
          <w:w w:val="100"/>
        </w:rPr>
        <w:t> </w:t>
      </w:r>
      <w:r>
        <w:rPr>
          <w:spacing w:val="-2"/>
        </w:rPr>
        <w:t>加投资等原因能够对非同一控制下的被投资单位实施控制的，按照原持有的股权投资账面价值加上新增投</w:t>
      </w:r>
      <w:r>
        <w:rPr>
          <w:spacing w:val="-43"/>
        </w:rPr>
        <w:t> </w:t>
      </w:r>
      <w:r>
        <w:rPr>
          <w:spacing w:val="-43"/>
        </w:rPr>
      </w:r>
      <w:r>
        <w:rPr/>
        <w:t>资成本之和，作为改按成本法核算的初始投资成本。</w:t>
      </w:r>
    </w:p>
    <w:p>
      <w:pPr>
        <w:pStyle w:val="Heading4"/>
        <w:spacing w:line="240" w:lineRule="auto"/>
        <w:ind w:left="572" w:right="0"/>
        <w:jc w:val="left"/>
      </w:pPr>
      <w:r>
        <w:rPr/>
        <w:t>②其他方式取得的长期股权投资</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left="572" w:right="0"/>
        <w:jc w:val="left"/>
      </w:pP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2"/>
        </w:rPr>
        <w:t>在非货币性资产交换具备商业实质和换入资产或换出资产的公允价值能够可靠计量的前提下，非货币</w:t>
      </w:r>
    </w:p>
    <w:p>
      <w:pPr>
        <w:pStyle w:val="Heading4"/>
        <w:spacing w:line="340" w:lineRule="auto"/>
        <w:ind w:right="147"/>
        <w:jc w:val="both"/>
      </w:pPr>
      <w:r>
        <w:rPr>
          <w:spacing w:val="-2"/>
        </w:rPr>
        <w:t>性资产交换换入的长期股权投资以换出资产的公允价值和应支付的相关税费确定其初始投资成本，除非有</w:t>
      </w:r>
      <w:r>
        <w:rPr>
          <w:spacing w:val="-50"/>
        </w:rPr>
        <w:t> </w:t>
      </w:r>
      <w:r>
        <w:rPr>
          <w:spacing w:val="-50"/>
        </w:rPr>
      </w:r>
      <w:r>
        <w:rPr>
          <w:spacing w:val="-2"/>
        </w:rPr>
        <w:t>确凿证据表明换入资产的公允价值更加可靠；不满足上述前提的非货币性资产交换，以换出资产的账面价</w:t>
      </w:r>
      <w:r>
        <w:rPr>
          <w:spacing w:val="-43"/>
        </w:rPr>
        <w:t> </w:t>
      </w:r>
      <w:r>
        <w:rPr>
          <w:spacing w:val="-43"/>
        </w:rPr>
      </w:r>
      <w:r>
        <w:rPr/>
        <w:t>值和应支付的相关税费作为换入长期股权投资的初始投资成本。</w:t>
      </w:r>
    </w:p>
    <w:p>
      <w:pPr>
        <w:pStyle w:val="Heading4"/>
        <w:spacing w:line="240" w:lineRule="auto" w:before="28"/>
        <w:ind w:left="572" w:right="0"/>
        <w:jc w:val="left"/>
      </w:pPr>
      <w:r>
        <w:rPr/>
        <w:t>通过债务重组取得的长期股权投资，其初始投资成本按照公允价值为基础确定。</w:t>
      </w:r>
    </w:p>
    <w:p>
      <w:pPr>
        <w:pStyle w:val="Heading3"/>
        <w:spacing w:line="240" w:lineRule="auto" w:before="114"/>
        <w:ind w:right="0"/>
        <w:jc w:val="left"/>
        <w:rPr>
          <w:b w:val="0"/>
          <w:bCs w:val="0"/>
        </w:rPr>
      </w:pPr>
      <w:r>
        <w:rPr>
          <w:rFonts w:ascii="宋体" w:hAnsi="宋体" w:cs="宋体" w:eastAsia="宋体" w:hint="default"/>
        </w:rPr>
        <w:t>(3)</w:t>
      </w:r>
      <w:r>
        <w:rPr/>
        <w:t>后续计量及损益确认方法</w:t>
      </w:r>
      <w:r>
        <w:rPr>
          <w:b w:val="0"/>
          <w:bCs w:val="0"/>
        </w:rPr>
      </w:r>
    </w:p>
    <w:p>
      <w:pPr>
        <w:pStyle w:val="Heading4"/>
        <w:spacing w:line="338" w:lineRule="auto" w:before="116"/>
        <w:ind w:left="572" w:right="0"/>
        <w:jc w:val="left"/>
      </w:pPr>
      <w:r>
        <w:rPr/>
        <w:t>①成本法核算的长期股权投资</w:t>
      </w:r>
      <w:r>
        <w:rPr>
          <w:w w:val="100"/>
        </w:rPr>
        <w:t> </w:t>
      </w:r>
      <w:r>
        <w:rPr>
          <w:spacing w:val="-2"/>
        </w:rPr>
        <w:t>公司对子公司的长期股权投资，采用成本法核算。除取得投资时实际支付的价款或对价中包含的已宣</w:t>
      </w:r>
    </w:p>
    <w:p>
      <w:pPr>
        <w:pStyle w:val="Heading4"/>
        <w:spacing w:line="338" w:lineRule="auto" w:before="30"/>
        <w:ind w:right="146"/>
        <w:jc w:val="both"/>
      </w:pP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Heading4"/>
        <w:spacing w:line="338" w:lineRule="auto" w:before="30"/>
        <w:ind w:left="572" w:right="0"/>
        <w:jc w:val="left"/>
      </w:pPr>
      <w:r>
        <w:rPr/>
        <w:t>②权益法核算的长期股权投资</w:t>
      </w:r>
      <w:r>
        <w:rPr>
          <w:w w:val="100"/>
        </w:rPr>
        <w:t> </w:t>
      </w:r>
      <w:r>
        <w:rPr>
          <w:spacing w:val="-2"/>
        </w:rPr>
        <w:t>对联营企业和合营企业的长期股权投资，采用权益法核算。初始投资成本大于投资时应享有被投资单</w:t>
      </w:r>
    </w:p>
    <w:p>
      <w:pPr>
        <w:pStyle w:val="Heading4"/>
        <w:spacing w:line="338" w:lineRule="auto" w:before="30"/>
        <w:ind w:right="147"/>
        <w:jc w:val="both"/>
      </w:pPr>
      <w:r>
        <w:rPr>
          <w:spacing w:val="-2"/>
        </w:rPr>
        <w:t>位可辨认净资产公允价值份额的差额，不调整长期股权投资的初始投资成本；初始投资成本小于投资时应</w:t>
      </w:r>
      <w:r>
        <w:rPr>
          <w:spacing w:val="-44"/>
        </w:rPr>
        <w:t> </w:t>
      </w:r>
      <w:r>
        <w:rPr>
          <w:spacing w:val="-44"/>
        </w:rPr>
      </w:r>
      <w:r>
        <w:rPr/>
        <w:t>享有被投资单位可辨认净资产公允价值份额的差额，计入当期损益。</w:t>
      </w:r>
    </w:p>
    <w:p>
      <w:pPr>
        <w:pStyle w:val="Heading4"/>
        <w:spacing w:line="340" w:lineRule="auto" w:before="30"/>
        <w:ind w:right="146" w:firstLine="420"/>
        <w:jc w:val="both"/>
      </w:pPr>
      <w:r>
        <w:rPr>
          <w:spacing w:val="-2"/>
        </w:rPr>
        <w:t>公司按照应享有或应分担的被投资单位实现的净损益和其他综合收益的份额，分别确认投资收益和其</w:t>
      </w:r>
      <w:r>
        <w:rPr>
          <w:w w:val="100"/>
        </w:rPr>
        <w:t> </w:t>
      </w:r>
      <w:r>
        <w:rPr>
          <w:spacing w:val="-2"/>
        </w:rPr>
        <w:t>他综合收益，同时调整长期股权投资的账面价值；按照被投资单位宣告分派的利润或现金股利计算应享有</w:t>
      </w:r>
      <w:r>
        <w:rPr>
          <w:spacing w:val="-43"/>
        </w:rPr>
        <w:t> </w:t>
      </w:r>
      <w:r>
        <w:rPr>
          <w:spacing w:val="-43"/>
        </w:rPr>
      </w:r>
      <w:r>
        <w:rPr>
          <w:spacing w:val="-2"/>
        </w:rPr>
        <w:t>的部分，相应减少长期股权投资的账面价值；对于被投资单位除净损益、其他综合收益和利润分配以外所</w:t>
      </w:r>
      <w:r>
        <w:rPr>
          <w:spacing w:val="-47"/>
        </w:rPr>
        <w:t> </w:t>
      </w:r>
      <w:r>
        <w:rPr>
          <w:spacing w:val="-47"/>
        </w:rPr>
      </w:r>
      <w:r>
        <w:rPr/>
        <w:t>有者权益的其他变动，调整长期股权投资的账面价值并计入所有者权益。</w:t>
      </w:r>
    </w:p>
    <w:p>
      <w:pPr>
        <w:pStyle w:val="Heading4"/>
        <w:spacing w:line="340" w:lineRule="auto" w:before="28"/>
        <w:ind w:right="147" w:firstLine="420"/>
        <w:jc w:val="both"/>
      </w:pPr>
      <w:r>
        <w:rPr>
          <w:spacing w:val="2"/>
        </w:rPr>
        <w:t>在确认应享有被投资单位净损益的份额时，以取得投资时被投资单位可辨认净资产的公允价值为基</w:t>
      </w:r>
      <w:r>
        <w:rPr>
          <w:w w:val="100"/>
        </w:rPr>
        <w:t> </w:t>
      </w:r>
      <w:r>
        <w:rPr>
          <w:spacing w:val="-3"/>
        </w:rPr>
        <w:t>础，并按照公司的会计政策及会计期间，对被投资单位的净利润进行调整后确认。在持有投资期间，被投</w:t>
      </w:r>
      <w:r>
        <w:rPr>
          <w:spacing w:val="-9"/>
        </w:rPr>
        <w:t> </w:t>
      </w:r>
      <w:r>
        <w:rPr>
          <w:spacing w:val="-9"/>
        </w:rPr>
      </w:r>
      <w:r>
        <w:rPr>
          <w:spacing w:val="-2"/>
        </w:rPr>
        <w:t>资单位编制合并财务报表的，以合并财务报表中的净利润、其他综合收益和其他所有者权益变动中归属于</w:t>
      </w:r>
      <w:r>
        <w:rPr>
          <w:spacing w:val="-44"/>
        </w:rPr>
        <w:t> </w:t>
      </w:r>
      <w:r>
        <w:rPr>
          <w:spacing w:val="-44"/>
        </w:rPr>
      </w:r>
      <w:r>
        <w:rPr/>
        <w:t>被投资单位的金额为基础进行核算。</w:t>
      </w:r>
    </w:p>
    <w:p>
      <w:pPr>
        <w:pStyle w:val="Heading4"/>
        <w:spacing w:line="340" w:lineRule="auto" w:before="28"/>
        <w:ind w:right="129" w:firstLine="420"/>
        <w:jc w:val="both"/>
      </w:pPr>
      <w:r>
        <w:rPr>
          <w:spacing w:val="2"/>
        </w:rPr>
        <w:t>公司与联营企业、合营企业之间发生的未实现内部交易损益按照应享有的比例计算归属于公司的部</w:t>
      </w:r>
      <w:r>
        <w:rPr>
          <w:w w:val="100"/>
        </w:rPr>
        <w:t> </w:t>
      </w:r>
      <w:r>
        <w:rPr>
          <w:spacing w:val="-3"/>
        </w:rPr>
        <w:t>分，予以抵销，在此基础上确认投资收益。与被投资单位发生的未实现内部交易损失，属于资产减值损失</w:t>
      </w:r>
      <w:r>
        <w:rPr>
          <w:spacing w:val="-10"/>
        </w:rPr>
        <w:t> </w:t>
      </w:r>
      <w:r>
        <w:rPr>
          <w:spacing w:val="-10"/>
        </w:rPr>
      </w:r>
      <w:r>
        <w:rPr>
          <w:spacing w:val="-2"/>
        </w:rPr>
        <w:t>的，全额确认。公司与联营企业、合营企业之间发生投出或出售资产的交易，该资产构成业务的，按照本</w:t>
      </w:r>
      <w:r>
        <w:rPr>
          <w:spacing w:val="-43"/>
        </w:rPr>
        <w:t> </w:t>
      </w:r>
      <w:r>
        <w:rPr>
          <w:spacing w:val="-43"/>
        </w:rPr>
      </w:r>
      <w:r>
        <w:rPr>
          <w:spacing w:val="-2"/>
        </w:rPr>
        <w:t>附注</w:t>
      </w:r>
      <w:r>
        <w:rPr>
          <w:rFonts w:ascii="宋体" w:hAnsi="宋体" w:cs="宋体" w:eastAsia="宋体" w:hint="default"/>
          <w:spacing w:val="-2"/>
        </w:rPr>
        <w:t>“</w:t>
      </w:r>
      <w:r>
        <w:rPr>
          <w:spacing w:val="-2"/>
        </w:rPr>
        <w:t>五、</w:t>
      </w:r>
      <w:r>
        <w:rPr>
          <w:rFonts w:ascii="宋体" w:hAnsi="宋体" w:cs="宋体" w:eastAsia="宋体" w:hint="default"/>
          <w:spacing w:val="-2"/>
        </w:rPr>
        <w:t>5</w:t>
      </w:r>
      <w:r>
        <w:rPr>
          <w:spacing w:val="-2"/>
        </w:rPr>
        <w:t>同一控制下和非同一控制下企业合并的会计处理方法</w:t>
      </w:r>
      <w:r>
        <w:rPr>
          <w:rFonts w:ascii="宋体" w:hAnsi="宋体" w:cs="宋体" w:eastAsia="宋体" w:hint="default"/>
          <w:spacing w:val="-2"/>
        </w:rPr>
        <w:t>”</w:t>
      </w:r>
      <w:r>
        <w:rPr>
          <w:spacing w:val="-2"/>
        </w:rPr>
        <w:t>和</w:t>
      </w:r>
      <w:r>
        <w:rPr>
          <w:rFonts w:ascii="宋体" w:hAnsi="宋体" w:cs="宋体" w:eastAsia="宋体" w:hint="default"/>
          <w:spacing w:val="-2"/>
        </w:rPr>
        <w:t>“</w:t>
      </w:r>
      <w:r>
        <w:rPr>
          <w:spacing w:val="-2"/>
        </w:rPr>
        <w:t>五、</w:t>
      </w:r>
      <w:r>
        <w:rPr>
          <w:rFonts w:ascii="宋体" w:hAnsi="宋体" w:cs="宋体" w:eastAsia="宋体" w:hint="default"/>
          <w:spacing w:val="-2"/>
        </w:rPr>
        <w:t>6</w:t>
      </w:r>
      <w:r>
        <w:rPr>
          <w:spacing w:val="-2"/>
        </w:rPr>
        <w:t>合并财务报表的编制方法</w:t>
      </w:r>
      <w:r>
        <w:rPr>
          <w:rFonts w:ascii="宋体" w:hAnsi="宋体" w:cs="宋体" w:eastAsia="宋体" w:hint="default"/>
          <w:spacing w:val="-2"/>
        </w:rPr>
        <w:t>”</w:t>
      </w:r>
      <w:r>
        <w:rPr>
          <w:rFonts w:ascii="宋体" w:hAnsi="宋体" w:cs="宋体" w:eastAsia="宋体" w:hint="default"/>
          <w:spacing w:val="-25"/>
        </w:rPr>
        <w:t> </w:t>
      </w:r>
      <w:r>
        <w:rPr/>
        <w:t>中披露的相关政策进行会计处理。</w:t>
      </w:r>
    </w:p>
    <w:p>
      <w:pPr>
        <w:pStyle w:val="Heading4"/>
        <w:spacing w:line="340" w:lineRule="auto"/>
        <w:ind w:right="146" w:firstLine="420"/>
        <w:jc w:val="both"/>
      </w:pPr>
      <w:r>
        <w:rPr>
          <w:spacing w:val="-2"/>
        </w:rPr>
        <w:t>在公司确认应分担被投资单位发生的亏损时，按照以下顺序进行处理：首先，冲减长期股权投资的账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3"/>
        </w:rPr>
        <w:t>益账面价值为限继续确认投资损失，冲减长期应收项目等的账面价值。最后，经过上述处理，按照投资合</w:t>
      </w:r>
      <w:r>
        <w:rPr>
          <w:spacing w:val="-10"/>
        </w:rPr>
        <w:t> </w:t>
      </w:r>
      <w:r>
        <w:rPr>
          <w:spacing w:val="-10"/>
        </w:rPr>
      </w:r>
      <w:r>
        <w:rPr/>
        <w:t>同或协议约定企业仍承担额外义务的，按预计承担的义务确认预计负债，计入当期投资损失。</w:t>
      </w:r>
    </w:p>
    <w:p>
      <w:pPr>
        <w:pStyle w:val="Heading4"/>
        <w:spacing w:line="340" w:lineRule="auto"/>
        <w:ind w:left="572" w:right="1810"/>
        <w:jc w:val="left"/>
      </w:pPr>
      <w:r>
        <w:rPr/>
        <w:t>③长期股权投资的处置</w:t>
      </w:r>
      <w:r>
        <w:rPr>
          <w:w w:val="100"/>
        </w:rPr>
        <w:t> </w:t>
      </w:r>
      <w:r>
        <w:rPr>
          <w:spacing w:val="-2"/>
        </w:rPr>
        <w:t>处置长期股权投资，其账面价值与实际取得价款的差额，计入当期损益。</w:t>
      </w:r>
    </w:p>
    <w:p>
      <w:pPr>
        <w:spacing w:after="0" w:line="340" w:lineRule="auto"/>
        <w:jc w:val="left"/>
        <w:sectPr>
          <w:footerReference w:type="default" r:id="rId40"/>
          <w:pgSz w:w="11910" w:h="16840"/>
          <w:pgMar w:footer="982" w:header="877" w:top="1100" w:bottom="1180" w:left="980" w:right="980"/>
          <w:pgNumType w:start="110"/>
        </w:sectPr>
      </w:pPr>
    </w:p>
    <w:p>
      <w:pPr>
        <w:spacing w:line="240" w:lineRule="auto" w:before="10"/>
        <w:rPr>
          <w:rFonts w:ascii="宋体" w:hAnsi="宋体" w:cs="宋体" w:eastAsia="宋体" w:hint="default"/>
          <w:sz w:val="23"/>
          <w:szCs w:val="23"/>
        </w:rPr>
      </w:pPr>
    </w:p>
    <w:p>
      <w:pPr>
        <w:pStyle w:val="Heading4"/>
        <w:spacing w:line="340" w:lineRule="auto" w:before="36"/>
        <w:ind w:right="147" w:firstLine="420"/>
        <w:jc w:val="both"/>
      </w:pPr>
      <w:bookmarkStart w:name="15、固定资产" w:id="182"/>
      <w:bookmarkEnd w:id="182"/>
      <w:r>
        <w:rPr/>
      </w:r>
      <w:bookmarkStart w:name="(1)确认条件" w:id="183"/>
      <w:bookmarkEnd w:id="183"/>
      <w:r>
        <w:rPr/>
      </w:r>
      <w:r>
        <w:rPr>
          <w:spacing w:val="-2"/>
        </w:rPr>
        <w:t>采用权益法核算的长期股权投资，在处置该项投资时，采用与被投资单位直接处置相关资产或负债相</w:t>
      </w:r>
      <w:r>
        <w:rPr>
          <w:w w:val="100"/>
        </w:rPr>
        <w:t> </w:t>
      </w:r>
      <w:r>
        <w:rPr>
          <w:spacing w:val="-3"/>
        </w:rPr>
        <w:t>同的基础，按相应比例对原计入其他综合收益的部分进行会计处理。因被投资单位除净损益、其他综合收</w:t>
      </w:r>
      <w:r>
        <w:rPr>
          <w:spacing w:val="-7"/>
        </w:rPr>
        <w:t> </w:t>
      </w:r>
      <w:r>
        <w:rPr>
          <w:spacing w:val="-7"/>
        </w:rPr>
      </w:r>
      <w:r>
        <w:rPr>
          <w:spacing w:val="-2"/>
        </w:rPr>
        <w:t>益和利润分配以外的其他所有者权益变动而确认的所有者权益，按比例结转入当期损益，由于被投资方重</w:t>
      </w:r>
      <w:r>
        <w:rPr>
          <w:spacing w:val="-44"/>
        </w:rPr>
        <w:t> </w:t>
      </w:r>
      <w:r>
        <w:rPr>
          <w:spacing w:val="-44"/>
        </w:rPr>
      </w:r>
      <w:r>
        <w:rPr/>
        <w:t>新计量设定受益计划净负债或净资产变动而产生的其他综合收益除外。</w:t>
      </w:r>
    </w:p>
    <w:p>
      <w:pPr>
        <w:pStyle w:val="Heading4"/>
        <w:spacing w:line="340" w:lineRule="auto" w:before="28"/>
        <w:ind w:right="147" w:firstLine="420"/>
        <w:jc w:val="both"/>
      </w:pPr>
      <w:r>
        <w:rPr>
          <w:spacing w:val="-2"/>
        </w:rPr>
        <w:t>因处置部分股权投资等原因丧失了对被投资单位的共同控制或重大影响的，处置后的剩余股权改按金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Heading4"/>
        <w:spacing w:line="340" w:lineRule="auto"/>
        <w:ind w:right="146" w:firstLine="420"/>
        <w:jc w:val="both"/>
      </w:pPr>
      <w:r>
        <w:rPr>
          <w:spacing w:val="-3"/>
        </w:rPr>
        <w:t>因处置部分股权投资等原因丧失了对被投资单位控制权的，在编制个别财务报表时，处置后的剩余股</w:t>
      </w:r>
      <w:r>
        <w:rPr>
          <w:spacing w:val="-3"/>
          <w:w w:val="100"/>
        </w:rPr>
        <w:t> </w:t>
      </w:r>
      <w:r>
        <w:rPr>
          <w:spacing w:val="-2"/>
        </w:rPr>
        <w:t>权能够对被投资单位实施共同控制或重大影响的，改按权益法核算，并对该剩余股权视同自取得时即采用</w:t>
      </w:r>
      <w:r>
        <w:rPr>
          <w:spacing w:val="-43"/>
        </w:rPr>
        <w:t> </w:t>
      </w:r>
      <w:r>
        <w:rPr>
          <w:spacing w:val="-43"/>
        </w:rPr>
      </w:r>
      <w:r>
        <w:rPr>
          <w:spacing w:val="-2"/>
        </w:rPr>
        <w:t>权益法核算进行调整；处置后的剩余股权不能对被投资单位实施共同控制或施加重大影响的，改按金融工</w:t>
      </w:r>
      <w:r>
        <w:rPr>
          <w:spacing w:val="-44"/>
        </w:rPr>
        <w:t> </w:t>
      </w:r>
      <w:r>
        <w:rPr>
          <w:spacing w:val="-44"/>
        </w:rPr>
      </w:r>
      <w:r>
        <w:rPr>
          <w:spacing w:val="-2"/>
        </w:rPr>
        <w:t>具确认和计量准则的有关规定进行会计处理，其在丧失控制之日的公允价值与账面价值间的差额计入当期</w:t>
      </w:r>
      <w:r>
        <w:rPr>
          <w:spacing w:val="-43"/>
        </w:rPr>
        <w:t> </w:t>
      </w:r>
      <w:r>
        <w:rPr>
          <w:spacing w:val="-43"/>
        </w:rPr>
      </w:r>
      <w:r>
        <w:rPr/>
        <w:t>损益。</w:t>
      </w:r>
    </w:p>
    <w:p>
      <w:pPr>
        <w:pStyle w:val="Heading4"/>
        <w:spacing w:line="340" w:lineRule="auto" w:before="28"/>
        <w:ind w:right="146" w:firstLine="420"/>
        <w:jc w:val="both"/>
      </w:pPr>
      <w:r>
        <w:rPr>
          <w:spacing w:val="-2"/>
        </w:rPr>
        <w:t>处置的股权是因追加投资等原因通过企业合并取得的，在编制个别财务报表时，处置后的剩余股权采</w:t>
      </w:r>
      <w:r>
        <w:rPr>
          <w:w w:val="100"/>
        </w:rPr>
        <w:t> </w:t>
      </w:r>
      <w:r>
        <w:rPr>
          <w:spacing w:val="-2"/>
        </w:rPr>
        <w:t>用成本法或权益法核算的，购买日之前持有的股权投资因采用权益法核算而确认的其他综合收益和其他所</w:t>
      </w:r>
      <w:r>
        <w:rPr>
          <w:spacing w:val="-43"/>
        </w:rPr>
        <w:t> </w:t>
      </w:r>
      <w:r>
        <w:rPr>
          <w:spacing w:val="-43"/>
        </w:rPr>
      </w:r>
      <w:r>
        <w:rPr>
          <w:spacing w:val="-2"/>
        </w:rPr>
        <w:t>有者权益按比例结转；处置后的剩余股权改按金融工具确认和计量准则进行会计处理的，其他综合收益和</w:t>
      </w:r>
      <w:r>
        <w:rPr>
          <w:spacing w:val="-44"/>
        </w:rPr>
        <w:t> </w:t>
      </w:r>
      <w:r>
        <w:rPr>
          <w:spacing w:val="-44"/>
        </w:rPr>
      </w:r>
      <w:r>
        <w:rPr/>
        <w:t>其他所有者权益全部结转。</w:t>
      </w:r>
    </w:p>
    <w:p>
      <w:pPr>
        <w:pStyle w:val="Heading4"/>
        <w:spacing w:line="652" w:lineRule="exact" w:before="13"/>
        <w:ind w:left="572" w:right="0"/>
        <w:jc w:val="left"/>
      </w:pPr>
      <w:r>
        <w:rPr>
          <w:rFonts w:ascii="宋体" w:hAnsi="宋体" w:cs="宋体" w:eastAsia="宋体" w:hint="default"/>
          <w:b/>
          <w:bCs/>
        </w:rPr>
        <w:t>14</w:t>
      </w:r>
      <w:r>
        <w:rPr>
          <w:rFonts w:ascii="宋体" w:hAnsi="宋体" w:cs="宋体" w:eastAsia="宋体" w:hint="default"/>
          <w:b/>
          <w:bCs/>
        </w:rPr>
        <w:t>、投资性房地产</w:t>
      </w:r>
      <w:r>
        <w:rPr>
          <w:rFonts w:ascii="宋体" w:hAnsi="宋体" w:cs="宋体" w:eastAsia="宋体" w:hint="default"/>
          <w:b/>
          <w:bCs/>
          <w:spacing w:val="-104"/>
        </w:rPr>
        <w:t> </w:t>
      </w:r>
      <w:r>
        <w:rPr>
          <w:spacing w:val="-2"/>
        </w:rPr>
        <w:t>投资性房地产是指为赚取租金或资本增值，或两者兼有而持有的房地产</w:t>
      </w:r>
      <w:bookmarkStart w:name="14、投资性房地产" w:id="184"/>
      <w:bookmarkEnd w:id="184"/>
      <w:r>
        <w:rPr>
          <w:spacing w:val="-2"/>
        </w:rPr>
        <w:t>，</w:t>
      </w:r>
      <w:r>
        <w:rPr>
          <w:spacing w:val="-2"/>
        </w:rPr>
        <w:t>包括已出租的土地使用权、</w:t>
      </w:r>
    </w:p>
    <w:p>
      <w:pPr>
        <w:pStyle w:val="Heading4"/>
        <w:spacing w:line="338" w:lineRule="auto" w:before="13"/>
        <w:ind w:right="0"/>
        <w:jc w:val="left"/>
      </w:pPr>
      <w:r>
        <w:rPr>
          <w:spacing w:val="-2"/>
        </w:rPr>
        <w:t>持有并准备增值后转让的土地使用权、已出租的建筑物（含自行建造或开发活动完成后用于出租的建筑物</w:t>
      </w:r>
      <w:r>
        <w:rPr>
          <w:spacing w:val="-44"/>
        </w:rPr>
        <w:t> </w:t>
      </w:r>
      <w:r>
        <w:rPr>
          <w:spacing w:val="-44"/>
        </w:rPr>
      </w:r>
      <w:r>
        <w:rPr/>
        <w:t>以及正在建造或开发过程中将来用于出租的建筑物）。</w:t>
      </w:r>
    </w:p>
    <w:p>
      <w:pPr>
        <w:pStyle w:val="Heading4"/>
        <w:spacing w:line="338" w:lineRule="auto" w:before="30"/>
        <w:ind w:right="146" w:firstLine="420"/>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spacing w:line="240" w:lineRule="auto" w:before="4"/>
        <w:rPr>
          <w:rFonts w:ascii="宋体" w:hAnsi="宋体" w:cs="宋体" w:eastAsia="宋体" w:hint="default"/>
          <w:sz w:val="22"/>
          <w:szCs w:val="22"/>
        </w:rPr>
      </w:pPr>
    </w:p>
    <w:p>
      <w:pPr>
        <w:pStyle w:val="Heading3"/>
        <w:spacing w:line="571" w:lineRule="auto" w:before="0"/>
        <w:ind w:right="8088"/>
        <w:jc w:val="left"/>
        <w:rPr>
          <w:b w:val="0"/>
          <w:bCs w:val="0"/>
        </w:rPr>
      </w:pPr>
      <w:r>
        <w:rPr>
          <w:rFonts w:ascii="宋体" w:hAnsi="宋体" w:cs="宋体" w:eastAsia="宋体" w:hint="default"/>
        </w:rPr>
        <w:t>15</w:t>
      </w:r>
      <w:r>
        <w:rPr/>
        <w:t>、固定资产</w:t>
      </w:r>
      <w:r>
        <w:rPr>
          <w:w w:val="100"/>
        </w:rPr>
        <w:t> </w:t>
      </w:r>
      <w:r>
        <w:rPr>
          <w:rFonts w:ascii="宋体" w:hAnsi="宋体" w:cs="宋体" w:eastAsia="宋体" w:hint="default"/>
        </w:rPr>
        <w:t>(1)</w:t>
      </w:r>
      <w:r>
        <w:rPr/>
        <w:t>确认条件</w:t>
      </w:r>
      <w:r>
        <w:rPr>
          <w:b w:val="0"/>
          <w:bCs w:val="0"/>
        </w:rPr>
      </w:r>
    </w:p>
    <w:p>
      <w:pPr>
        <w:pStyle w:val="Heading4"/>
        <w:spacing w:line="340" w:lineRule="auto" w:before="124"/>
        <w:ind w:right="146" w:firstLine="420"/>
        <w:jc w:val="both"/>
      </w:pPr>
      <w:r>
        <w:rPr>
          <w:spacing w:val="-2"/>
        </w:rPr>
        <w:t>固定资产指为生产商品、提供劳务、出租或经营管理而持有，并且使用寿命超过一个会计年度的有形</w:t>
      </w:r>
      <w:r>
        <w:rPr>
          <w:w w:val="100"/>
        </w:rPr>
        <w:t> </w:t>
      </w:r>
      <w:r>
        <w:rPr/>
        <w:t>资产。固定资产在同时满足下列条件时予以确认：</w:t>
      </w:r>
    </w:p>
    <w:p>
      <w:pPr>
        <w:pStyle w:val="Heading4"/>
        <w:spacing w:line="240" w:lineRule="auto"/>
        <w:ind w:left="572" w:right="0"/>
        <w:jc w:val="left"/>
      </w:pPr>
      <w:r>
        <w:rPr/>
        <w:t>①与该固定资产有关的经济利益很可能流入企业；</w:t>
      </w:r>
    </w:p>
    <w:p>
      <w:pPr>
        <w:pStyle w:val="Heading4"/>
        <w:spacing w:line="240" w:lineRule="auto" w:before="116"/>
        <w:ind w:left="572" w:right="0"/>
        <w:jc w:val="left"/>
      </w:pPr>
      <w:r>
        <w:rPr/>
        <w:t>②该固定资产的成本能够可靠地计量。</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16、在建工程" w:id="185"/>
      <w:bookmarkEnd w:id="185"/>
      <w:r>
        <w:rPr>
          <w:b w:val="0"/>
          <w:bCs w:val="0"/>
        </w:rPr>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8"/>
          <w:szCs w:val="28"/>
        </w:rPr>
      </w:pPr>
    </w:p>
    <w:p>
      <w:pPr>
        <w:pStyle w:val="Heading4"/>
        <w:spacing w:line="340" w:lineRule="auto" w:before="0"/>
        <w:ind w:right="147" w:firstLine="420"/>
        <w:jc w:val="both"/>
      </w:pPr>
      <w:bookmarkStart w:name="(2)折旧方法" w:id="186"/>
      <w:bookmarkEnd w:id="186"/>
      <w:r>
        <w:rPr/>
      </w: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Heading4"/>
        <w:spacing w:line="340" w:lineRule="auto"/>
        <w:ind w:right="147" w:firstLine="422"/>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BodyText"/>
        <w:spacing w:line="240" w:lineRule="auto" w:before="51"/>
        <w:ind w:left="572" w:right="0"/>
        <w:jc w:val="left"/>
      </w:pPr>
      <w:r>
        <w:rPr/>
        <w:t>各类固定资产折旧年限和年折旧率如下：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13.57%-9.50%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19.00%-11.88%</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19.00%-15.83%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19.00%-15.83%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14.29%</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19.00%-15.83%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营运业务用</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20.00%-10.00%</w:t>
            </w:r>
          </w:p>
        </w:tc>
      </w:tr>
    </w:tbl>
    <w:p>
      <w:pPr>
        <w:spacing w:line="374" w:lineRule="auto" w:before="26"/>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pStyle w:val="Heading4"/>
        <w:spacing w:line="240" w:lineRule="auto" w:before="37"/>
        <w:ind w:left="573" w:right="0"/>
        <w:jc w:val="left"/>
      </w:pPr>
      <w:r>
        <w:rPr/>
        <w:t>①租赁期满后租赁资产的所有权归属于本公司；</w:t>
      </w:r>
    </w:p>
    <w:p>
      <w:pPr>
        <w:pStyle w:val="Heading4"/>
        <w:spacing w:line="240" w:lineRule="auto" w:before="157"/>
        <w:ind w:left="573" w:right="0"/>
        <w:jc w:val="left"/>
      </w:pPr>
      <w:r>
        <w:rPr/>
        <w:t>②公司具有购买资产的选择权，购买价款远低于行使选择权时该资产的公允价值；</w:t>
      </w:r>
    </w:p>
    <w:p>
      <w:pPr>
        <w:pStyle w:val="Heading4"/>
        <w:spacing w:line="240" w:lineRule="auto" w:before="154"/>
        <w:ind w:left="573" w:right="0"/>
        <w:jc w:val="left"/>
      </w:pPr>
      <w:r>
        <w:rPr/>
        <w:t>③租赁期占所租赁资产使用寿命的大部分；</w:t>
      </w:r>
    </w:p>
    <w:p>
      <w:pPr>
        <w:pStyle w:val="Heading4"/>
        <w:spacing w:line="374" w:lineRule="auto" w:before="154"/>
        <w:ind w:left="573" w:right="0"/>
        <w:jc w:val="left"/>
      </w:pPr>
      <w:r>
        <w:rPr/>
        <w:t>④租赁开始日的最低租赁付款额现值，与该资产的公允价值不存在较大的差异。</w:t>
      </w:r>
      <w:r>
        <w:rPr>
          <w:w w:val="100"/>
        </w:rPr>
        <w:t> </w:t>
      </w:r>
      <w:r>
        <w:rPr>
          <w:spacing w:val="-2"/>
        </w:rPr>
        <w:t>公司在承租开始日，将租赁资产公允价值与最低租赁付款额现值两者中较低者作为租入资产的入账价</w:t>
      </w:r>
    </w:p>
    <w:p>
      <w:pPr>
        <w:pStyle w:val="Heading4"/>
        <w:spacing w:line="274" w:lineRule="exact" w:before="0"/>
        <w:ind w:right="0"/>
        <w:jc w:val="both"/>
      </w:pPr>
      <w:r>
        <w:rPr/>
        <w:t>值，将最低租赁付款额作为长期应付款的入账价值，其差额作为未确认的融资费。</w:t>
      </w:r>
    </w:p>
    <w:p>
      <w:pPr>
        <w:pStyle w:val="Heading4"/>
        <w:spacing w:line="652" w:lineRule="exact" w:before="99"/>
        <w:ind w:left="572" w:right="0"/>
        <w:jc w:val="left"/>
      </w:pPr>
      <w:r>
        <w:rPr>
          <w:rFonts w:ascii="宋体" w:hAnsi="宋体" w:cs="宋体" w:eastAsia="宋体" w:hint="default"/>
          <w:b/>
          <w:bCs/>
        </w:rPr>
        <w:t>16</w:t>
      </w:r>
      <w:r>
        <w:rPr>
          <w:rFonts w:ascii="宋体" w:hAnsi="宋体" w:cs="宋体" w:eastAsia="宋体" w:hint="default"/>
          <w:b/>
          <w:bCs/>
        </w:rPr>
        <w:t>、在建工程</w:t>
      </w:r>
      <w:r>
        <w:rPr>
          <w:rFonts w:ascii="宋体" w:hAnsi="宋体" w:cs="宋体" w:eastAsia="宋体" w:hint="default"/>
          <w:b/>
          <w:bCs/>
          <w:w w:val="100"/>
        </w:rPr>
        <w:t> </w:t>
      </w:r>
      <w:r>
        <w:rPr>
          <w:spacing w:val="-2"/>
        </w:rPr>
        <w:t>在建工程项目按建造该项资产达到预定可使用状态前所发生的全部支出，作为固定资产的入账价值。</w:t>
      </w:r>
      <w:r>
        <w:rPr/>
      </w:r>
    </w:p>
    <w:p>
      <w:pPr>
        <w:pStyle w:val="Heading4"/>
        <w:spacing w:line="340" w:lineRule="auto" w:before="13"/>
        <w:ind w:right="146"/>
        <w:jc w:val="both"/>
      </w:pP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spacing w:val="-2"/>
        </w:rPr>
        <w:t>策计提固定资产的折旧，待办理竣工决算后，再按实际成本调整原来的暂估价值，但不调整原已计提的折</w:t>
      </w:r>
      <w:r>
        <w:rPr>
          <w:spacing w:val="-43"/>
        </w:rPr>
        <w:t> </w:t>
      </w:r>
      <w:r>
        <w:rPr>
          <w:spacing w:val="-43"/>
        </w:rPr>
      </w:r>
      <w:r>
        <w:rPr/>
        <w:t>旧额。</w:t>
      </w:r>
    </w:p>
    <w:p>
      <w:pPr>
        <w:spacing w:after="0" w:line="340" w:lineRule="auto"/>
        <w:jc w:val="both"/>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18、无形资产" w:id="187"/>
      <w:bookmarkEnd w:id="187"/>
      <w:r>
        <w:rPr>
          <w:b w:val="0"/>
          <w:bCs w:val="0"/>
        </w:rPr>
      </w:r>
      <w:r>
        <w:rPr>
          <w:rFonts w:ascii="宋体" w:hAnsi="宋体" w:cs="宋体" w:eastAsia="宋体" w:hint="default"/>
        </w:rPr>
        <w:t>17</w:t>
      </w:r>
      <w:r>
        <w:rPr/>
        <w:t>、借款费用</w:t>
      </w:r>
      <w:r>
        <w:rPr>
          <w:b w:val="0"/>
          <w:bCs w:val="0"/>
        </w:rPr>
      </w:r>
    </w:p>
    <w:p>
      <w:pPr>
        <w:spacing w:line="240" w:lineRule="auto" w:before="12"/>
        <w:rPr>
          <w:rFonts w:ascii="宋体" w:hAnsi="宋体" w:cs="宋体" w:eastAsia="宋体" w:hint="default"/>
          <w:b/>
          <w:bCs/>
          <w:sz w:val="28"/>
          <w:szCs w:val="28"/>
        </w:rPr>
      </w:pPr>
    </w:p>
    <w:p>
      <w:pPr>
        <w:pStyle w:val="Heading4"/>
        <w:spacing w:line="340" w:lineRule="auto" w:before="0"/>
        <w:ind w:left="572" w:right="0"/>
        <w:jc w:val="left"/>
      </w:pPr>
      <w:bookmarkStart w:name="17、借款费用" w:id="188"/>
      <w:bookmarkEnd w:id="188"/>
      <w:r>
        <w:rPr/>
      </w:r>
      <w:r>
        <w:rPr>
          <w:rFonts w:ascii="宋体" w:hAnsi="宋体" w:cs="宋体" w:eastAsia="宋体"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借款费用，包括借款利息、折价或者溢价的摊销、辅助费用以及因外币借款而发生的汇兑差额等。</w:t>
      </w:r>
      <w:r>
        <w:rPr>
          <w:w w:val="100"/>
        </w:rPr>
        <w:t> </w:t>
      </w:r>
      <w:r>
        <w:rPr>
          <w:spacing w:val="-2"/>
        </w:rPr>
        <w:t>公司发生的借款费用，可直接归属于符合资本化条件的资产的购建或者生产的，予以资本化，计入相</w:t>
      </w:r>
    </w:p>
    <w:p>
      <w:pPr>
        <w:pStyle w:val="Heading4"/>
        <w:spacing w:line="340" w:lineRule="auto"/>
        <w:ind w:left="572" w:right="0" w:hanging="420"/>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Heading4"/>
        <w:spacing w:line="340" w:lineRule="auto"/>
        <w:ind w:left="572" w:right="4734" w:hanging="420"/>
        <w:jc w:val="left"/>
      </w:pPr>
      <w:r>
        <w:rPr>
          <w:spacing w:val="-2"/>
        </w:rPr>
        <w:t>售状态的固定资产、投资性房地产和存货等资产。</w:t>
      </w:r>
      <w:r>
        <w:rPr>
          <w:spacing w:val="-62"/>
        </w:rPr>
        <w:t> </w:t>
      </w:r>
      <w:r>
        <w:rPr>
          <w:spacing w:val="-62"/>
        </w:rPr>
      </w:r>
      <w:r>
        <w:rPr/>
        <w:t>借款费用同时满足下列条件时开始资本化：</w:t>
      </w:r>
    </w:p>
    <w:p>
      <w:pPr>
        <w:pStyle w:val="Heading4"/>
        <w:spacing w:line="340" w:lineRule="auto"/>
        <w:ind w:left="212" w:right="0" w:firstLine="360"/>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Heading4"/>
        <w:spacing w:line="240" w:lineRule="auto"/>
        <w:ind w:left="572" w:right="0"/>
        <w:jc w:val="left"/>
      </w:pPr>
      <w:r>
        <w:rPr/>
        <w:t>②借款费用已经发生；</w:t>
      </w:r>
    </w:p>
    <w:p>
      <w:pPr>
        <w:pStyle w:val="Heading4"/>
        <w:spacing w:line="340" w:lineRule="auto" w:before="116"/>
        <w:ind w:left="572" w:right="0" w:hanging="1"/>
        <w:jc w:val="left"/>
      </w:pPr>
      <w:r>
        <w:rPr/>
        <w:t>③为使资产达到预定可使用或者可销售状态所必要的购建或者生产活动已经开始。</w:t>
      </w:r>
      <w:r>
        <w:rPr>
          <w:w w:val="100"/>
        </w:rPr>
        <w:t> </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4"/>
        </w:rPr>
        <w:t>资本化期间，指从借款费用开始资本化时点到停止资本化时点的期间，借款费用暂停资本化的期间不</w:t>
      </w:r>
    </w:p>
    <w:p>
      <w:pPr>
        <w:pStyle w:val="Heading4"/>
        <w:spacing w:line="240" w:lineRule="auto"/>
        <w:ind w:left="212" w:right="0"/>
        <w:jc w:val="left"/>
      </w:pPr>
      <w:r>
        <w:rPr/>
        <w:t>包括在内。</w:t>
      </w:r>
    </w:p>
    <w:p>
      <w:pPr>
        <w:pStyle w:val="Heading4"/>
        <w:spacing w:line="338" w:lineRule="auto" w:before="116"/>
        <w:ind w:left="635" w:right="0"/>
        <w:jc w:val="left"/>
      </w:pPr>
      <w:r>
        <w:rPr/>
        <w:t>当购建或者生产符合资本化条件的资产达到预定可使用或者可销售状态时，借款费用停止资本化。</w:t>
      </w:r>
      <w:r>
        <w:rPr>
          <w:w w:val="100"/>
        </w:rPr>
        <w:t> </w:t>
      </w:r>
      <w:r>
        <w:rPr>
          <w:spacing w:val="-4"/>
        </w:rPr>
        <w:t>当购建或者生产符合资本化条件的资产中部分项目分别完工且可单独使用时，该部分资产借款费用停</w:t>
      </w:r>
      <w:r>
        <w:rPr/>
      </w:r>
    </w:p>
    <w:p>
      <w:pPr>
        <w:pStyle w:val="Heading4"/>
        <w:spacing w:line="240" w:lineRule="auto" w:before="30"/>
        <w:ind w:left="212" w:right="0"/>
        <w:jc w:val="left"/>
      </w:pPr>
      <w:r>
        <w:rPr/>
        <w:t>止资本化。</w:t>
      </w:r>
    </w:p>
    <w:p>
      <w:pPr>
        <w:pStyle w:val="Heading4"/>
        <w:spacing w:line="340" w:lineRule="auto" w:before="114"/>
        <w:ind w:right="0" w:firstLine="422"/>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Heading4"/>
        <w:spacing w:line="338" w:lineRule="auto"/>
        <w:ind w:left="635" w:right="0" w:hanging="5"/>
        <w:jc w:val="left"/>
      </w:pP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1"/>
        </w:rPr>
        <w:t>符合资本化条件的资产在购建或生产过程中发生的非正常中断、且中断时间连续超过</w:t>
      </w:r>
      <w:r>
        <w:rPr>
          <w:rFonts w:ascii="宋体" w:hAnsi="宋体" w:cs="宋体" w:eastAsia="宋体" w:hint="default"/>
          <w:spacing w:val="-1"/>
        </w:rPr>
        <w:t>3</w:t>
      </w:r>
      <w:r>
        <w:rPr>
          <w:spacing w:val="-1"/>
        </w:rPr>
        <w:t>个月的，则借</w:t>
      </w:r>
    </w:p>
    <w:p>
      <w:pPr>
        <w:pStyle w:val="Heading4"/>
        <w:spacing w:line="340" w:lineRule="auto" w:before="30"/>
        <w:ind w:left="212" w:right="149"/>
        <w:jc w:val="both"/>
      </w:pPr>
      <w:r>
        <w:rPr>
          <w:spacing w:val="-4"/>
        </w:rPr>
        <w:t>款费用暂停资本化；该项中断如是所购建或生产的符合资本化条件的资产达到预定可使用状态或者可销售</w:t>
      </w:r>
      <w:r>
        <w:rPr>
          <w:spacing w:val="-21"/>
        </w:rPr>
        <w:t> </w:t>
      </w:r>
      <w:r>
        <w:rPr>
          <w:spacing w:val="-21"/>
        </w:rPr>
      </w:r>
      <w:r>
        <w:rPr>
          <w:spacing w:val="-4"/>
        </w:rPr>
        <w:t>状态必要的程序，则借款费用继续资本化。在中断期间发生的借款费用确认为当期损益，直至资产的购建</w:t>
      </w:r>
      <w:r>
        <w:rPr>
          <w:spacing w:val="-13"/>
        </w:rPr>
        <w:t> </w:t>
      </w:r>
      <w:r>
        <w:rPr>
          <w:spacing w:val="-13"/>
        </w:rPr>
      </w:r>
      <w:r>
        <w:rPr/>
        <w:t>或者生产活动重新开始后借款费用继续资本化。</w:t>
      </w:r>
    </w:p>
    <w:p>
      <w:pPr>
        <w:pStyle w:val="Heading3"/>
        <w:spacing w:line="652" w:lineRule="exact" w:before="11"/>
        <w:ind w:right="7139"/>
        <w:jc w:val="left"/>
        <w:rPr>
          <w:b w:val="0"/>
          <w:bCs w:val="0"/>
        </w:rPr>
      </w:pPr>
      <w:r>
        <w:rPr>
          <w:rFonts w:ascii="宋体" w:hAnsi="宋体" w:cs="宋体" w:eastAsia="宋体" w:hint="default"/>
        </w:rPr>
        <w:t>18</w:t>
      </w:r>
      <w:r>
        <w:rPr/>
        <w:t>、无形资产</w:t>
      </w:r>
      <w:r>
        <w:rPr>
          <w:w w:val="100"/>
        </w:rPr>
        <w:t> </w:t>
      </w:r>
      <w:r>
        <w:rPr>
          <w:rFonts w:ascii="宋体" w:hAnsi="宋体" w:cs="宋体" w:eastAsia="宋体" w:hint="default"/>
        </w:rPr>
        <w:t>(1)</w:t>
      </w:r>
      <w:r>
        <w:rPr/>
        <w:t>无形资产的计价方法</w:t>
      </w:r>
      <w:r>
        <w:rPr>
          <w:b w:val="0"/>
          <w:bCs w:val="0"/>
        </w:rPr>
      </w:r>
    </w:p>
    <w:p>
      <w:pPr>
        <w:pStyle w:val="Heading4"/>
        <w:spacing w:line="338" w:lineRule="auto" w:before="15"/>
        <w:ind w:left="572" w:right="0"/>
        <w:jc w:val="left"/>
      </w:pPr>
      <w:r>
        <w:rPr/>
        <w:t>①公司取得无形资产时按成本进行初始计量；</w:t>
      </w:r>
      <w:r>
        <w:rPr>
          <w:w w:val="100"/>
        </w:rPr>
        <w:t> </w:t>
      </w:r>
      <w:r>
        <w:rPr>
          <w:spacing w:val="-2"/>
        </w:rPr>
        <w:t>外购无形资产的成本，包括购买价款、相关税费以及直接归属于使该项资产达到预定用途所发生的其</w:t>
      </w:r>
    </w:p>
    <w:p>
      <w:pPr>
        <w:pStyle w:val="Heading4"/>
        <w:spacing w:line="338" w:lineRule="auto" w:before="30"/>
        <w:ind w:right="147"/>
        <w:jc w:val="both"/>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Heading4"/>
        <w:spacing w:line="338" w:lineRule="auto" w:before="30"/>
        <w:ind w:right="0" w:firstLine="420"/>
        <w:jc w:val="left"/>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Heading4"/>
        <w:spacing w:line="240" w:lineRule="auto" w:before="30"/>
        <w:ind w:left="572" w:right="0"/>
        <w:jc w:val="left"/>
      </w:pPr>
      <w:r>
        <w:rPr/>
        <w:t>在非货币性资产交换具备商业实质且换入资产或换出资产的公允价值能够可靠计量的前提下，非货币</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right="146"/>
        <w:jc w:val="both"/>
      </w:pPr>
      <w:bookmarkStart w:name="19、长期资产减值" w:id="189"/>
      <w:bookmarkEnd w:id="189"/>
      <w:r>
        <w:rPr/>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Heading4"/>
        <w:spacing w:line="340" w:lineRule="auto"/>
        <w:ind w:left="572" w:right="4734"/>
        <w:jc w:val="left"/>
      </w:pPr>
      <w:r>
        <w:rPr/>
        <w:t>②后续计量</w:t>
      </w:r>
      <w:r>
        <w:rPr>
          <w:spacing w:val="-102"/>
        </w:rPr>
        <w:t> </w:t>
      </w:r>
      <w:r>
        <w:rPr>
          <w:spacing w:val="-102"/>
        </w:rPr>
      </w:r>
      <w:r>
        <w:rPr>
          <w:spacing w:val="-2"/>
        </w:rPr>
        <w:t>在取得无形资产时分析判断其使用寿命。</w:t>
      </w:r>
    </w:p>
    <w:p>
      <w:pPr>
        <w:pStyle w:val="Heading4"/>
        <w:spacing w:line="340" w:lineRule="auto"/>
        <w:ind w:right="0" w:firstLine="420"/>
        <w:jc w:val="left"/>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pStyle w:val="Heading3"/>
        <w:spacing w:line="240" w:lineRule="auto" w:before="26"/>
        <w:ind w:right="0"/>
        <w:jc w:val="left"/>
        <w:rPr>
          <w:b w:val="0"/>
          <w:bCs w:val="0"/>
        </w:rPr>
      </w:pPr>
      <w:r>
        <w:rPr>
          <w:rFonts w:ascii="宋体" w:hAnsi="宋体" w:cs="宋体" w:eastAsia="宋体"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280"/>
        <w:gridCol w:w="2215"/>
        <w:gridCol w:w="5074"/>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土地使用权证有效日期</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与该项无形资产有关的经济利益的预期实现方式</w:t>
            </w:r>
          </w:p>
        </w:tc>
      </w:tr>
    </w:tbl>
    <w:p>
      <w:pPr>
        <w:spacing w:line="340" w:lineRule="auto" w:before="26"/>
        <w:ind w:left="572" w:right="0"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w:t>
      </w:r>
      <w:r>
        <w:rPr>
          <w:rFonts w:ascii="宋体" w:hAnsi="宋体" w:cs="宋体" w:eastAsia="宋体" w:hint="default"/>
          <w:w w:val="100"/>
          <w:sz w:val="21"/>
          <w:szCs w:val="21"/>
        </w:rPr>
        <w:t> </w:t>
      </w:r>
      <w:r>
        <w:rPr>
          <w:rFonts w:ascii="宋体" w:hAnsi="宋体" w:cs="宋体" w:eastAsia="宋体" w:hint="default"/>
          <w:sz w:val="21"/>
          <w:szCs w:val="21"/>
        </w:rPr>
        <w:t>经复核，本年期末无形资产的使用寿命及摊销方法与以前估计未有不同。</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截至资产负债表日，本公司没有使用寿命不确定的无形资产。</w:t>
      </w:r>
      <w:r>
        <w:rPr>
          <w:rFonts w:ascii="宋体" w:hAnsi="宋体" w:cs="宋体" w:eastAsia="宋体" w:hint="default"/>
          <w:b/>
          <w:bCs/>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划分研究阶段和开发阶段的具体标准</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开发阶段：在进行商业性生产或使用前，将研究成果或其他知识应用于某项计划或设计，以生产出新</w:t>
      </w:r>
    </w:p>
    <w:p>
      <w:pPr>
        <w:spacing w:line="340" w:lineRule="auto" w:before="26"/>
        <w:ind w:left="572" w:right="1810" w:hanging="421"/>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开发阶段支出符合资本化的具体条件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Heading4"/>
        <w:spacing w:line="240" w:lineRule="auto" w:before="28"/>
        <w:ind w:left="572" w:right="0"/>
        <w:jc w:val="left"/>
      </w:pPr>
      <w:r>
        <w:rPr/>
        <w:t>①完成该无形资产以使其能够使用或出售在技术上具有可行性；</w:t>
      </w:r>
    </w:p>
    <w:p>
      <w:pPr>
        <w:pStyle w:val="Heading4"/>
        <w:spacing w:line="240" w:lineRule="auto" w:before="114"/>
        <w:ind w:left="572" w:right="0"/>
        <w:jc w:val="left"/>
      </w:pPr>
      <w:r>
        <w:rPr/>
        <w:t>②具有完成该无形资产并使用或出售的意图；</w:t>
      </w:r>
    </w:p>
    <w:p>
      <w:pPr>
        <w:pStyle w:val="Heading4"/>
        <w:spacing w:line="338" w:lineRule="auto" w:before="116"/>
        <w:ind w:right="0" w:firstLine="420"/>
        <w:jc w:val="left"/>
      </w:pPr>
      <w:r>
        <w:rPr>
          <w:spacing w:val="-2"/>
        </w:rPr>
        <w:t>③无形资产产生经济利益的方式，包括能够证明运用该无形资产生产的产品存在市场或无形资产自身</w:t>
      </w:r>
      <w:r>
        <w:rPr>
          <w:w w:val="100"/>
        </w:rPr>
        <w:t> </w:t>
      </w:r>
      <w:r>
        <w:rPr/>
        <w:t>存在市场，无形资产将在内部使用的，能够证明其有用性；</w:t>
      </w:r>
    </w:p>
    <w:p>
      <w:pPr>
        <w:pStyle w:val="Heading4"/>
        <w:spacing w:line="338" w:lineRule="auto" w:before="30"/>
        <w:ind w:right="0" w:firstLine="420"/>
        <w:jc w:val="left"/>
      </w:pPr>
      <w:r>
        <w:rPr>
          <w:spacing w:val="-2"/>
        </w:rPr>
        <w:t>④有足够的技术、财务资源和其他资源支持，以完成该无形资产的开发，并有能力使用或出售该无形</w:t>
      </w:r>
      <w:r>
        <w:rPr>
          <w:w w:val="100"/>
        </w:rPr>
        <w:t> </w:t>
      </w:r>
      <w:r>
        <w:rPr/>
        <w:t>资产；</w:t>
      </w:r>
    </w:p>
    <w:p>
      <w:pPr>
        <w:pStyle w:val="Heading4"/>
        <w:spacing w:line="338" w:lineRule="auto" w:before="30"/>
        <w:ind w:left="575" w:right="0" w:hanging="3"/>
        <w:jc w:val="left"/>
      </w:pPr>
      <w:r>
        <w:rPr/>
        <w:t>⑤归属于该无形资产开发阶段的支出能够可靠地计量。</w:t>
      </w:r>
      <w:r>
        <w:rPr>
          <w:w w:val="100"/>
        </w:rPr>
        <w:t> </w:t>
      </w:r>
      <w:r>
        <w:rPr>
          <w:spacing w:val="-3"/>
        </w:rPr>
        <w:t>开发阶段的支出，若不满足上列条件的，于发生时计入当期损益。研究阶段的支出，在发生时计入当</w:t>
      </w:r>
      <w:r>
        <w:rPr/>
      </w:r>
    </w:p>
    <w:p>
      <w:pPr>
        <w:pStyle w:val="Heading4"/>
        <w:spacing w:line="240" w:lineRule="auto" w:before="30"/>
        <w:ind w:right="0"/>
        <w:jc w:val="left"/>
      </w:pPr>
      <w:r>
        <w:rPr/>
        <w:t>期损益。</w:t>
      </w:r>
    </w:p>
    <w:p>
      <w:pPr>
        <w:pStyle w:val="Heading4"/>
        <w:spacing w:line="652" w:lineRule="exact" w:before="99"/>
        <w:ind w:left="572" w:right="0"/>
        <w:jc w:val="left"/>
      </w:pPr>
      <w:r>
        <w:rPr>
          <w:rFonts w:ascii="宋体" w:hAnsi="宋体" w:cs="宋体" w:eastAsia="宋体" w:hint="default"/>
          <w:b/>
          <w:bCs/>
        </w:rPr>
        <w:t>19</w:t>
      </w:r>
      <w:r>
        <w:rPr>
          <w:rFonts w:ascii="宋体" w:hAnsi="宋体" w:cs="宋体" w:eastAsia="宋体" w:hint="default"/>
          <w:b/>
          <w:bCs/>
        </w:rPr>
        <w:t>、长期资产减值</w:t>
      </w:r>
      <w:r>
        <w:rPr>
          <w:rFonts w:ascii="宋体" w:hAnsi="宋体" w:cs="宋体" w:eastAsia="宋体" w:hint="default"/>
          <w:b/>
          <w:bCs/>
          <w:spacing w:val="-104"/>
        </w:rPr>
        <w:t> </w:t>
      </w:r>
      <w:r>
        <w:rPr>
          <w:spacing w:val="-2"/>
        </w:rPr>
        <w:t>长期股权投资、采用成本模式计量的投资性房地产、固定资产、在建工程、无形资产等长期资产，于</w:t>
      </w:r>
    </w:p>
    <w:p>
      <w:pPr>
        <w:pStyle w:val="Heading4"/>
        <w:spacing w:line="340" w:lineRule="auto" w:before="13"/>
        <w:ind w:right="0"/>
        <w:jc w:val="left"/>
      </w:pPr>
      <w:r>
        <w:rPr>
          <w:spacing w:val="-2"/>
        </w:rPr>
        <w:t>资产负债表日存在减值迹象的，进行减值测试。减值测试结果表明资产的可收回金额低于其账面价值的，</w:t>
      </w:r>
      <w:r>
        <w:rPr>
          <w:spacing w:val="-21"/>
        </w:rPr>
        <w:t> </w:t>
      </w:r>
      <w:r>
        <w:rPr>
          <w:spacing w:val="-21"/>
        </w:rPr>
      </w:r>
      <w:r>
        <w:rPr>
          <w:spacing w:val="-2"/>
        </w:rPr>
        <w:t>按其差额计提减值准备并计入减值损失。可收回金额为资产的公允价值减去处置费用后的净额与资产预计</w:t>
      </w:r>
    </w:p>
    <w:p>
      <w:pPr>
        <w:spacing w:after="0" w:line="340" w:lineRule="auto"/>
        <w:jc w:val="left"/>
        <w:sectPr>
          <w:footerReference w:type="default" r:id="rId41"/>
          <w:pgSz w:w="11910" w:h="16840"/>
          <w:pgMar w:footer="982" w:header="877" w:top="1100" w:bottom="1180" w:left="980" w:right="980"/>
          <w:pgNumType w:start="114"/>
        </w:sectPr>
      </w:pPr>
    </w:p>
    <w:p>
      <w:pPr>
        <w:spacing w:line="240" w:lineRule="auto" w:before="10"/>
        <w:rPr>
          <w:rFonts w:ascii="宋体" w:hAnsi="宋体" w:cs="宋体" w:eastAsia="宋体" w:hint="default"/>
          <w:sz w:val="23"/>
          <w:szCs w:val="23"/>
        </w:rPr>
      </w:pPr>
    </w:p>
    <w:p>
      <w:pPr>
        <w:pStyle w:val="Heading4"/>
        <w:spacing w:line="340" w:lineRule="auto" w:before="36"/>
        <w:ind w:right="146"/>
        <w:jc w:val="both"/>
      </w:pPr>
      <w:bookmarkStart w:name="(2)离职后福利的会计处理方法" w:id="190"/>
      <w:bookmarkEnd w:id="190"/>
      <w:r>
        <w:rPr/>
      </w:r>
      <w:r>
        <w:rPr>
          <w:spacing w:val="-2"/>
        </w:rPr>
        <w:t>未来现金流量的现值两者之间的较高者。资产减值准备按单项资产为基础计算并确认，如果难以对单项资</w:t>
      </w:r>
      <w:r>
        <w:rPr>
          <w:spacing w:val="-42"/>
        </w:rPr>
        <w:t> </w:t>
      </w:r>
      <w:r>
        <w:rPr>
          <w:spacing w:val="-42"/>
        </w:rPr>
      </w:r>
      <w:r>
        <w:rPr>
          <w:spacing w:val="-2"/>
        </w:rPr>
        <w:t>产的可收回金额进行估计的，以该资产所属的资产组确定资产组的可收回金额。资产组是能够独立产生现</w:t>
      </w:r>
      <w:r>
        <w:rPr>
          <w:spacing w:val="-44"/>
        </w:rPr>
        <w:t> </w:t>
      </w:r>
      <w:r>
        <w:rPr>
          <w:spacing w:val="-44"/>
        </w:rPr>
      </w:r>
      <w:r>
        <w:rPr/>
        <w:t>金流入的最小资产组合。</w:t>
      </w:r>
    </w:p>
    <w:p>
      <w:pPr>
        <w:pStyle w:val="Heading4"/>
        <w:spacing w:line="340" w:lineRule="auto"/>
        <w:ind w:left="572" w:right="0"/>
        <w:jc w:val="left"/>
      </w:pPr>
      <w:r>
        <w:rPr/>
        <w:t>商誉至少在每年年度终了进行减值测试。</w:t>
      </w:r>
      <w:r>
        <w:rPr>
          <w:w w:val="100"/>
        </w:rPr>
        <w:t> </w:t>
      </w:r>
      <w:r>
        <w:rPr>
          <w:spacing w:val="-2"/>
        </w:rPr>
        <w:t>本公司进行商誉减值测试，对于因企业合并形成的商誉的账面价值，自购买日起按照合理的方法分摊</w:t>
      </w:r>
    </w:p>
    <w:p>
      <w:pPr>
        <w:pStyle w:val="Heading4"/>
        <w:spacing w:line="340" w:lineRule="auto"/>
        <w:ind w:right="146"/>
        <w:jc w:val="both"/>
      </w:pPr>
      <w:r>
        <w:rPr>
          <w:spacing w:val="-2"/>
        </w:rPr>
        <w:t>至相关的资产组；难以分摊至相关的资产组的，将其分摊至相关的资产组组合。在将商誉的账面价值分摊</w:t>
      </w:r>
      <w:r>
        <w:rPr>
          <w:spacing w:val="-44"/>
        </w:rPr>
        <w:t> </w:t>
      </w:r>
      <w:r>
        <w:rPr>
          <w:spacing w:val="-44"/>
        </w:rPr>
      </w:r>
      <w:r>
        <w:rPr>
          <w:spacing w:val="-2"/>
        </w:rPr>
        <w:t>至相关的资产组或者资产组组合时，按照各资产组或者资产组组合的公允价值占相关资产组或者资产组组</w:t>
      </w:r>
      <w:r>
        <w:rPr>
          <w:spacing w:val="-43"/>
        </w:rPr>
        <w:t> </w:t>
      </w:r>
      <w:r>
        <w:rPr>
          <w:spacing w:val="-43"/>
        </w:rPr>
      </w:r>
      <w:r>
        <w:rPr>
          <w:spacing w:val="-2"/>
        </w:rPr>
        <w:t>合公允价值总额的比例进行分摊。公允价值难以可靠计量的，按照各资产组或者资产组组合的账面价值占</w:t>
      </w:r>
      <w:r>
        <w:rPr>
          <w:spacing w:val="-43"/>
        </w:rPr>
        <w:t> </w:t>
      </w:r>
      <w:r>
        <w:rPr>
          <w:spacing w:val="-43"/>
        </w:rPr>
      </w:r>
      <w:r>
        <w:rPr/>
        <w:t>相关资产组或者资产组组合账面价值总额的比例进行分摊。</w:t>
      </w:r>
    </w:p>
    <w:p>
      <w:pPr>
        <w:pStyle w:val="Heading4"/>
        <w:spacing w:line="340" w:lineRule="auto"/>
        <w:ind w:right="146" w:firstLine="419"/>
        <w:jc w:val="both"/>
      </w:pPr>
      <w:r>
        <w:rPr>
          <w:spacing w:val="-3"/>
        </w:rPr>
        <w:t>在对包含商誉的相关资产组或者资产组组合进行减值测试时，如与商誉相关的资产组或者资产组组合</w:t>
      </w:r>
      <w:r>
        <w:rPr>
          <w:spacing w:val="-3"/>
          <w:w w:val="100"/>
        </w:rPr>
        <w:t> </w:t>
      </w:r>
      <w:r>
        <w:rPr>
          <w:spacing w:val="-2"/>
        </w:rPr>
        <w:t>存在减值迹象的，先对不包含商誉的资产组或者资产组组合进行减值测试，计算可收回金额，并与相关账</w:t>
      </w:r>
      <w:r>
        <w:rPr>
          <w:spacing w:val="-44"/>
        </w:rPr>
        <w:t> </w:t>
      </w:r>
      <w:r>
        <w:rPr>
          <w:spacing w:val="-44"/>
        </w:rPr>
      </w:r>
      <w:r>
        <w:rPr>
          <w:spacing w:val="-2"/>
        </w:rPr>
        <w:t>面价值相比较，确认相应的减值损失。再对包含商誉的资产组或者资产组组合进行减值测试，比较这些相</w:t>
      </w:r>
      <w:r>
        <w:rPr>
          <w:spacing w:val="-44"/>
        </w:rPr>
        <w:t> </w:t>
      </w:r>
      <w:r>
        <w:rPr>
          <w:spacing w:val="-44"/>
        </w:rPr>
      </w:r>
      <w:r>
        <w:rPr>
          <w:spacing w:val="-2"/>
        </w:rPr>
        <w:t>关资产组或者资产组组合的账面价值（包括所分摊的商誉的账面价值部分）与其可收回金额，如相关资产</w:t>
      </w:r>
      <w:r>
        <w:rPr>
          <w:spacing w:val="-43"/>
        </w:rPr>
        <w:t> </w:t>
      </w:r>
      <w:r>
        <w:rPr>
          <w:spacing w:val="-43"/>
        </w:rPr>
      </w:r>
      <w:r>
        <w:rPr/>
        <w:t>组或者资产组组合的可收回金额低于其账面价值的，确认商誉的减值损失。</w:t>
      </w:r>
    </w:p>
    <w:p>
      <w:pPr>
        <w:pStyle w:val="Heading4"/>
        <w:spacing w:line="240" w:lineRule="auto" w:before="28"/>
        <w:ind w:left="575" w:right="0"/>
        <w:jc w:val="left"/>
      </w:pPr>
      <w:r>
        <w:rPr/>
        <w:t>上述资产减值损失一经确认，在以后会计期间不予转回。</w:t>
      </w:r>
    </w:p>
    <w:p>
      <w:pPr>
        <w:spacing w:line="240" w:lineRule="auto" w:before="9"/>
        <w:rPr>
          <w:rFonts w:ascii="宋体" w:hAnsi="宋体" w:cs="宋体" w:eastAsia="宋体" w:hint="default"/>
          <w:sz w:val="28"/>
          <w:szCs w:val="28"/>
        </w:rPr>
      </w:pPr>
    </w:p>
    <w:p>
      <w:pPr>
        <w:pStyle w:val="Heading3"/>
        <w:spacing w:line="240" w:lineRule="auto" w:before="0"/>
        <w:ind w:right="0"/>
        <w:jc w:val="left"/>
        <w:rPr>
          <w:b w:val="0"/>
          <w:bCs w:val="0"/>
        </w:rPr>
      </w:pPr>
      <w:r>
        <w:rPr>
          <w:rFonts w:ascii="宋体" w:hAnsi="宋体" w:cs="宋体" w:eastAsia="宋体" w:hint="default"/>
        </w:rPr>
        <w:t>20</w:t>
      </w:r>
      <w:r>
        <w:rPr/>
        <w:t>、长期待摊费用</w:t>
      </w:r>
      <w:r>
        <w:rPr>
          <w:b w:val="0"/>
          <w:bCs w:val="0"/>
        </w:rPr>
      </w:r>
    </w:p>
    <w:p>
      <w:pPr>
        <w:spacing w:line="240" w:lineRule="auto" w:before="12"/>
        <w:rPr>
          <w:rFonts w:ascii="宋体" w:hAnsi="宋体" w:cs="宋体" w:eastAsia="宋体" w:hint="default"/>
          <w:b/>
          <w:bCs/>
          <w:sz w:val="28"/>
          <w:szCs w:val="28"/>
        </w:rPr>
      </w:pPr>
    </w:p>
    <w:p>
      <w:pPr>
        <w:pStyle w:val="Heading4"/>
        <w:spacing w:line="340" w:lineRule="auto" w:before="0"/>
        <w:ind w:left="572" w:right="0"/>
        <w:jc w:val="left"/>
      </w:pPr>
      <w:r>
        <w:rPr>
          <w:spacing w:val="-2"/>
        </w:rPr>
        <w:t>长期待摊费用为已经发生但应由本期和以后各期负担的分摊期</w:t>
      </w:r>
      <w:bookmarkStart w:name="20、长期待摊费用" w:id="191"/>
      <w:bookmarkEnd w:id="191"/>
      <w:r>
        <w:rPr>
          <w:spacing w:val="-2"/>
        </w:rPr>
        <w:t>限</w:t>
      </w:r>
      <w:r>
        <w:rPr>
          <w:spacing w:val="-2"/>
        </w:rPr>
        <w:t>在一年以上的各项费用。</w:t>
      </w:r>
      <w:r>
        <w:rPr>
          <w:spacing w:val="-32"/>
        </w:rPr>
        <w:t> </w:t>
      </w:r>
      <w:r>
        <w:rPr>
          <w:spacing w:val="-32"/>
        </w:rPr>
      </w:r>
      <w:r>
        <w:rPr/>
        <w:t>长期待摊费用在受益期内平均摊销。</w:t>
      </w:r>
    </w:p>
    <w:p>
      <w:pPr>
        <w:spacing w:line="240" w:lineRule="auto" w:before="13"/>
        <w:rPr>
          <w:rFonts w:ascii="宋体" w:hAnsi="宋体" w:cs="宋体" w:eastAsia="宋体" w:hint="default"/>
          <w:sz w:val="21"/>
          <w:szCs w:val="21"/>
        </w:rPr>
      </w:pPr>
    </w:p>
    <w:p>
      <w:pPr>
        <w:pStyle w:val="Heading3"/>
        <w:spacing w:line="571" w:lineRule="auto" w:before="0"/>
        <w:ind w:right="6717"/>
        <w:jc w:val="left"/>
        <w:rPr>
          <w:b w:val="0"/>
          <w:bCs w:val="0"/>
        </w:rPr>
      </w:pPr>
      <w:r>
        <w:rPr>
          <w:rFonts w:ascii="宋体" w:hAnsi="宋体" w:cs="宋体" w:eastAsia="宋体" w:hint="default"/>
        </w:rPr>
        <w:t>21</w:t>
      </w:r>
      <w:r>
        <w:rPr/>
        <w:t>、职工薪酬</w:t>
      </w:r>
      <w:r>
        <w:rPr>
          <w:w w:val="100"/>
        </w:rPr>
        <w:t> </w:t>
      </w:r>
      <w:r>
        <w:rPr>
          <w:rFonts w:ascii="宋体" w:hAnsi="宋体" w:cs="宋体" w:eastAsia="宋体" w:hint="default"/>
        </w:rPr>
        <w:t>(1)</w:t>
      </w:r>
      <w:r>
        <w:rPr/>
        <w:t>短期薪酬的会计处理方法</w:t>
      </w:r>
      <w:r>
        <w:rPr>
          <w:b w:val="0"/>
          <w:bCs w:val="0"/>
        </w:rPr>
      </w:r>
    </w:p>
    <w:p>
      <w:pPr>
        <w:pStyle w:val="Heading4"/>
        <w:spacing w:line="340" w:lineRule="auto" w:before="124"/>
        <w:ind w:right="0" w:firstLine="420"/>
        <w:jc w:val="left"/>
      </w:pPr>
      <w:r>
        <w:rPr>
          <w:spacing w:val="-2"/>
        </w:rPr>
        <w:t>本公司在职工为本公司提供服务的会计期间，将实际发生的短期薪酬确认为</w:t>
      </w:r>
      <w:bookmarkStart w:name="21、职工薪酬" w:id="192"/>
      <w:bookmarkEnd w:id="192"/>
      <w:r>
        <w:rPr>
          <w:spacing w:val="-2"/>
        </w:rPr>
        <w:t>负债</w:t>
      </w:r>
      <w:r>
        <w:rPr>
          <w:spacing w:val="-2"/>
        </w:rPr>
        <w:t>，并计</w:t>
      </w:r>
      <w:bookmarkStart w:name="(1)短期薪酬的会计处理方法" w:id="193"/>
      <w:bookmarkEnd w:id="193"/>
      <w:r>
        <w:rPr>
          <w:spacing w:val="-2"/>
        </w:rPr>
        <w:t>入</w:t>
      </w:r>
      <w:r>
        <w:rPr>
          <w:spacing w:val="-2"/>
        </w:rPr>
        <w:t>当期损益或</w:t>
      </w:r>
      <w:r>
        <w:rPr>
          <w:w w:val="100"/>
        </w:rPr>
        <w:t> </w:t>
      </w:r>
      <w:r>
        <w:rPr/>
        <w:t>相关资产成本。</w:t>
      </w:r>
    </w:p>
    <w:p>
      <w:pPr>
        <w:pStyle w:val="Heading4"/>
        <w:spacing w:line="340" w:lineRule="auto"/>
        <w:ind w:right="0" w:firstLine="405"/>
        <w:jc w:val="left"/>
      </w:pPr>
      <w:r>
        <w:rPr>
          <w:spacing w:val="-2"/>
        </w:rPr>
        <w:t>本公司为职工缴纳的社会保险费和住房公积金，以及按规定提取的工会经费和职工教育经费，在职工</w:t>
      </w:r>
      <w:r>
        <w:rPr>
          <w:w w:val="100"/>
        </w:rPr>
        <w:t> </w:t>
      </w:r>
      <w:r>
        <w:rPr/>
        <w:t>为本公司提供服务的会计期间，根据规定的计提基础和计提比例计算确定相应的职工薪酬金额。</w:t>
      </w:r>
    </w:p>
    <w:p>
      <w:pPr>
        <w:pStyle w:val="Heading4"/>
        <w:spacing w:line="240" w:lineRule="auto"/>
        <w:ind w:left="558" w:right="0"/>
        <w:jc w:val="left"/>
      </w:pPr>
      <w:r>
        <w:rPr/>
        <w:t>职工福利费为非货币性福利的，如能够可靠计量的，按照公允价值计量。</w:t>
      </w:r>
    </w:p>
    <w:p>
      <w:pPr>
        <w:spacing w:line="690" w:lineRule="atLeast" w:before="1"/>
        <w:ind w:left="558" w:right="652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z w:val="21"/>
          <w:szCs w:val="21"/>
        </w:rPr>
        <w:t>设定提存计划</w:t>
      </w:r>
    </w:p>
    <w:p>
      <w:pPr>
        <w:pStyle w:val="Heading4"/>
        <w:spacing w:line="338" w:lineRule="auto" w:before="116"/>
        <w:ind w:right="0" w:firstLine="405"/>
        <w:jc w:val="left"/>
      </w:pPr>
      <w:r>
        <w:rPr>
          <w:spacing w:val="-2"/>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p>
    <w:p>
      <w:pPr>
        <w:spacing w:after="0" w:line="33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3"/>
        <w:spacing w:line="240" w:lineRule="auto"/>
        <w:ind w:left="558" w:right="101"/>
        <w:jc w:val="left"/>
        <w:rPr>
          <w:b w:val="0"/>
          <w:bCs w:val="0"/>
        </w:rPr>
      </w:pPr>
      <w:bookmarkStart w:name="(3)辞退福利的会计处理方法" w:id="194"/>
      <w:bookmarkEnd w:id="194"/>
      <w:r>
        <w:rPr>
          <w:b w:val="0"/>
          <w:bCs w:val="0"/>
        </w:rPr>
      </w:r>
      <w:r>
        <w:rPr>
          <w:rFonts w:ascii="宋体" w:hAnsi="宋体" w:cs="宋体" w:eastAsia="宋体" w:hint="default"/>
        </w:rPr>
        <w:t>(3)</w:t>
      </w:r>
      <w:r>
        <w:rPr/>
        <w:t>辞退福利的会计处理方法</w:t>
      </w:r>
      <w:r>
        <w:rPr>
          <w:b w:val="0"/>
          <w:bCs w:val="0"/>
        </w:rPr>
      </w:r>
    </w:p>
    <w:p>
      <w:pPr>
        <w:spacing w:line="240" w:lineRule="auto" w:before="0"/>
        <w:rPr>
          <w:rFonts w:ascii="宋体" w:hAnsi="宋体" w:cs="宋体" w:eastAsia="宋体" w:hint="default"/>
          <w:b/>
          <w:bCs/>
          <w:sz w:val="20"/>
          <w:szCs w:val="20"/>
        </w:rPr>
      </w:pPr>
    </w:p>
    <w:p>
      <w:pPr>
        <w:pStyle w:val="Heading4"/>
        <w:spacing w:line="340" w:lineRule="auto" w:before="152"/>
        <w:ind w:right="101" w:firstLine="405"/>
        <w:jc w:val="left"/>
      </w:pPr>
      <w:r>
        <w:rPr>
          <w:spacing w:val="-2"/>
        </w:rPr>
        <w:t>本公司在不能单方面撤回因解除劳动关系计划或裁减建议所提供的辞退福利时，或确认与涉及支付辞</w:t>
      </w:r>
      <w:r>
        <w:rPr>
          <w:w w:val="100"/>
        </w:rPr>
        <w:t> </w:t>
      </w:r>
      <w:r>
        <w:rPr>
          <w:spacing w:val="-2"/>
        </w:rPr>
        <w:t>退福利的重组相关的成本或费用时（两者孰早），确认辞退福利产生的职工薪酬负债，并计入当期损益。</w:t>
      </w:r>
    </w:p>
    <w:p>
      <w:pPr>
        <w:pStyle w:val="Heading3"/>
        <w:spacing w:line="652" w:lineRule="exact" w:before="11"/>
        <w:ind w:left="558" w:right="6370"/>
        <w:jc w:val="left"/>
        <w:rPr>
          <w:b w:val="0"/>
          <w:bCs w:val="0"/>
        </w:rPr>
      </w:pPr>
      <w:r>
        <w:rPr>
          <w:rFonts w:ascii="宋体" w:hAnsi="宋体" w:cs="宋体" w:eastAsia="宋体" w:hint="default"/>
        </w:rPr>
        <w:t>22</w:t>
      </w:r>
      <w:r>
        <w:rPr/>
        <w:t>、收入</w:t>
      </w:r>
      <w:r>
        <w:rPr>
          <w:w w:val="100"/>
        </w:rPr>
        <w:t> </w:t>
      </w:r>
      <w:r>
        <w:rPr>
          <w:rFonts w:ascii="宋体" w:hAnsi="宋体" w:cs="宋体" w:eastAsia="宋体" w:hint="default"/>
        </w:rPr>
        <w:t>(1)</w:t>
      </w:r>
      <w:bookmarkStart w:name="22、收入" w:id="195"/>
      <w:bookmarkEnd w:id="195"/>
      <w:r>
        <w:rPr>
          <w:rFonts w:ascii="宋体" w:hAnsi="宋体" w:cs="宋体" w:eastAsia="宋体" w:hint="default"/>
        </w:rPr>
      </w:r>
      <w:r>
        <w:rPr/>
        <w:t>销售商品收入确认和计量原则</w:t>
      </w:r>
      <w:r>
        <w:rPr>
          <w:b w:val="0"/>
          <w:bCs w:val="0"/>
        </w:rPr>
      </w:r>
    </w:p>
    <w:p>
      <w:pPr>
        <w:pStyle w:val="Heading4"/>
        <w:spacing w:line="338" w:lineRule="auto" w:before="15"/>
        <w:ind w:left="558" w:right="101"/>
        <w:jc w:val="left"/>
      </w:pPr>
      <w:r>
        <w:rPr/>
        <w:t>①销售商品收入确认和计量的总体原则</w:t>
      </w:r>
      <w:r>
        <w:rPr>
          <w:w w:val="100"/>
        </w:rPr>
        <w:t> </w:t>
      </w:r>
      <w:r>
        <w:rPr>
          <w:spacing w:val="-2"/>
        </w:rPr>
        <w:t>公司已将商品所有权上的主要风险和报酬转移给购买方；公司既没有保留与所有权相联系的继续管理</w:t>
      </w:r>
      <w:r>
        <w:rPr/>
      </w:r>
    </w:p>
    <w:p>
      <w:pPr>
        <w:pStyle w:val="Heading4"/>
        <w:spacing w:line="338" w:lineRule="auto" w:before="30"/>
        <w:ind w:right="101"/>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Heading4"/>
        <w:spacing w:line="338" w:lineRule="auto" w:before="30"/>
        <w:ind w:left="558" w:right="101"/>
        <w:jc w:val="left"/>
      </w:pPr>
      <w:r>
        <w:rPr/>
        <w:t>②本公司销售商品收入确认的确认标准及收入确认时间的具体判断标准</w:t>
      </w:r>
      <w:r>
        <w:rPr>
          <w:w w:val="100"/>
        </w:rPr>
        <w:t> </w:t>
      </w:r>
      <w:r>
        <w:rPr>
          <w:spacing w:val="-2"/>
        </w:rPr>
        <w:t>考虑公司相关业务流程，本公司货币自动处理设备的销售收入以取得购买方确认后的到货签收表作为</w:t>
      </w:r>
    </w:p>
    <w:p>
      <w:pPr>
        <w:pStyle w:val="Heading4"/>
        <w:spacing w:line="338" w:lineRule="auto" w:before="30"/>
        <w:ind w:left="558" w:right="101" w:hanging="406"/>
        <w:jc w:val="left"/>
      </w:pPr>
      <w:r>
        <w:rPr/>
        <w:t>收入确认的时点。</w:t>
      </w:r>
      <w:r>
        <w:rPr>
          <w:w w:val="100"/>
        </w:rPr>
        <w:t> </w:t>
      </w:r>
      <w:r>
        <w:rPr>
          <w:spacing w:val="-2"/>
        </w:rPr>
        <w:t>本公司销售房产，在房屋完工并验收合格，签订了销售合同，并办理完成商品房实物移交手续时，确</w:t>
      </w:r>
      <w:r>
        <w:rPr/>
      </w:r>
    </w:p>
    <w:p>
      <w:pPr>
        <w:pStyle w:val="Heading4"/>
        <w:spacing w:line="340" w:lineRule="auto" w:before="30"/>
        <w:ind w:left="153" w:right="206"/>
        <w:jc w:val="both"/>
      </w:pPr>
      <w:r>
        <w:rPr>
          <w:spacing w:val="-2"/>
        </w:rPr>
        <w:t>认收入的实现。对公司已通知买方在规定时间内办理商品房实物移交手续，而买方未在规定时间内办理完</w:t>
      </w:r>
      <w:r>
        <w:rPr>
          <w:spacing w:val="-42"/>
        </w:rPr>
        <w:t> </w:t>
      </w:r>
      <w:r>
        <w:rPr>
          <w:spacing w:val="-42"/>
        </w:rPr>
      </w:r>
      <w:r>
        <w:rPr>
          <w:spacing w:val="-2"/>
        </w:rPr>
        <w:t>成商品房实物移交手续且无正当理由的，在其他条件符合的情况下，公司在通知所规定的时限结束后即确</w:t>
      </w:r>
      <w:r>
        <w:rPr>
          <w:spacing w:val="-43"/>
        </w:rPr>
        <w:t> </w:t>
      </w:r>
      <w:r>
        <w:rPr>
          <w:spacing w:val="-43"/>
        </w:rPr>
      </w:r>
      <w:r>
        <w:rPr/>
        <w:t>认收入的实现。</w:t>
      </w:r>
    </w:p>
    <w:p>
      <w:pPr>
        <w:pStyle w:val="Heading3"/>
        <w:spacing w:line="240" w:lineRule="auto" w:before="26"/>
        <w:ind w:left="558" w:right="101"/>
        <w:jc w:val="left"/>
        <w:rPr>
          <w:b w:val="0"/>
          <w:bCs w:val="0"/>
        </w:rPr>
      </w:pPr>
      <w:r>
        <w:rPr>
          <w:rFonts w:ascii="宋体" w:hAnsi="宋体" w:cs="宋体" w:eastAsia="宋体" w:hint="default"/>
        </w:rPr>
        <w:t>(2)</w:t>
      </w:r>
      <w:r>
        <w:rPr/>
        <w:t>让渡资产使用权收入的确认和计量原则</w:t>
      </w:r>
      <w:r>
        <w:rPr>
          <w:b w:val="0"/>
          <w:bCs w:val="0"/>
        </w:rPr>
      </w:r>
    </w:p>
    <w:p>
      <w:pPr>
        <w:pStyle w:val="Heading4"/>
        <w:spacing w:line="338" w:lineRule="auto" w:before="116"/>
        <w:ind w:left="558" w:right="101"/>
        <w:jc w:val="left"/>
      </w:pPr>
      <w:r>
        <w:rPr/>
        <w:t>①让渡资产使用权收入确认和计量的总体原则</w:t>
      </w:r>
      <w:r>
        <w:rPr>
          <w:w w:val="100"/>
        </w:rPr>
        <w:t> </w:t>
      </w:r>
      <w:r>
        <w:rPr>
          <w:spacing w:val="-2"/>
        </w:rPr>
        <w:t>与交易相关的经济利益很可能流入企业，收入的金额能够可靠地计量时。分别下列情况确定让渡资产</w:t>
      </w:r>
    </w:p>
    <w:p>
      <w:pPr>
        <w:pStyle w:val="Heading4"/>
        <w:spacing w:line="338" w:lineRule="auto" w:before="30"/>
        <w:ind w:left="558" w:right="1674" w:hanging="406"/>
        <w:jc w:val="left"/>
      </w:pPr>
      <w:r>
        <w:rPr/>
        <w:t>使用权收入金额：</w:t>
      </w:r>
      <w:r>
        <w:rPr>
          <w:w w:val="100"/>
        </w:rPr>
        <w:t> </w:t>
      </w:r>
      <w:r>
        <w:rPr>
          <w:spacing w:val="-2"/>
        </w:rPr>
        <w:t>利息收入金额，按照他人使用本企业货币资金的时间和实际利率计算确定。</w:t>
      </w:r>
      <w:r>
        <w:rPr>
          <w:w w:val="100"/>
        </w:rPr>
        <w:t> </w:t>
      </w:r>
      <w:r>
        <w:rPr/>
        <w:t>使用费收入金额，按照有关合同或协议约定的收费时间和方法计算确定。</w:t>
      </w:r>
    </w:p>
    <w:p>
      <w:pPr>
        <w:pStyle w:val="Heading4"/>
        <w:spacing w:line="240" w:lineRule="auto" w:before="30"/>
        <w:ind w:left="558" w:right="101"/>
        <w:jc w:val="left"/>
      </w:pPr>
      <w:r>
        <w:rPr/>
        <w:t>②本公司确认让渡资产使用权收入的依据</w:t>
      </w:r>
    </w:p>
    <w:p>
      <w:pPr>
        <w:pStyle w:val="Heading4"/>
        <w:spacing w:line="340" w:lineRule="auto" w:before="114"/>
        <w:ind w:left="205" w:right="101" w:firstLine="352"/>
        <w:jc w:val="left"/>
      </w:pPr>
      <w:r>
        <w:rPr>
          <w:rFonts w:ascii="宋体" w:hAnsi="宋体" w:cs="宋体" w:eastAsia="宋体" w:hint="default"/>
        </w:rPr>
        <w:t>ATM</w:t>
      </w:r>
      <w:r>
        <w:rPr/>
        <w:t>服务收入金额，按照收入的金额能够可靠地计量；相关的经济利益很可能流入企业时确认收入。</w:t>
      </w:r>
      <w:r>
        <w:rPr>
          <w:w w:val="100"/>
        </w:rPr>
        <w:t> </w:t>
      </w:r>
      <w:r>
        <w:rPr/>
        <w:t>考虑服务的特殊性，收入确认时点为公司已提供服务、接受服务方已确认所提供的服务。</w:t>
      </w:r>
    </w:p>
    <w:p>
      <w:pPr>
        <w:pStyle w:val="Heading4"/>
        <w:spacing w:line="340" w:lineRule="auto"/>
        <w:ind w:left="558" w:right="101"/>
        <w:jc w:val="left"/>
      </w:pPr>
      <w:r>
        <w:rPr/>
        <w:t>经营收入金额，按照有关合同或协议约定的收费时间和方法计算确定。</w:t>
      </w:r>
      <w:r>
        <w:rPr>
          <w:w w:val="100"/>
        </w:rPr>
        <w:t> </w:t>
      </w:r>
      <w:r>
        <w:rPr>
          <w:rFonts w:ascii="宋体" w:hAnsi="宋体" w:cs="宋体" w:eastAsia="宋体" w:hint="default"/>
          <w:b/>
          <w:bCs/>
        </w:rPr>
        <w:t>(3)</w:t>
      </w:r>
      <w:r>
        <w:rPr>
          <w:rFonts w:ascii="宋体" w:hAnsi="宋体" w:cs="宋体" w:eastAsia="宋体" w:hint="default"/>
          <w:b/>
          <w:bCs/>
        </w:rPr>
        <w:t>确认物业管理费收入的判断标准</w:t>
      </w:r>
      <w:r>
        <w:rPr>
          <w:rFonts w:ascii="宋体" w:hAnsi="宋体" w:cs="宋体" w:eastAsia="宋体" w:hint="default"/>
          <w:b/>
          <w:bCs/>
          <w:w w:val="100"/>
        </w:rPr>
        <w:t> </w:t>
      </w:r>
      <w:r>
        <w:rPr>
          <w:spacing w:val="-2"/>
        </w:rPr>
        <w:t>本公司在物业管理服务已经提供，与物业管理服务相关的经济利益能够流入企业，与物业管理服务相</w:t>
      </w:r>
    </w:p>
    <w:p>
      <w:pPr>
        <w:pStyle w:val="Heading4"/>
        <w:spacing w:line="240" w:lineRule="auto" w:before="28"/>
        <w:ind w:right="101"/>
        <w:jc w:val="left"/>
      </w:pPr>
      <w:r>
        <w:rPr/>
        <w:t>关的成本能够可靠计量时，确认物业管理收入的实现。</w:t>
      </w:r>
    </w:p>
    <w:p>
      <w:pPr>
        <w:pStyle w:val="Heading3"/>
        <w:spacing w:line="240" w:lineRule="auto" w:before="114"/>
        <w:ind w:left="558" w:right="101"/>
        <w:jc w:val="left"/>
        <w:rPr>
          <w:b w:val="0"/>
          <w:bCs w:val="0"/>
        </w:rPr>
      </w:pPr>
      <w:r>
        <w:rPr>
          <w:rFonts w:ascii="宋体" w:hAnsi="宋体" w:cs="宋体" w:eastAsia="宋体" w:hint="default"/>
        </w:rPr>
        <w:t>(4)</w:t>
      </w:r>
      <w:r>
        <w:rPr/>
        <w:t>劳务收入的确认和计量原则</w:t>
      </w:r>
      <w:r>
        <w:rPr>
          <w:b w:val="0"/>
          <w:bCs w:val="0"/>
        </w:rPr>
      </w:r>
    </w:p>
    <w:p>
      <w:pPr>
        <w:pStyle w:val="Heading4"/>
        <w:spacing w:line="340" w:lineRule="auto" w:before="116"/>
        <w:ind w:left="558" w:right="101"/>
        <w:jc w:val="left"/>
      </w:pPr>
      <w:r>
        <w:rPr/>
        <w:t>①劳务收入确认和计量的总体原则</w:t>
      </w:r>
      <w:r>
        <w:rPr>
          <w:w w:val="100"/>
        </w:rPr>
        <w:t> </w:t>
      </w:r>
      <w:r>
        <w:rPr>
          <w:spacing w:val="-2"/>
        </w:rPr>
        <w:t>本公司在资产负债表日提供劳务交易的结果能够可靠估计的，应当采用完工百分比法确认劳务收入。</w:t>
      </w:r>
      <w:r>
        <w:rPr>
          <w:spacing w:val="-32"/>
        </w:rPr>
        <w:t> </w:t>
      </w:r>
      <w:r>
        <w:rPr>
          <w:spacing w:val="-32"/>
        </w:rPr>
      </w:r>
      <w:r>
        <w:rPr/>
        <w:t>提供劳务交易的结果能够可靠估计，是指同时满足列列条件：</w:t>
      </w:r>
    </w:p>
    <w:p>
      <w:pPr>
        <w:spacing w:after="0" w:line="3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3"/>
          <w:szCs w:val="23"/>
        </w:rPr>
      </w:pPr>
    </w:p>
    <w:p>
      <w:pPr>
        <w:pStyle w:val="Heading4"/>
        <w:spacing w:line="338" w:lineRule="auto" w:before="36"/>
        <w:ind w:right="0" w:firstLine="405"/>
        <w:jc w:val="left"/>
      </w:pPr>
      <w:r>
        <w:rPr>
          <w:spacing w:val="-2"/>
        </w:rPr>
        <w:t>与交易相关的经济利益很可能流入企业，收入的金额能够可靠地计量；交易的完工进度能够可靠地确</w:t>
      </w:r>
      <w:r>
        <w:rPr>
          <w:w w:val="100"/>
        </w:rPr>
        <w:t> </w:t>
      </w:r>
      <w:r>
        <w:rPr/>
        <w:t>定；交易中已发生和将发生的成本能够可靠地计量。</w:t>
      </w:r>
    </w:p>
    <w:p>
      <w:pPr>
        <w:pStyle w:val="Heading4"/>
        <w:spacing w:line="240" w:lineRule="auto" w:before="30"/>
        <w:ind w:left="558" w:right="0"/>
        <w:jc w:val="left"/>
      </w:pPr>
      <w:r>
        <w:rPr/>
        <w:t>本公司确定提供劳务交易的完工进度，可以选用下列方法：</w:t>
      </w:r>
    </w:p>
    <w:p>
      <w:pPr>
        <w:pStyle w:val="Heading4"/>
        <w:spacing w:line="240" w:lineRule="auto" w:before="114"/>
        <w:ind w:left="558" w:right="0"/>
        <w:jc w:val="left"/>
      </w:pPr>
      <w:r>
        <w:rPr>
          <w:rFonts w:ascii="宋体" w:hAnsi="宋体" w:cs="宋体" w:eastAsia="宋体" w:hint="default"/>
        </w:rPr>
        <w:t>1.</w:t>
      </w:r>
      <w:r>
        <w:rPr/>
        <w:t>已完工作的测量；</w:t>
      </w:r>
    </w:p>
    <w:p>
      <w:pPr>
        <w:pStyle w:val="Heading4"/>
        <w:spacing w:line="240" w:lineRule="auto" w:before="116"/>
        <w:ind w:left="558" w:right="0"/>
        <w:jc w:val="left"/>
      </w:pPr>
      <w:r>
        <w:rPr>
          <w:rFonts w:ascii="宋体" w:hAnsi="宋体" w:cs="宋体" w:eastAsia="宋体" w:hint="default"/>
        </w:rPr>
        <w:t>2.</w:t>
      </w:r>
      <w:r>
        <w:rPr/>
        <w:t>已经提供的劳务占应提供劳务总量的比例；</w:t>
      </w:r>
    </w:p>
    <w:p>
      <w:pPr>
        <w:pStyle w:val="Heading4"/>
        <w:spacing w:line="340" w:lineRule="auto" w:before="114"/>
        <w:ind w:left="575" w:right="0" w:hanging="17"/>
        <w:jc w:val="left"/>
      </w:pPr>
      <w:r>
        <w:rPr>
          <w:rFonts w:ascii="宋体" w:hAnsi="宋体" w:cs="宋体" w:eastAsia="宋体" w:hint="default"/>
        </w:rPr>
        <w:t>3.</w:t>
      </w:r>
      <w:r>
        <w:rPr/>
        <w:t>已经发生的成本点估计总成本的比例。</w:t>
      </w:r>
      <w:r>
        <w:rPr>
          <w:w w:val="100"/>
        </w:rPr>
        <w:t> </w:t>
      </w:r>
      <w:r>
        <w:rPr>
          <w:spacing w:val="-2"/>
        </w:rPr>
        <w:t>公司应当按从接受劳务方已收或应收的合同或协议价款确定提供劳务收入总额，但已收或应收的合同</w:t>
      </w:r>
    </w:p>
    <w:p>
      <w:pPr>
        <w:pStyle w:val="Heading4"/>
        <w:spacing w:line="340" w:lineRule="auto"/>
        <w:ind w:left="572" w:right="0" w:hanging="420"/>
        <w:jc w:val="left"/>
      </w:pPr>
      <w:r>
        <w:rPr/>
        <w:t>或协议款不公允的除外。</w:t>
      </w:r>
      <w:r>
        <w:rPr>
          <w:spacing w:val="-3"/>
          <w:w w:val="100"/>
        </w:rPr>
        <w:t> </w:t>
      </w:r>
      <w:r>
        <w:rPr>
          <w:spacing w:val="2"/>
        </w:rPr>
        <w:t>公司在资产负债表日按照提供劳务收入总额乘以完工进度扣除以前会计期间累计已确认提供劳务收</w:t>
      </w:r>
    </w:p>
    <w:p>
      <w:pPr>
        <w:pStyle w:val="Heading4"/>
        <w:spacing w:line="340" w:lineRule="auto"/>
        <w:ind w:right="0"/>
        <w:jc w:val="left"/>
      </w:pPr>
      <w:r>
        <w:rPr>
          <w:spacing w:val="-2"/>
        </w:rPr>
        <w:t>入后的金额，确认当期提供劳务收入；同时，按照提供劳务估计总成本乘以完工进度扣除以前会计期间累</w:t>
      </w:r>
      <w:r>
        <w:rPr>
          <w:spacing w:val="-43"/>
        </w:rPr>
        <w:t> </w:t>
      </w:r>
      <w:r>
        <w:rPr>
          <w:spacing w:val="-43"/>
        </w:rPr>
      </w:r>
      <w:r>
        <w:rPr/>
        <w:t>计已确认劳务成本后的金额，结转当期劳务成本。</w:t>
      </w:r>
    </w:p>
    <w:p>
      <w:pPr>
        <w:pStyle w:val="Heading4"/>
        <w:spacing w:line="240" w:lineRule="auto"/>
        <w:ind w:left="572" w:right="0"/>
        <w:jc w:val="left"/>
      </w:pPr>
      <w:r>
        <w:rPr/>
        <w:t>公司在资产负债表日提供劳务交易结果不能够可靠估计的，应当分别下列情况处理：</w:t>
      </w:r>
    </w:p>
    <w:p>
      <w:pPr>
        <w:pStyle w:val="Heading4"/>
        <w:spacing w:line="338" w:lineRule="auto" w:before="116"/>
        <w:ind w:right="0" w:firstLine="420"/>
        <w:jc w:val="left"/>
      </w:pPr>
      <w:r>
        <w:rPr>
          <w:rFonts w:ascii="宋体" w:hAnsi="宋体" w:cs="宋体" w:eastAsia="宋体" w:hint="default"/>
          <w:spacing w:val="-2"/>
        </w:rPr>
        <w:t>1.</w:t>
      </w:r>
      <w:r>
        <w:rPr>
          <w:spacing w:val="-2"/>
        </w:rPr>
        <w:t>已经发生的劳务成本预计能够得到补偿的，按照已经发生的劳务成本金额确认提供劳务收入，并按</w:t>
      </w:r>
      <w:r>
        <w:rPr>
          <w:w w:val="100"/>
        </w:rPr>
        <w:t> </w:t>
      </w:r>
      <w:r>
        <w:rPr/>
        <w:t>相同金额结转劳务成本。</w:t>
      </w:r>
    </w:p>
    <w:p>
      <w:pPr>
        <w:pStyle w:val="Heading4"/>
        <w:spacing w:line="338" w:lineRule="auto" w:before="30"/>
        <w:ind w:right="0" w:firstLine="420"/>
        <w:jc w:val="left"/>
      </w:pPr>
      <w:r>
        <w:rPr>
          <w:rFonts w:ascii="宋体" w:hAnsi="宋体" w:cs="宋体" w:eastAsia="宋体" w:hint="default"/>
          <w:spacing w:val="-2"/>
        </w:rPr>
        <w:t>2.</w:t>
      </w:r>
      <w:r>
        <w:rPr>
          <w:spacing w:val="-2"/>
        </w:rPr>
        <w:t>已经发生的劳务成本预计不能够得到补偿的，应当将已经发生的劳务成本计入当期损益，不确认提</w:t>
      </w:r>
      <w:r>
        <w:rPr>
          <w:w w:val="100"/>
        </w:rPr>
        <w:t> </w:t>
      </w:r>
      <w:r>
        <w:rPr/>
        <w:t>供劳务收入。</w:t>
      </w:r>
    </w:p>
    <w:p>
      <w:pPr>
        <w:pStyle w:val="Heading4"/>
        <w:spacing w:line="340" w:lineRule="auto" w:before="30"/>
        <w:ind w:right="128" w:firstLine="420"/>
        <w:jc w:val="right"/>
      </w:pPr>
      <w:r>
        <w:rPr>
          <w:spacing w:val="-2"/>
        </w:rPr>
        <w:t>公司与其他企业签订的合同或协议包括销售商品和提供劳务时，销售商品部分和提供劳务部分能够区</w:t>
      </w:r>
      <w:r>
        <w:rPr>
          <w:w w:val="100"/>
        </w:rPr>
        <w:t> </w:t>
      </w:r>
      <w:r>
        <w:rPr>
          <w:spacing w:val="-2"/>
        </w:rPr>
        <w:t>分且能够单独计量的，应当将销售商品的部分作为销售商品处理，将提供劳务的部分作为提供劳务处理。</w:t>
      </w:r>
      <w:r>
        <w:rPr>
          <w:spacing w:val="-45"/>
        </w:rPr>
        <w:t> </w:t>
      </w:r>
      <w:r>
        <w:rPr>
          <w:spacing w:val="-45"/>
        </w:rPr>
      </w:r>
      <w:r>
        <w:rPr>
          <w:spacing w:val="-2"/>
        </w:rPr>
        <w:t>销售商品部分和提供劳务部分不能够区分，或虽能区分但不能够单独计量的，应当将销售商品部分和</w:t>
      </w:r>
    </w:p>
    <w:p>
      <w:pPr>
        <w:pStyle w:val="Heading4"/>
        <w:spacing w:line="240" w:lineRule="auto"/>
        <w:ind w:left="151" w:right="0"/>
        <w:jc w:val="left"/>
      </w:pPr>
      <w:r>
        <w:rPr/>
        <w:t>提供劳务部分全部作为销售商品处理。</w:t>
      </w:r>
    </w:p>
    <w:p>
      <w:pPr>
        <w:pStyle w:val="Heading4"/>
        <w:spacing w:line="340" w:lineRule="auto" w:before="116"/>
        <w:ind w:left="571" w:right="0"/>
        <w:jc w:val="left"/>
      </w:pPr>
      <w:r>
        <w:rPr/>
        <w:t>②本公司确认让劳务收入的依据</w:t>
      </w:r>
      <w:r>
        <w:rPr>
          <w:w w:val="100"/>
        </w:rPr>
        <w:t> </w:t>
      </w:r>
      <w:r>
        <w:rPr>
          <w:spacing w:val="-2"/>
        </w:rPr>
        <w:t>确认进度收入时，取得对方的阶段任务完成确认书或阶段工作量确认书为进度收入确认的时点。</w:t>
      </w:r>
      <w:r>
        <w:rPr>
          <w:spacing w:val="-25"/>
        </w:rPr>
        <w:t> </w:t>
      </w:r>
      <w:r>
        <w:rPr>
          <w:spacing w:val="-25"/>
        </w:rPr>
      </w:r>
      <w:r>
        <w:rPr/>
        <w:t>项目完成时，取得对方签收的系统验收报告为综验收入确认的时点。</w:t>
      </w:r>
    </w:p>
    <w:p>
      <w:pPr>
        <w:pStyle w:val="Heading3"/>
        <w:spacing w:line="652" w:lineRule="exact" w:before="11"/>
        <w:ind w:right="8088"/>
        <w:jc w:val="left"/>
        <w:rPr>
          <w:b w:val="0"/>
          <w:bCs w:val="0"/>
        </w:rPr>
      </w:pPr>
      <w:r>
        <w:rPr>
          <w:rFonts w:ascii="宋体" w:hAnsi="宋体" w:cs="宋体" w:eastAsia="宋体" w:hint="default"/>
        </w:rPr>
        <w:t>23</w:t>
      </w:r>
      <w:r>
        <w:rPr/>
        <w:t>、政府补助</w:t>
      </w:r>
      <w:r>
        <w:rPr>
          <w:w w:val="100"/>
        </w:rPr>
        <w:t> </w:t>
      </w:r>
      <w:r>
        <w:rPr>
          <w:rFonts w:ascii="宋体" w:hAnsi="宋体" w:cs="宋体" w:eastAsia="宋体" w:hint="default"/>
        </w:rPr>
        <w:t>(1)</w:t>
      </w:r>
      <w:r>
        <w:rPr/>
        <w:t>类型</w:t>
      </w:r>
      <w:r>
        <w:rPr>
          <w:b w:val="0"/>
          <w:bCs w:val="0"/>
        </w:rPr>
      </w:r>
    </w:p>
    <w:p>
      <w:pPr>
        <w:pStyle w:val="Heading4"/>
        <w:spacing w:line="340" w:lineRule="auto" w:before="13"/>
        <w:ind w:right="0" w:firstLine="420"/>
        <w:jc w:val="left"/>
      </w:pPr>
      <w:r>
        <w:rPr>
          <w:spacing w:val="-2"/>
        </w:rPr>
        <w:t>政府补助，是本公司从政府无偿取得的货币性资产与非货币性资产。分为与资产相关的政府补助</w:t>
      </w:r>
      <w:bookmarkStart w:name="23、政府补助" w:id="196"/>
      <w:bookmarkEnd w:id="196"/>
      <w:r>
        <w:rPr>
          <w:spacing w:val="-2"/>
        </w:rPr>
        <w:t>和与</w:t>
      </w:r>
      <w:r>
        <w:rPr>
          <w:w w:val="100"/>
        </w:rPr>
        <w:t> </w:t>
      </w:r>
      <w:r>
        <w:rPr/>
        <w:t>收益相关的政府补助。</w:t>
      </w:r>
    </w:p>
    <w:p>
      <w:pPr>
        <w:pStyle w:val="Heading4"/>
        <w:spacing w:line="340" w:lineRule="auto"/>
        <w:ind w:right="147" w:firstLine="420"/>
        <w:jc w:val="both"/>
      </w:pPr>
      <w:r>
        <w:rPr>
          <w:spacing w:val="-2"/>
        </w:rPr>
        <w:t>与资产相关的政府补助，是指企业取得的、用于购建或以其他方式形成长期资产的政府补助，包括购</w:t>
      </w:r>
      <w:r>
        <w:rPr>
          <w:w w:val="100"/>
        </w:rPr>
        <w:t> </w:t>
      </w:r>
      <w:r>
        <w:rPr>
          <w:spacing w:val="-2"/>
        </w:rPr>
        <w:t>买固定资产或无形资产的财政拨款、固定资产专项借款的财政贴息等。与收益相关的政府补助，是指除与</w:t>
      </w:r>
      <w:r>
        <w:rPr>
          <w:spacing w:val="-43"/>
        </w:rPr>
        <w:t> </w:t>
      </w:r>
      <w:r>
        <w:rPr>
          <w:spacing w:val="-43"/>
        </w:rPr>
      </w:r>
      <w:r>
        <w:rPr/>
        <w:t>资产相关的政府补助之外的政府补助。</w:t>
      </w:r>
    </w:p>
    <w:p>
      <w:pPr>
        <w:pStyle w:val="Heading4"/>
        <w:spacing w:line="338" w:lineRule="auto" w:before="28"/>
        <w:ind w:right="0" w:firstLine="420"/>
        <w:jc w:val="left"/>
      </w:pPr>
      <w:r>
        <w:rPr>
          <w:spacing w:val="-2"/>
        </w:rPr>
        <w:t>本公司将政府补助划分为与资产相关的具体标准为：本公司取得的政府补助用于购建或以其他方式形</w:t>
      </w:r>
      <w:r>
        <w:rPr>
          <w:w w:val="100"/>
        </w:rPr>
        <w:t> </w:t>
      </w:r>
      <w:r>
        <w:rPr/>
        <w:t>成长期资产的作为与资产相关的政府补助。</w:t>
      </w:r>
    </w:p>
    <w:p>
      <w:pPr>
        <w:pStyle w:val="Heading4"/>
        <w:spacing w:line="338" w:lineRule="auto" w:before="30"/>
        <w:ind w:right="0" w:firstLine="420"/>
        <w:jc w:val="left"/>
      </w:pPr>
      <w:r>
        <w:rPr>
          <w:spacing w:val="-2"/>
        </w:rPr>
        <w:t>本公司将政府补助划分为与收益相关的具体标准为：除与资产相关的政府补助之外的政府补助，作为</w:t>
      </w:r>
      <w:r>
        <w:rPr>
          <w:w w:val="100"/>
        </w:rPr>
        <w:t> </w:t>
      </w:r>
      <w:r>
        <w:rPr/>
        <w:t>与收益相关的政府补助。</w:t>
      </w:r>
    </w:p>
    <w:p>
      <w:pPr>
        <w:spacing w:after="0" w:line="338"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right="146" w:firstLine="420"/>
        <w:jc w:val="both"/>
      </w:pPr>
      <w:bookmarkStart w:name="25、租赁" w:id="197"/>
      <w:bookmarkEnd w:id="197"/>
      <w:r>
        <w:rPr/>
      </w:r>
      <w:bookmarkStart w:name="(1)经营租赁的会计处理方法" w:id="198"/>
      <w:bookmarkEnd w:id="198"/>
      <w:r>
        <w:rPr/>
      </w:r>
      <w:r>
        <w:rPr>
          <w:spacing w:val="-2"/>
        </w:rPr>
        <w:t>对于政府文件未明确规定补助对象的，本公司将该政府补助划分为与资产相关或与收益相关的判断依</w:t>
      </w:r>
      <w:r>
        <w:rPr>
          <w:w w:val="100"/>
        </w:rPr>
        <w:t> </w:t>
      </w:r>
      <w:r>
        <w:rPr>
          <w:spacing w:val="-2"/>
        </w:rPr>
        <w:t>据为：对于政府文件未明确规定补助对象的，能够形成长期资产的，与资产价值相对应的政府补助部分作</w:t>
      </w:r>
      <w:r>
        <w:rPr>
          <w:spacing w:val="-44"/>
        </w:rPr>
        <w:t> </w:t>
      </w:r>
      <w:r>
        <w:rPr>
          <w:spacing w:val="-44"/>
        </w:rPr>
      </w:r>
      <w:r>
        <w:rPr>
          <w:spacing w:val="-2"/>
        </w:rPr>
        <w:t>为与资产相关的政府补助，其余部分作为与收益相关的政府补助；难以区分的，将政府补助整体作为与收</w:t>
      </w:r>
      <w:r>
        <w:rPr>
          <w:spacing w:val="-44"/>
        </w:rPr>
        <w:t> </w:t>
      </w:r>
      <w:r>
        <w:rPr>
          <w:spacing w:val="-44"/>
        </w:rPr>
      </w:r>
      <w:r>
        <w:rPr/>
        <w:t>益相关的政府补助。</w:t>
      </w:r>
    </w:p>
    <w:p>
      <w:pPr>
        <w:pStyle w:val="Heading4"/>
        <w:spacing w:line="338" w:lineRule="auto" w:before="28"/>
        <w:ind w:left="572" w:right="0"/>
        <w:jc w:val="left"/>
      </w:pPr>
      <w:r>
        <w:rPr>
          <w:rFonts w:ascii="宋体" w:hAnsi="宋体" w:cs="宋体" w:eastAsia="宋体" w:hint="default"/>
          <w:b/>
          <w:bCs/>
        </w:rPr>
        <w:t>(2)</w:t>
      </w:r>
      <w:r>
        <w:rPr>
          <w:rFonts w:ascii="宋体" w:hAnsi="宋体" w:cs="宋体" w:eastAsia="宋体" w:hint="default"/>
          <w:b/>
          <w:bCs/>
        </w:rPr>
        <w:t>确认时点</w:t>
      </w:r>
      <w:r>
        <w:rPr>
          <w:rFonts w:ascii="宋体" w:hAnsi="宋体" w:cs="宋体" w:eastAsia="宋体" w:hint="default"/>
          <w:b/>
          <w:bCs/>
          <w:w w:val="100"/>
        </w:rPr>
        <w:t> </w:t>
      </w:r>
      <w:r>
        <w:rPr>
          <w:spacing w:val="-2"/>
        </w:rPr>
        <w:t>与资产相关的政府补助，在收到政府补助时确认为递延收益，并在所建造或购买的资产投入使用后，</w:t>
      </w:r>
    </w:p>
    <w:p>
      <w:pPr>
        <w:pStyle w:val="Heading4"/>
        <w:spacing w:line="340" w:lineRule="auto" w:before="30"/>
        <w:ind w:right="147"/>
        <w:jc w:val="both"/>
      </w:pPr>
      <w:r>
        <w:rPr>
          <w:spacing w:val="-2"/>
        </w:rPr>
        <w:t>在相关资产使用期限内平均分配，计入当期损益。与收益相关的政府补助，如果用于补偿已发生的相关费</w:t>
      </w:r>
      <w:r>
        <w:rPr>
          <w:spacing w:val="-42"/>
        </w:rPr>
        <w:t> </w:t>
      </w:r>
      <w:r>
        <w:rPr>
          <w:spacing w:val="-42"/>
        </w:rPr>
      </w:r>
      <w:r>
        <w:rPr>
          <w:spacing w:val="-2"/>
        </w:rPr>
        <w:t>用或损失，则在收到时计入当期损益；如果用于补偿以后期间的相关费用或损失，则在收到时计入递延收</w:t>
      </w:r>
      <w:r>
        <w:rPr>
          <w:spacing w:val="-44"/>
        </w:rPr>
        <w:t> </w:t>
      </w:r>
      <w:r>
        <w:rPr>
          <w:spacing w:val="-44"/>
        </w:rPr>
      </w:r>
      <w:r>
        <w:rPr/>
        <w:t>益，于费用确认期间计入当期损益。</w:t>
      </w:r>
    </w:p>
    <w:p>
      <w:pPr>
        <w:pStyle w:val="Heading4"/>
        <w:spacing w:line="340" w:lineRule="auto"/>
        <w:ind w:left="572" w:right="0"/>
        <w:jc w:val="left"/>
      </w:pPr>
      <w:r>
        <w:rPr>
          <w:rFonts w:ascii="宋体" w:hAnsi="宋体" w:cs="宋体" w:eastAsia="宋体" w:hint="default"/>
          <w:b/>
          <w:bCs/>
        </w:rPr>
        <w:t>(3)</w:t>
      </w:r>
      <w:r>
        <w:rPr>
          <w:rFonts w:ascii="宋体" w:hAnsi="宋体" w:cs="宋体" w:eastAsia="宋体" w:hint="default"/>
          <w:b/>
          <w:bCs/>
        </w:rPr>
        <w:t>会计处理</w:t>
      </w:r>
      <w:r>
        <w:rPr>
          <w:rFonts w:ascii="宋体" w:hAnsi="宋体" w:cs="宋体" w:eastAsia="宋体" w:hint="default"/>
          <w:b/>
          <w:bCs/>
          <w:w w:val="100"/>
        </w:rPr>
        <w:t> </w:t>
      </w:r>
      <w:r>
        <w:rPr>
          <w:spacing w:val="-2"/>
        </w:rPr>
        <w:t>与资产相关的政府补助，确认为递延收益，按照所建造或购买的资产使用年限分期计入营业外收入；</w:t>
      </w:r>
      <w:r>
        <w:rPr>
          <w:spacing w:val="-27"/>
        </w:rPr>
        <w:t> </w:t>
      </w:r>
      <w:r>
        <w:rPr>
          <w:spacing w:val="-27"/>
        </w:rPr>
      </w:r>
      <w:r>
        <w:rPr>
          <w:spacing w:val="-2"/>
        </w:rPr>
        <w:t>与收益相关的政府补助，用于补偿企业以后期间的相关费用或损失的，取得时确认为递延收益，在确</w:t>
      </w:r>
    </w:p>
    <w:p>
      <w:pPr>
        <w:pStyle w:val="Heading4"/>
        <w:spacing w:line="338" w:lineRule="auto" w:before="28"/>
        <w:ind w:right="147"/>
        <w:jc w:val="both"/>
      </w:pPr>
      <w:r>
        <w:rPr>
          <w:spacing w:val="-2"/>
        </w:rPr>
        <w:t>认相关费用的期间计入当期营业外收入；用于补偿企业已发生的相关费用或损失的，取得时直接计入当期</w:t>
      </w:r>
      <w:r>
        <w:rPr>
          <w:spacing w:val="-43"/>
        </w:rPr>
        <w:t> </w:t>
      </w:r>
      <w:r>
        <w:rPr>
          <w:spacing w:val="-43"/>
        </w:rPr>
      </w:r>
      <w:r>
        <w:rPr/>
        <w:t>营业外收入。</w:t>
      </w:r>
    </w:p>
    <w:p>
      <w:pPr>
        <w:spacing w:line="652" w:lineRule="exact" w:before="15"/>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、递延所得税资产和递延所得税负债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对于可抵扣暂时性差异确认递延所得税资产，以未来期间</w:t>
      </w:r>
      <w:bookmarkStart w:name="24、递延所得税资产和递延所得税负债" w:id="199"/>
      <w:bookmarkEnd w:id="199"/>
      <w:r>
        <w:rPr>
          <w:rFonts w:ascii="宋体" w:hAnsi="宋体" w:cs="宋体" w:eastAsia="宋体" w:hint="default"/>
          <w:spacing w:val="-3"/>
          <w:sz w:val="21"/>
          <w:szCs w:val="21"/>
        </w:rPr>
        <w:t>很</w:t>
      </w:r>
      <w:r>
        <w:rPr>
          <w:rFonts w:ascii="宋体" w:hAnsi="宋体" w:cs="宋体" w:eastAsia="宋体" w:hint="default"/>
          <w:spacing w:val="-3"/>
          <w:sz w:val="21"/>
          <w:szCs w:val="21"/>
        </w:rPr>
        <w:t>可能取得的用来抵扣可抵扣暂时性差异的</w:t>
      </w:r>
      <w:r>
        <w:rPr>
          <w:rFonts w:ascii="宋体" w:hAnsi="宋体" w:cs="宋体" w:eastAsia="宋体" w:hint="default"/>
          <w:sz w:val="21"/>
          <w:szCs w:val="21"/>
        </w:rPr>
      </w:r>
    </w:p>
    <w:p>
      <w:pPr>
        <w:pStyle w:val="Heading4"/>
        <w:spacing w:line="340" w:lineRule="auto" w:before="13"/>
        <w:ind w:right="147"/>
        <w:jc w:val="both"/>
      </w:pPr>
      <w:r>
        <w:rPr>
          <w:spacing w:val="-2"/>
        </w:rPr>
        <w:t>应纳税所得额为限。对于能够结转以后年度的可抵扣亏损和税款抵减，以很可能获得用来抵扣可抵扣亏损</w:t>
      </w:r>
      <w:r>
        <w:rPr>
          <w:spacing w:val="-42"/>
        </w:rPr>
        <w:t> </w:t>
      </w:r>
      <w:r>
        <w:rPr>
          <w:spacing w:val="-42"/>
        </w:rPr>
      </w:r>
      <w:r>
        <w:rPr/>
        <w:t>和税款抵减的未来应纳税所得额为限，确认相应的递延所得税资产。</w:t>
      </w:r>
    </w:p>
    <w:p>
      <w:pPr>
        <w:pStyle w:val="Heading4"/>
        <w:spacing w:line="340" w:lineRule="auto"/>
        <w:ind w:left="572" w:right="0"/>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w:t>
      </w:r>
    </w:p>
    <w:p>
      <w:pPr>
        <w:pStyle w:val="Heading4"/>
        <w:spacing w:line="338" w:lineRule="auto"/>
        <w:ind w:left="572" w:right="0" w:hanging="420"/>
        <w:jc w:val="left"/>
      </w:pPr>
      <w:r>
        <w:rPr/>
        <w:t>时既不影响会计利润也不影响应纳税所得额（或可抵扣亏损）的其他交易或事项。</w:t>
      </w:r>
      <w:r>
        <w:rPr>
          <w:w w:val="100"/>
        </w:rPr>
        <w:t> </w:t>
      </w:r>
      <w:r>
        <w:rPr>
          <w:spacing w:val="-3"/>
        </w:rPr>
        <w:t>当拥有以净额结算的法定权利，且意图以净额结算或取得资产、清偿负债同时进行时，本公司当期所</w:t>
      </w:r>
      <w:r>
        <w:rPr/>
      </w:r>
    </w:p>
    <w:p>
      <w:pPr>
        <w:pStyle w:val="Heading4"/>
        <w:spacing w:line="338" w:lineRule="auto" w:before="30"/>
        <w:ind w:left="572" w:right="0" w:hanging="420"/>
        <w:jc w:val="left"/>
      </w:pPr>
      <w:r>
        <w:rPr/>
        <w:t>得税资产及当期所得税负债以抵销后的净额列报。</w:t>
      </w:r>
      <w:r>
        <w:rPr>
          <w:w w:val="100"/>
        </w:rPr>
        <w:t> </w:t>
      </w:r>
      <w:r>
        <w:rPr>
          <w:spacing w:val="-2"/>
        </w:rPr>
        <w:t>当拥有以净额结算当期所得税资产及当期所得税负债的法定权利，且递延所得税资产及递延所得税负</w:t>
      </w:r>
    </w:p>
    <w:p>
      <w:pPr>
        <w:pStyle w:val="Heading4"/>
        <w:spacing w:line="340" w:lineRule="auto" w:before="30"/>
        <w:ind w:right="147"/>
        <w:jc w:val="both"/>
      </w:pPr>
      <w:r>
        <w:rPr>
          <w:spacing w:val="-2"/>
        </w:rPr>
        <w:t>债是与同一税收征管部门对同一纳税主体征收的所得税相关或者是对不同的纳税主体相关，但在未来每一</w:t>
      </w:r>
      <w:r>
        <w:rPr>
          <w:spacing w:val="-43"/>
        </w:rPr>
        <w:t> </w:t>
      </w:r>
      <w:r>
        <w:rPr>
          <w:spacing w:val="-43"/>
        </w:rPr>
      </w:r>
      <w:r>
        <w:rPr>
          <w:spacing w:val="-2"/>
        </w:rPr>
        <w:t>具有重要性的递延所得税资产及负债转回的期间内，涉及的纳税主体意图以净额结算当期所得税资产和负</w:t>
      </w:r>
      <w:r>
        <w:rPr>
          <w:spacing w:val="-43"/>
        </w:rPr>
        <w:t> </w:t>
      </w:r>
      <w:r>
        <w:rPr>
          <w:spacing w:val="-43"/>
        </w:rPr>
      </w:r>
      <w:r>
        <w:rPr/>
        <w:t>债或是同时取得资产、清偿负债时，本公司递延所得税资产及递延所得税负债以抵销后的净额列报。</w:t>
      </w:r>
    </w:p>
    <w:p>
      <w:pPr>
        <w:spacing w:line="240" w:lineRule="auto" w:before="13"/>
        <w:rPr>
          <w:rFonts w:ascii="宋体" w:hAnsi="宋体" w:cs="宋体" w:eastAsia="宋体" w:hint="default"/>
          <w:sz w:val="21"/>
          <w:szCs w:val="21"/>
        </w:rPr>
      </w:pPr>
    </w:p>
    <w:p>
      <w:pPr>
        <w:pStyle w:val="Heading3"/>
        <w:spacing w:line="571" w:lineRule="auto" w:before="0"/>
        <w:ind w:right="6717"/>
        <w:jc w:val="left"/>
        <w:rPr>
          <w:b w:val="0"/>
          <w:bCs w:val="0"/>
        </w:rPr>
      </w:pPr>
      <w:r>
        <w:rPr>
          <w:rFonts w:ascii="宋体" w:hAnsi="宋体" w:cs="宋体" w:eastAsia="宋体" w:hint="default"/>
        </w:rPr>
        <w:t>25</w:t>
      </w:r>
      <w:r>
        <w:rPr/>
        <w:t>、租赁</w:t>
      </w:r>
      <w:r>
        <w:rPr>
          <w:w w:val="100"/>
        </w:rPr>
        <w:t> </w:t>
      </w:r>
      <w:r>
        <w:rPr>
          <w:rFonts w:ascii="宋体" w:hAnsi="宋体" w:cs="宋体" w:eastAsia="宋体" w:hint="default"/>
        </w:rPr>
        <w:t>(1)</w:t>
      </w:r>
      <w:r>
        <w:rPr/>
        <w:t>经营租赁的会计处理方法</w:t>
      </w:r>
      <w:r>
        <w:rPr>
          <w:b w:val="0"/>
          <w:bCs w:val="0"/>
        </w:rPr>
      </w:r>
    </w:p>
    <w:p>
      <w:pPr>
        <w:pStyle w:val="Heading4"/>
        <w:spacing w:line="338" w:lineRule="auto" w:before="126"/>
        <w:ind w:right="147" w:firstLine="419"/>
        <w:jc w:val="both"/>
      </w:pPr>
      <w:r>
        <w:rPr>
          <w:spacing w:val="-2"/>
        </w:rPr>
        <w:t>①公司租入资产所支付的租赁费，在不扣除免租期的整个租赁期内，按直线法进行分摊，计入当期费</w:t>
      </w:r>
      <w:r>
        <w:rPr>
          <w:w w:val="100"/>
        </w:rPr>
        <w:t> </w:t>
      </w:r>
      <w:r>
        <w:rPr/>
        <w:t>用。公司支付的与租赁交易相关的初始直接费用，计入当期费用。</w:t>
      </w:r>
    </w:p>
    <w:p>
      <w:pPr>
        <w:pStyle w:val="Heading4"/>
        <w:spacing w:line="240" w:lineRule="auto" w:before="30"/>
        <w:ind w:left="572" w:right="0"/>
        <w:jc w:val="left"/>
      </w:pPr>
      <w:r>
        <w:rPr/>
        <w:t>资产出租方承担了应由公司承担的与租赁相关的费用时，公司将该部分费用从租金总额中扣除，按扣</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240" w:lineRule="auto" w:before="36"/>
        <w:ind w:left="212" w:right="101"/>
        <w:jc w:val="left"/>
      </w:pPr>
      <w:r>
        <w:rPr/>
        <w:t>除后的租金费用在租赁期内分摊，计入当期费用。</w:t>
      </w:r>
    </w:p>
    <w:p>
      <w:pPr>
        <w:pStyle w:val="Heading4"/>
        <w:spacing w:line="340" w:lineRule="auto" w:before="114"/>
        <w:ind w:left="212" w:right="125" w:firstLine="420"/>
        <w:jc w:val="both"/>
      </w:pPr>
      <w:r>
        <w:rPr>
          <w:spacing w:val="-2"/>
        </w:rPr>
        <w:t>②公司出租资产所收取的租赁费，在不扣除免租期的整个租赁期内，按直线法进行分摊，确认为租赁</w:t>
      </w:r>
      <w:r>
        <w:rPr>
          <w:w w:val="100"/>
        </w:rPr>
        <w:t> </w:t>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在整个租赁期间内按照与租赁收入确认相同的基础分期计入当期收益。</w:t>
      </w:r>
    </w:p>
    <w:p>
      <w:pPr>
        <w:pStyle w:val="Heading4"/>
        <w:spacing w:line="338" w:lineRule="auto" w:before="28"/>
        <w:ind w:left="212" w:right="147"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4"/>
        <w:rPr>
          <w:rFonts w:ascii="宋体" w:hAnsi="宋体" w:cs="宋体" w:eastAsia="宋体" w:hint="default"/>
          <w:sz w:val="22"/>
          <w:szCs w:val="22"/>
        </w:rPr>
      </w:pPr>
    </w:p>
    <w:p>
      <w:pPr>
        <w:spacing w:line="525" w:lineRule="auto" w:before="0"/>
        <w:ind w:left="632" w:right="5814" w:firstLine="0"/>
        <w:jc w:val="left"/>
        <w:rPr>
          <w:rFonts w:ascii="宋体" w:hAnsi="宋体" w:cs="宋体" w:eastAsia="宋体" w:hint="default"/>
          <w:sz w:val="24"/>
          <w:szCs w:val="24"/>
        </w:rPr>
      </w:pPr>
      <w:r>
        <w:rPr>
          <w:rFonts w:ascii="Times New Roman" w:hAnsi="Times New Roman" w:cs="Times New Roman" w:eastAsia="Times New Roman" w:hint="default"/>
          <w:b/>
          <w:bCs/>
          <w:spacing w:val="-1"/>
          <w:sz w:val="21"/>
          <w:szCs w:val="21"/>
        </w:rPr>
        <w:t>26</w:t>
      </w:r>
      <w:bookmarkStart w:name="26、重要会计政策和会计估计变更" w:id="200"/>
      <w:bookmarkEnd w:id="200"/>
      <w:r>
        <w:rPr>
          <w:rFonts w:ascii="Times New Roman" w:hAnsi="Times New Roman" w:cs="Times New Roman" w:eastAsia="Times New Roman" w:hint="default"/>
          <w:b/>
          <w:bCs/>
          <w:spacing w:val="-1"/>
          <w:sz w:val="21"/>
          <w:szCs w:val="21"/>
        </w:rPr>
      </w:r>
      <w:r>
        <w:rPr>
          <w:rFonts w:ascii="宋体" w:hAnsi="宋体" w:cs="宋体" w:eastAsia="宋体" w:hint="default"/>
          <w:b/>
          <w:bCs/>
          <w:spacing w:val="-1"/>
          <w:sz w:val="21"/>
          <w:szCs w:val="21"/>
        </w:rPr>
        <w:t>、重要会计政策和会计估计变更</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本公司本期未发生会计政策变更</w:t>
      </w:r>
      <w:bookmarkStart w:name="(1)重要会计政策变更" w:id="201"/>
      <w:bookmarkEnd w:id="201"/>
      <w:r>
        <w:rPr>
          <w:rFonts w:ascii="宋体" w:hAnsi="宋体" w:cs="宋体" w:eastAsia="宋体" w:hint="default"/>
          <w:spacing w:val="-2"/>
          <w:sz w:val="21"/>
          <w:szCs w:val="21"/>
        </w:rPr>
        <w:t>。</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本公司本期未发生会计估计变更。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4"/>
          <w:szCs w:val="24"/>
        </w:rPr>
        <w:t>六、税项</w:t>
      </w:r>
      <w:r>
        <w:rPr>
          <w:rFonts w:ascii="宋体" w:hAnsi="宋体" w:cs="宋体" w:eastAsia="宋体" w:hint="default"/>
          <w:sz w:val="24"/>
          <w:szCs w:val="24"/>
        </w:rPr>
      </w:r>
    </w:p>
    <w:p>
      <w:pPr>
        <w:pStyle w:val="Heading3"/>
        <w:spacing w:line="240" w:lineRule="auto" w:before="40"/>
        <w:ind w:left="632" w:right="10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4111"/>
        <w:gridCol w:w="3970"/>
        <w:gridCol w:w="1488"/>
      </w:tblGrid>
      <w:tr>
        <w:trPr>
          <w:trHeight w:val="398"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9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本公司本期未发生会计政策变更。" w:id="202"/>
            <w:bookmarkEnd w:id="202"/>
            <w:r>
              <w:rPr/>
            </w:r>
            <w:bookmarkStart w:name="(2)重要会计估计变更" w:id="203"/>
            <w:bookmarkEnd w:id="203"/>
            <w:r>
              <w:rPr/>
            </w:r>
            <w:bookmarkStart w:name="六、税项" w:id="204"/>
            <w:bookmarkEnd w:id="204"/>
            <w:r>
              <w:rPr/>
            </w:r>
            <w:r>
              <w:rPr>
                <w:rFonts w:ascii="宋体" w:hAnsi="宋体" w:cs="宋体" w:eastAsia="宋体" w:hint="default"/>
                <w:sz w:val="18"/>
                <w:szCs w:val="18"/>
              </w:rPr>
              <w:t>计税依据</w:t>
            </w:r>
          </w:p>
        </w:tc>
        <w:tc>
          <w:tcPr>
            <w:tcW w:w="1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1、主要税种及税率" w:id="205"/>
            <w:bookmarkEnd w:id="205"/>
            <w:r>
              <w:rPr/>
            </w:r>
            <w:r>
              <w:rPr>
                <w:rFonts w:ascii="宋体" w:hAnsi="宋体" w:cs="宋体" w:eastAsia="宋体" w:hint="default"/>
                <w:sz w:val="18"/>
                <w:szCs w:val="18"/>
              </w:rPr>
              <w:t>税率</w:t>
            </w:r>
          </w:p>
        </w:tc>
      </w:tr>
      <w:tr>
        <w:trPr>
          <w:trHeight w:val="1030"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 </w:t>
            </w:r>
            <w:r>
              <w:rPr>
                <w:rFonts w:ascii="宋体" w:hAnsi="宋体" w:cs="宋体" w:eastAsia="宋体" w:hint="default"/>
                <w:spacing w:val="-2"/>
                <w:sz w:val="18"/>
                <w:szCs w:val="18"/>
              </w:rPr>
              <w:t>基础计算销项税额，在扣除当期允许抵扣的进项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税额后，差额部分为应交增值税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7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97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8"/>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4111"/>
        <w:gridCol w:w="3970"/>
        <w:gridCol w:w="1488"/>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赣州龙源环保产业经营管理有限公司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赣州中联电镀原料配送经营服务有限公司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云南云通金融外包服务有限公司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GRGBanking Equipment(HK)</w:t>
            </w:r>
            <w:r>
              <w:rPr>
                <w:rFonts w:ascii="Times New Roman"/>
                <w:spacing w:val="-16"/>
                <w:sz w:val="18"/>
              </w:rPr>
              <w:t> </w:t>
            </w:r>
            <w:r>
              <w:rPr>
                <w:rFonts w:ascii="Times New Roman"/>
                <w:sz w:val="18"/>
              </w:rPr>
              <w:t>Co.,Limited</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b/>
          <w:bCs/>
          <w:sz w:val="19"/>
          <w:szCs w:val="19"/>
        </w:rPr>
      </w:pPr>
    </w:p>
    <w:p>
      <w:pPr>
        <w:pStyle w:val="Heading3"/>
        <w:spacing w:line="240" w:lineRule="auto"/>
        <w:ind w:left="568" w:right="101" w:firstLine="64"/>
        <w:jc w:val="left"/>
        <w:rPr>
          <w:b w:val="0"/>
          <w:bCs w:val="0"/>
        </w:rPr>
      </w:pPr>
      <w:bookmarkStart w:name="2、税收优惠" w:id="206"/>
      <w:bookmarkEnd w:id="206"/>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8"/>
          <w:szCs w:val="28"/>
        </w:rPr>
      </w:pPr>
    </w:p>
    <w:p>
      <w:pPr>
        <w:pStyle w:val="Heading4"/>
        <w:spacing w:line="340" w:lineRule="auto" w:before="0"/>
        <w:ind w:left="632" w:right="101" w:hanging="65"/>
        <w:jc w:val="left"/>
      </w:pPr>
      <w:r>
        <w:rPr>
          <w:rFonts w:ascii="宋体" w:hAnsi="宋体" w:cs="宋体" w:eastAsia="宋体" w:hint="default"/>
          <w:b/>
          <w:bCs/>
        </w:rPr>
        <w:t>(1)</w:t>
      </w:r>
      <w:r>
        <w:rPr>
          <w:rFonts w:ascii="宋体" w:hAnsi="宋体" w:cs="宋体" w:eastAsia="宋体" w:hint="default"/>
          <w:b/>
          <w:bCs/>
        </w:rPr>
        <w:t>增值税：</w:t>
      </w:r>
      <w:r>
        <w:rPr>
          <w:rFonts w:ascii="宋体" w:hAnsi="宋体" w:cs="宋体" w:eastAsia="宋体" w:hint="default"/>
          <w:b/>
          <w:bCs/>
          <w:spacing w:val="-101"/>
        </w:rPr>
        <w:t> </w:t>
      </w:r>
      <w:r>
        <w:rPr/>
        <w:t>根据</w:t>
      </w:r>
      <w:r>
        <w:rPr>
          <w:rFonts w:ascii="宋体" w:hAnsi="宋体" w:cs="宋体" w:eastAsia="宋体" w:hint="default"/>
        </w:rPr>
        <w:t>“</w:t>
      </w:r>
      <w:r>
        <w:rPr/>
        <w:t>财税</w:t>
      </w:r>
      <w:r>
        <w:rPr>
          <w:rFonts w:ascii="宋体" w:hAnsi="宋体" w:cs="宋体" w:eastAsia="宋体" w:hint="default"/>
        </w:rPr>
        <w:t>[2011]100</w:t>
      </w:r>
      <w:r>
        <w:rPr/>
        <w:t>号</w:t>
      </w:r>
      <w:r>
        <w:rPr>
          <w:rFonts w:ascii="宋体" w:hAnsi="宋体" w:cs="宋体" w:eastAsia="宋体" w:hint="default"/>
        </w:rPr>
        <w:t>”</w:t>
      </w:r>
      <w:r>
        <w:rPr/>
        <w:t>文《关于软件产品增值税政策的通知》的规定，增值税一般纳税人销售其</w:t>
      </w:r>
    </w:p>
    <w:p>
      <w:pPr>
        <w:pStyle w:val="Heading4"/>
        <w:spacing w:line="240" w:lineRule="auto"/>
        <w:ind w:left="212" w:right="101"/>
        <w:jc w:val="left"/>
      </w:pPr>
      <w:r>
        <w:rPr/>
        <w:t>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t>的部分实行即征即退政</w:t>
      </w:r>
    </w:p>
    <w:p>
      <w:pPr>
        <w:spacing w:after="0" w:line="240" w:lineRule="auto"/>
        <w:jc w:val="left"/>
        <w:sectPr>
          <w:footerReference w:type="default" r:id="rId42"/>
          <w:pgSz w:w="11910" w:h="16840"/>
          <w:pgMar w:footer="982" w:header="877" w:top="1100" w:bottom="1180" w:left="920" w:right="980"/>
          <w:pgNumType w:start="120"/>
        </w:sectPr>
      </w:pPr>
    </w:p>
    <w:p>
      <w:pPr>
        <w:spacing w:line="240" w:lineRule="auto" w:before="10"/>
        <w:rPr>
          <w:rFonts w:ascii="宋体" w:hAnsi="宋体" w:cs="宋体" w:eastAsia="宋体" w:hint="default"/>
          <w:sz w:val="23"/>
          <w:szCs w:val="23"/>
        </w:rPr>
      </w:pPr>
    </w:p>
    <w:p>
      <w:pPr>
        <w:pStyle w:val="Heading4"/>
        <w:spacing w:line="240" w:lineRule="auto" w:before="36"/>
        <w:ind w:right="101"/>
        <w:jc w:val="left"/>
      </w:pPr>
      <w:r>
        <w:rPr/>
        <w:t>策。</w:t>
      </w:r>
    </w:p>
    <w:p>
      <w:pPr>
        <w:pStyle w:val="Heading4"/>
        <w:spacing w:line="340" w:lineRule="auto" w:before="114"/>
        <w:ind w:left="212" w:right="101" w:firstLine="360"/>
        <w:jc w:val="left"/>
      </w:pPr>
      <w:r>
        <w:rPr/>
        <w:t>根据《财政部、国家税务总局关于贯彻落实《中共中央国务院关于加强技术创新，发展高科技，实现</w:t>
      </w:r>
      <w:r>
        <w:rPr>
          <w:w w:val="100"/>
        </w:rPr>
        <w:t> </w:t>
      </w:r>
      <w:r>
        <w:rPr/>
        <w:t>产业化的决定》有关税收问题的通知》（财税字</w:t>
      </w:r>
      <w:r>
        <w:rPr>
          <w:rFonts w:ascii="宋体" w:hAnsi="宋体" w:cs="宋体" w:eastAsia="宋体" w:hint="default"/>
        </w:rPr>
        <w:t>[1999]273</w:t>
      </w:r>
      <w:r>
        <w:rPr/>
        <w:t>号），对单位和个人（包括外商投资企业、外</w:t>
      </w:r>
      <w:r>
        <w:rPr>
          <w:spacing w:val="-87"/>
        </w:rPr>
        <w:t> </w:t>
      </w:r>
      <w:r>
        <w:rPr>
          <w:spacing w:val="-87"/>
        </w:rPr>
      </w:r>
      <w:r>
        <w:rPr>
          <w:spacing w:val="-6"/>
        </w:rPr>
        <w:t>商投资设立的研究开发中心、外国企业和外籍个人）从事技术转让、技术开发业务和与之相关的技术咨询、</w:t>
      </w:r>
      <w:r>
        <w:rPr>
          <w:spacing w:val="-17"/>
        </w:rPr>
        <w:t> </w:t>
      </w:r>
      <w:r>
        <w:rPr>
          <w:spacing w:val="-17"/>
        </w:rPr>
      </w:r>
      <w:r>
        <w:rPr/>
        <w:t>技术服务业务取得的收入，免征营业税。同时，根据《财政部 国家税务总局关于印发《营业税改征增值</w:t>
      </w:r>
      <w:r>
        <w:rPr>
          <w:spacing w:val="-87"/>
        </w:rPr>
        <w:t> </w:t>
      </w:r>
      <w:r>
        <w:rPr>
          <w:spacing w:val="-87"/>
        </w:rPr>
      </w:r>
      <w:r>
        <w:rPr/>
        <w:t>税试点方案》的通知》（财税</w:t>
      </w:r>
      <w:r>
        <w:rPr>
          <w:rFonts w:ascii="宋体" w:hAnsi="宋体" w:cs="宋体" w:eastAsia="宋体" w:hint="default"/>
        </w:rPr>
        <w:t>[2011]110</w:t>
      </w:r>
      <w:r>
        <w:rPr/>
        <w:t>号），国家给予试点行业的原营业税优惠政策可以延续。因此，</w:t>
      </w:r>
      <w:r>
        <w:rPr>
          <w:spacing w:val="-90"/>
        </w:rPr>
        <w:t> </w:t>
      </w:r>
      <w:r>
        <w:rPr>
          <w:spacing w:val="-90"/>
        </w:rPr>
      </w:r>
      <w:r>
        <w:rPr/>
        <w:t>广州广电运通信息科技有限公司的部分技术转让、技术开发收入免征增值税。</w:t>
      </w:r>
    </w:p>
    <w:p>
      <w:pPr>
        <w:pStyle w:val="Heading3"/>
        <w:spacing w:line="240" w:lineRule="auto" w:before="26"/>
        <w:ind w:right="101"/>
        <w:jc w:val="left"/>
        <w:rPr>
          <w:b w:val="0"/>
          <w:bCs w:val="0"/>
        </w:rPr>
      </w:pPr>
      <w:r>
        <w:rPr>
          <w:rFonts w:ascii="宋体" w:hAnsi="宋体" w:cs="宋体" w:eastAsia="宋体" w:hint="default"/>
        </w:rPr>
        <w:t>(2)</w:t>
      </w:r>
      <w:r>
        <w:rPr/>
        <w:t>企业所得税：</w:t>
      </w:r>
      <w:r>
        <w:rPr>
          <w:b w:val="0"/>
          <w:bCs w:val="0"/>
        </w:rPr>
      </w:r>
    </w:p>
    <w:p>
      <w:pPr>
        <w:pStyle w:val="Heading4"/>
        <w:spacing w:line="240" w:lineRule="auto" w:before="116"/>
        <w:ind w:left="572" w:right="101"/>
        <w:jc w:val="left"/>
      </w:pPr>
      <w:r>
        <w:rPr>
          <w:spacing w:val="28"/>
        </w:rPr>
        <w:t>①广州广电运通金融</w:t>
      </w:r>
      <w:r>
        <w:rPr>
          <w:spacing w:val="-65"/>
        </w:rPr>
        <w:t> </w:t>
      </w:r>
      <w:r>
        <w:rPr/>
        <w:t>电</w:t>
      </w:r>
      <w:r>
        <w:rPr>
          <w:spacing w:val="-65"/>
        </w:rPr>
        <w:t> </w:t>
      </w:r>
      <w:r>
        <w:rPr>
          <w:spacing w:val="28"/>
        </w:rPr>
        <w:t>子股份有限公司被认</w:t>
      </w:r>
      <w:r>
        <w:rPr>
          <w:spacing w:val="-65"/>
        </w:rPr>
        <w:t> </w:t>
      </w:r>
      <w:r>
        <w:rPr/>
        <w:t>定</w:t>
      </w:r>
      <w:r>
        <w:rPr>
          <w:spacing w:val="-65"/>
        </w:rPr>
        <w:t> </w:t>
      </w:r>
      <w:r>
        <w:rPr>
          <w:spacing w:val="28"/>
        </w:rPr>
        <w:t>为高新技术企业，</w:t>
      </w:r>
      <w:r>
        <w:rPr>
          <w:spacing w:val="-65"/>
        </w:rPr>
        <w:t> </w:t>
      </w:r>
      <w:r>
        <w:rPr>
          <w:rFonts w:ascii="宋体" w:hAnsi="宋体" w:cs="宋体" w:eastAsia="宋体" w:hint="default"/>
        </w:rPr>
        <w:t>2014</w:t>
      </w:r>
      <w:r>
        <w:rPr>
          <w:rFonts w:ascii="宋体" w:hAnsi="宋体" w:cs="宋体" w:eastAsia="宋体" w:hint="default"/>
          <w:spacing w:val="-65"/>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spacing w:val="25"/>
        </w:rPr>
        <w:t>月取得编号</w:t>
      </w:r>
      <w:r>
        <w:rPr>
          <w:spacing w:val="-65"/>
        </w:rPr>
        <w:t> </w:t>
      </w:r>
      <w:r>
        <w:rPr/>
        <w:t>为</w:t>
      </w:r>
    </w:p>
    <w:p>
      <w:pPr>
        <w:pStyle w:val="Heading4"/>
        <w:spacing w:line="240" w:lineRule="auto" w:before="114"/>
        <w:ind w:left="153" w:right="101"/>
        <w:jc w:val="left"/>
      </w:pPr>
      <w:r>
        <w:rPr>
          <w:rFonts w:ascii="宋体" w:hAnsi="宋体" w:cs="宋体" w:eastAsia="宋体" w:hint="default"/>
        </w:rPr>
        <w:t>GR201444000180</w:t>
      </w:r>
      <w:r>
        <w:rPr/>
        <w:t>的《高新技术企业证书》，有效期为三年，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340" w:lineRule="auto" w:before="116"/>
        <w:ind w:left="212" w:right="209" w:firstLine="360"/>
        <w:jc w:val="both"/>
      </w:pPr>
      <w:r>
        <w:rPr>
          <w:spacing w:val="-2"/>
        </w:rPr>
        <w:t>②根据“财税</w:t>
      </w:r>
      <w:r>
        <w:rPr>
          <w:rFonts w:ascii="宋体" w:hAnsi="宋体" w:cs="宋体" w:eastAsia="宋体" w:hint="default"/>
          <w:spacing w:val="-2"/>
        </w:rPr>
        <w:t>[2000]25</w:t>
      </w:r>
      <w:r>
        <w:rPr>
          <w:spacing w:val="-2"/>
        </w:rPr>
        <w:t>号”文《关于鼓励软件产业和集成电路产业发展有关税收政策问题的通知》的</w:t>
      </w:r>
      <w:r>
        <w:rPr>
          <w:w w:val="100"/>
        </w:rPr>
        <w:t> </w:t>
      </w:r>
      <w:r>
        <w:rPr>
          <w:spacing w:val="-4"/>
        </w:rPr>
        <w:t>规定，对我国境内新办软件生产企业经认定后，自开始获利年度起，第一年和第二年免征企业所得税，第</w:t>
      </w:r>
      <w:r>
        <w:rPr>
          <w:spacing w:val="-15"/>
        </w:rPr>
        <w:t> </w:t>
      </w:r>
      <w:r>
        <w:rPr>
          <w:spacing w:val="-15"/>
        </w:rPr>
      </w:r>
      <w:r>
        <w:rPr>
          <w:spacing w:val="-4"/>
        </w:rPr>
        <w:t>三年至第五年减半征收企业所得税。本公司的子公司广州广电银通金融电子科技有限公司</w:t>
      </w:r>
      <w:r>
        <w:rPr>
          <w:rFonts w:ascii="宋体" w:hAnsi="宋体" w:cs="宋体" w:eastAsia="宋体" w:hint="default"/>
          <w:spacing w:val="-4"/>
        </w:rPr>
        <w:t>2014</w:t>
      </w:r>
      <w:r>
        <w:rPr>
          <w:spacing w:val="-4"/>
        </w:rPr>
        <w:t>年度企业所</w:t>
      </w:r>
      <w:r>
        <w:rPr>
          <w:spacing w:val="-10"/>
        </w:rPr>
        <w:t> </w:t>
      </w:r>
      <w:r>
        <w:rPr>
          <w:spacing w:val="-10"/>
        </w:rPr>
      </w:r>
      <w:r>
        <w:rPr>
          <w:spacing w:val="-4"/>
        </w:rPr>
        <w:t>得税减按</w:t>
      </w:r>
      <w:r>
        <w:rPr>
          <w:rFonts w:ascii="宋体" w:hAnsi="宋体" w:cs="宋体" w:eastAsia="宋体" w:hint="default"/>
          <w:spacing w:val="-4"/>
        </w:rPr>
        <w:t>12.50%</w:t>
      </w:r>
      <w:r>
        <w:rPr>
          <w:spacing w:val="-4"/>
        </w:rPr>
        <w:t>的税率计缴。</w:t>
      </w:r>
      <w:r>
        <w:rPr>
          <w:rFonts w:ascii="宋体" w:hAnsi="宋体" w:cs="宋体" w:eastAsia="宋体" w:hint="default"/>
          <w:spacing w:val="-4"/>
        </w:rPr>
        <w:t>2015</w:t>
      </w:r>
      <w:r>
        <w:rPr>
          <w:spacing w:val="-4"/>
        </w:rPr>
        <w:t>年度广州广电银通金融电子科技有限公司取消软企认定申请，同时通过</w:t>
      </w:r>
      <w:r>
        <w:rPr>
          <w:spacing w:val="-2"/>
        </w:rPr>
        <w:t> </w:t>
      </w:r>
      <w:r>
        <w:rPr>
          <w:spacing w:val="-2"/>
        </w:rPr>
      </w:r>
      <w:r>
        <w:rPr/>
        <w:t>高新技术企业认定申请，</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340" w:lineRule="auto"/>
        <w:ind w:left="212" w:right="101" w:firstLine="360"/>
        <w:jc w:val="left"/>
      </w:pPr>
      <w:r>
        <w:rPr/>
        <w:t>③本公司的孙公司深圳广电银通金融电子科技有限公司于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12</w:t>
      </w:r>
      <w:r>
        <w:rPr/>
        <w:t>日取得深圳市科技创新委员会</w:t>
      </w:r>
      <w:r>
        <w:rPr>
          <w:w w:val="100"/>
        </w:rPr>
        <w:t> </w:t>
      </w:r>
      <w:r>
        <w:rPr>
          <w:spacing w:val="-2"/>
        </w:rPr>
        <w:t>等单位颁发的编号为</w:t>
      </w:r>
      <w:r>
        <w:rPr>
          <w:rFonts w:ascii="宋体" w:hAnsi="宋体" w:cs="宋体" w:eastAsia="宋体" w:hint="default"/>
          <w:spacing w:val="-2"/>
        </w:rPr>
        <w:t>GF201244200134</w:t>
      </w:r>
      <w:r>
        <w:rPr>
          <w:spacing w:val="-2"/>
        </w:rPr>
        <w:t>的《高新技术企业证书》，</w:t>
      </w:r>
      <w:r>
        <w:rPr>
          <w:rFonts w:ascii="宋体" w:hAnsi="宋体" w:cs="宋体" w:eastAsia="宋体" w:hint="default"/>
          <w:spacing w:val="-2"/>
        </w:rPr>
        <w:t>2015</w:t>
      </w:r>
      <w:r>
        <w:rPr>
          <w:spacing w:val="-2"/>
        </w:rPr>
        <w:t>年的高新技术企业申请已通过复审，</w:t>
      </w:r>
      <w:r>
        <w:rPr>
          <w:spacing w:val="-6"/>
        </w:rPr>
        <w:t> </w:t>
      </w:r>
      <w:r>
        <w:rPr>
          <w:spacing w:val="-6"/>
        </w:rPr>
      </w:r>
      <w:r>
        <w:rPr>
          <w:rFonts w:ascii="宋体" w:hAnsi="宋体" w:cs="宋体" w:eastAsia="宋体" w:hint="default"/>
        </w:rPr>
        <w:t>2015</w:t>
      </w:r>
      <w:r>
        <w:rPr/>
        <w:t>年暂按</w:t>
      </w:r>
      <w:r>
        <w:rPr>
          <w:rFonts w:ascii="宋体" w:hAnsi="宋体" w:cs="宋体" w:eastAsia="宋体" w:hint="default"/>
        </w:rPr>
        <w:t>15%</w:t>
      </w:r>
      <w:r>
        <w:rPr/>
        <w:t>的税率计缴企业所得税。</w:t>
      </w:r>
    </w:p>
    <w:p>
      <w:pPr>
        <w:pStyle w:val="Heading4"/>
        <w:spacing w:line="240" w:lineRule="auto" w:before="28"/>
        <w:ind w:left="573" w:right="101"/>
        <w:jc w:val="left"/>
      </w:pPr>
      <w:r>
        <w:rPr>
          <w:spacing w:val="12"/>
        </w:rPr>
        <w:t>④本公司的控股子公司广州穗通金融服务有限公司被认定为高新技术企业，</w:t>
      </w:r>
      <w:r>
        <w:rPr>
          <w:rFonts w:ascii="宋体" w:hAnsi="宋体" w:cs="宋体" w:eastAsia="宋体" w:hint="default"/>
          <w:spacing w:val="12"/>
        </w:rPr>
        <w:t>2014</w:t>
      </w:r>
      <w:r>
        <w:rPr>
          <w:spacing w:val="12"/>
        </w:rPr>
        <w:t>年取得编号为</w:t>
      </w:r>
      <w:r>
        <w:rPr/>
      </w:r>
    </w:p>
    <w:p>
      <w:pPr>
        <w:pStyle w:val="Heading4"/>
        <w:spacing w:line="240" w:lineRule="auto" w:before="114"/>
        <w:ind w:left="153" w:right="101"/>
        <w:jc w:val="left"/>
      </w:pPr>
      <w:r>
        <w:rPr>
          <w:rFonts w:ascii="宋体" w:hAnsi="宋体" w:cs="宋体" w:eastAsia="宋体" w:hint="default"/>
        </w:rPr>
        <w:t>GF201444000370</w:t>
      </w:r>
      <w:r>
        <w:rPr/>
        <w:t>号的《高新技术企业证书》，有效期为三年，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240" w:lineRule="auto" w:before="116"/>
        <w:ind w:left="573" w:right="101"/>
        <w:jc w:val="left"/>
      </w:pPr>
      <w:r>
        <w:rPr>
          <w:spacing w:val="12"/>
        </w:rPr>
        <w:t>⑤本公司的子公司广州中智融通金融科技有限公司被认定为高新技术企业，</w:t>
      </w:r>
      <w:r>
        <w:rPr>
          <w:rFonts w:ascii="宋体" w:hAnsi="宋体" w:cs="宋体" w:eastAsia="宋体" w:hint="default"/>
          <w:spacing w:val="12"/>
        </w:rPr>
        <w:t>2015</w:t>
      </w:r>
      <w:r>
        <w:rPr>
          <w:spacing w:val="12"/>
        </w:rPr>
        <w:t>年取得编号为</w:t>
      </w:r>
      <w:r>
        <w:rPr/>
      </w:r>
    </w:p>
    <w:p>
      <w:pPr>
        <w:pStyle w:val="Heading4"/>
        <w:spacing w:line="240" w:lineRule="auto" w:before="114"/>
        <w:ind w:left="213" w:right="101"/>
        <w:jc w:val="left"/>
      </w:pPr>
      <w:r>
        <w:rPr>
          <w:rFonts w:ascii="宋体" w:hAnsi="宋体" w:cs="宋体" w:eastAsia="宋体" w:hint="default"/>
        </w:rPr>
        <w:t>GR201544000582</w:t>
      </w:r>
      <w:r>
        <w:rPr/>
        <w:t>号的《高新技术企业证书》，有效期为三年，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240" w:lineRule="auto" w:before="116"/>
        <w:ind w:left="573" w:right="101"/>
        <w:jc w:val="left"/>
      </w:pPr>
      <w:r>
        <w:rPr>
          <w:spacing w:val="18"/>
        </w:rPr>
        <w:t>⑥本公司的曾孙公司深圳鹏通金融服务有限公司被认定为高新技术企业，</w:t>
      </w:r>
      <w:r>
        <w:rPr>
          <w:spacing w:val="-35"/>
        </w:rPr>
        <w:t> </w:t>
      </w:r>
      <w:r>
        <w:rPr>
          <w:rFonts w:ascii="宋体" w:hAnsi="宋体" w:cs="宋体" w:eastAsia="宋体" w:hint="default"/>
        </w:rPr>
        <w:t>2014</w:t>
      </w:r>
      <w:r>
        <w:rPr>
          <w:rFonts w:ascii="宋体" w:hAnsi="宋体" w:cs="宋体" w:eastAsia="宋体" w:hint="default"/>
          <w:spacing w:val="-42"/>
        </w:rPr>
        <w:t> </w:t>
      </w:r>
      <w:r>
        <w:rPr>
          <w:spacing w:val="16"/>
        </w:rPr>
        <w:t>年取得编号为</w:t>
      </w:r>
      <w:r>
        <w:rPr>
          <w:spacing w:val="-84"/>
        </w:rPr>
        <w:t> </w:t>
      </w:r>
      <w:r>
        <w:rPr/>
      </w:r>
    </w:p>
    <w:p>
      <w:pPr>
        <w:pStyle w:val="Heading4"/>
        <w:spacing w:line="240" w:lineRule="auto" w:before="114"/>
        <w:ind w:left="214" w:right="101"/>
        <w:jc w:val="left"/>
      </w:pPr>
      <w:r>
        <w:rPr>
          <w:rFonts w:ascii="宋体" w:hAnsi="宋体" w:cs="宋体" w:eastAsia="宋体" w:hint="default"/>
        </w:rPr>
        <w:t>GR201444200675</w:t>
      </w:r>
      <w:r>
        <w:rPr/>
        <w:t>号的《高新技术企业证书》，有效期为三年，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240" w:lineRule="auto" w:before="116"/>
        <w:ind w:left="574" w:right="101"/>
        <w:jc w:val="left"/>
      </w:pPr>
      <w:r>
        <w:rPr>
          <w:spacing w:val="2"/>
        </w:rPr>
        <w:t>⑦本公司的曾孙公司上海欣辰通金融电子科技有限公司被认定为高新技术企业，</w:t>
      </w:r>
      <w:r>
        <w:rPr>
          <w:rFonts w:ascii="宋体" w:hAnsi="宋体" w:cs="宋体" w:eastAsia="宋体" w:hint="default"/>
          <w:spacing w:val="2"/>
        </w:rPr>
        <w:t>2015</w:t>
      </w:r>
      <w:r>
        <w:rPr>
          <w:spacing w:val="2"/>
        </w:rPr>
        <w:t>年取得编号为</w:t>
      </w:r>
      <w:r>
        <w:rPr/>
      </w:r>
    </w:p>
    <w:p>
      <w:pPr>
        <w:pStyle w:val="Heading4"/>
        <w:spacing w:line="240" w:lineRule="auto" w:before="114"/>
        <w:ind w:left="214" w:right="101"/>
        <w:jc w:val="left"/>
      </w:pPr>
      <w:r>
        <w:rPr>
          <w:rFonts w:ascii="宋体" w:hAnsi="宋体" w:cs="宋体" w:eastAsia="宋体" w:hint="default"/>
        </w:rPr>
        <w:t>GR201531001455</w:t>
      </w:r>
      <w:r>
        <w:rPr/>
        <w:t>号的《高新技术企业证书》，有效期为三年，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p>
    <w:p>
      <w:pPr>
        <w:pStyle w:val="Heading4"/>
        <w:spacing w:line="240" w:lineRule="auto" w:before="116"/>
        <w:ind w:left="577" w:right="101"/>
        <w:jc w:val="left"/>
      </w:pPr>
      <w:r>
        <w:rPr>
          <w:spacing w:val="6"/>
        </w:rPr>
        <w:t>⑧本公司的控股子公司深圳市创自技术有限公司被认定为高新技术企业，</w:t>
      </w:r>
      <w:r>
        <w:rPr>
          <w:rFonts w:ascii="宋体" w:hAnsi="宋体" w:cs="宋体" w:eastAsia="宋体" w:hint="default"/>
          <w:spacing w:val="6"/>
        </w:rPr>
        <w:t>2014</w:t>
      </w:r>
      <w:r>
        <w:rPr>
          <w:spacing w:val="6"/>
        </w:rPr>
        <w:t>年</w:t>
      </w:r>
      <w:r>
        <w:rPr>
          <w:rFonts w:ascii="宋体" w:hAnsi="宋体" w:cs="宋体" w:eastAsia="宋体" w:hint="default"/>
          <w:spacing w:val="6"/>
        </w:rPr>
        <w:t>11</w:t>
      </w:r>
      <w:r>
        <w:rPr>
          <w:spacing w:val="6"/>
        </w:rPr>
        <w:t>月取得编号为</w:t>
      </w:r>
    </w:p>
    <w:p>
      <w:pPr>
        <w:pStyle w:val="Heading4"/>
        <w:spacing w:line="340" w:lineRule="auto" w:before="114"/>
        <w:ind w:left="575" w:right="101" w:hanging="421"/>
        <w:jc w:val="left"/>
      </w:pPr>
      <w:r>
        <w:rPr>
          <w:rFonts w:ascii="宋体" w:hAnsi="宋体" w:cs="宋体" w:eastAsia="宋体" w:hint="default"/>
        </w:rPr>
        <w:t>SZ2014354</w:t>
      </w:r>
      <w:r>
        <w:rPr/>
        <w:t>号的《深圳市高新技术企业证书》，有效期为三年，</w:t>
      </w:r>
      <w:r>
        <w:rPr>
          <w:rFonts w:ascii="宋体" w:hAnsi="宋体" w:cs="宋体" w:eastAsia="宋体" w:hint="default"/>
        </w:rPr>
        <w:t>2015</w:t>
      </w:r>
      <w:r>
        <w:rPr/>
        <w:t>年按</w:t>
      </w:r>
      <w:r>
        <w:rPr>
          <w:rFonts w:ascii="宋体" w:hAnsi="宋体" w:cs="宋体" w:eastAsia="宋体" w:hint="default"/>
        </w:rPr>
        <w:t>15%</w:t>
      </w:r>
      <w:r>
        <w:rPr/>
        <w:t>的税率计缴企业所得税。</w:t>
      </w:r>
      <w:r>
        <w:rPr>
          <w:w w:val="100"/>
        </w:rPr>
        <w:t> </w:t>
      </w:r>
      <w:r>
        <w:rPr>
          <w:rFonts w:ascii="宋体" w:hAnsi="宋体" w:cs="宋体" w:eastAsia="宋体" w:hint="default"/>
          <w:b/>
          <w:bCs/>
        </w:rPr>
        <w:t>(3)</w:t>
      </w:r>
      <w:r>
        <w:rPr>
          <w:rFonts w:ascii="宋体" w:hAnsi="宋体" w:cs="宋体" w:eastAsia="宋体" w:hint="default"/>
          <w:b/>
          <w:bCs/>
        </w:rPr>
        <w:t>营业税：</w:t>
      </w:r>
      <w:r>
        <w:rPr>
          <w:rFonts w:ascii="宋体" w:hAnsi="宋体" w:cs="宋体" w:eastAsia="宋体" w:hint="default"/>
          <w:b/>
          <w:bCs/>
          <w:w w:val="100"/>
        </w:rPr>
        <w:t> </w:t>
      </w:r>
      <w:r>
        <w:rPr>
          <w:spacing w:val="-4"/>
        </w:rPr>
        <w:t>根据《财政部国家税务总局关于营业税若干政策问题的通知》财税</w:t>
      </w:r>
      <w:r>
        <w:rPr>
          <w:rFonts w:ascii="宋体" w:hAnsi="宋体" w:cs="宋体" w:eastAsia="宋体" w:hint="default"/>
          <w:spacing w:val="-4"/>
        </w:rPr>
        <w:t>[2003]16</w:t>
      </w:r>
      <w:r>
        <w:rPr>
          <w:spacing w:val="-4"/>
        </w:rPr>
        <w:t>号第二条第十二款</w:t>
      </w:r>
      <w:r>
        <w:rPr>
          <w:rFonts w:ascii="宋体" w:hAnsi="宋体" w:cs="宋体" w:eastAsia="宋体" w:hint="default"/>
          <w:spacing w:val="-4"/>
        </w:rPr>
        <w:t>“</w:t>
      </w:r>
      <w:r>
        <w:rPr>
          <w:spacing w:val="-4"/>
        </w:rPr>
        <w:t>劳务</w:t>
      </w:r>
      <w:r>
        <w:rPr/>
      </w:r>
    </w:p>
    <w:p>
      <w:pPr>
        <w:pStyle w:val="Heading4"/>
        <w:spacing w:line="340" w:lineRule="auto" w:before="28"/>
        <w:ind w:left="210" w:right="208"/>
        <w:jc w:val="both"/>
      </w:pPr>
      <w:r>
        <w:rPr>
          <w:spacing w:val="-4"/>
        </w:rPr>
        <w:t>公司接受用工单位的委托，为其按排劳动力，凡用工单位将其应支付给劳动力的工资和为劳动力上交的社</w:t>
      </w:r>
      <w:r>
        <w:rPr>
          <w:spacing w:val="-11"/>
        </w:rPr>
        <w:t> </w:t>
      </w:r>
      <w:r>
        <w:rPr>
          <w:spacing w:val="-11"/>
        </w:rPr>
      </w:r>
      <w:r>
        <w:rPr>
          <w:spacing w:val="-4"/>
        </w:rPr>
        <w:t>会保险（包括养老保险金、医疗保险、失业保险、工伤保险等，下同）以及住房公积金统一交给劳务公司</w:t>
      </w:r>
      <w:r>
        <w:rPr>
          <w:spacing w:val="-10"/>
        </w:rPr>
        <w:t> </w:t>
      </w:r>
      <w:r>
        <w:rPr>
          <w:spacing w:val="-10"/>
        </w:rPr>
      </w:r>
      <w:r>
        <w:rPr>
          <w:spacing w:val="-4"/>
        </w:rPr>
        <w:t>代为发放或办理的，以劳务公司从用工单位收取的全部价款减去代收转付给劳动力的工资和为劳动力办理</w:t>
      </w:r>
      <w:r>
        <w:rPr>
          <w:spacing w:val="-19"/>
        </w:rPr>
        <w:t> </w:t>
      </w:r>
      <w:r>
        <w:rPr>
          <w:spacing w:val="-19"/>
        </w:rPr>
      </w:r>
      <w:r>
        <w:rPr>
          <w:spacing w:val="-4"/>
        </w:rPr>
        <w:t>社会保险及住房公积金后的余额为营业额。</w:t>
      </w:r>
      <w:r>
        <w:rPr>
          <w:rFonts w:ascii="宋体" w:hAnsi="宋体" w:cs="宋体" w:eastAsia="宋体" w:hint="default"/>
          <w:spacing w:val="-4"/>
        </w:rPr>
        <w:t>”</w:t>
      </w:r>
      <w:r>
        <w:rPr>
          <w:spacing w:val="-4"/>
        </w:rPr>
        <w:t>的政策规定，武威市神威保安守押有限责任公司在当地税务</w:t>
      </w:r>
      <w:r>
        <w:rPr>
          <w:spacing w:val="-20"/>
        </w:rPr>
        <w:t> </w:t>
      </w:r>
      <w:r>
        <w:rPr>
          <w:spacing w:val="-20"/>
        </w:rPr>
      </w:r>
      <w:r>
        <w:rPr/>
        <w:t>机关备案登记。</w:t>
      </w:r>
    </w:p>
    <w:p>
      <w:pPr>
        <w:spacing w:after="0" w:line="340" w:lineRule="auto"/>
        <w:jc w:val="both"/>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2)期末没有已质押的应收票据。" w:id="207"/>
      <w:bookmarkEnd w:id="207"/>
      <w:r>
        <w:rPr>
          <w:b w:val="0"/>
          <w:bCs w:val="0"/>
        </w:rPr>
      </w:r>
      <w:bookmarkStart w:name="(3)期末公司已背书或贴现且在资产负债表日尚未到期的应收票据" w:id="208"/>
      <w:bookmarkEnd w:id="20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572" w:right="0"/>
        <w:jc w:val="left"/>
      </w:pPr>
      <w:bookmarkStart w:name="七、合并财务报表项目注释" w:id="209"/>
      <w:bookmarkEnd w:id="209"/>
      <w:r>
        <w:rPr/>
      </w:r>
      <w:r>
        <w:rPr/>
        <w:t>（以下金额单位若未特别注明者均为人民币元）</w:t>
      </w:r>
    </w:p>
    <w:p>
      <w:pPr>
        <w:spacing w:line="240" w:lineRule="auto" w:before="8"/>
        <w:rPr>
          <w:rFonts w:ascii="宋体" w:hAnsi="宋体" w:cs="宋体" w:eastAsia="宋体" w:hint="default"/>
          <w:sz w:val="25"/>
          <w:szCs w:val="25"/>
        </w:rPr>
      </w:pPr>
    </w:p>
    <w:p>
      <w:pPr>
        <w:pStyle w:val="Heading3"/>
        <w:spacing w:line="240" w:lineRule="auto" w:before="0"/>
        <w:ind w:right="0"/>
        <w:jc w:val="left"/>
        <w:rPr>
          <w:b w:val="0"/>
          <w:bCs w:val="0"/>
        </w:rPr>
      </w:pPr>
      <w:r>
        <w:rPr>
          <w:rFonts w:ascii="宋体" w:hAnsi="宋体" w:cs="宋体" w:eastAsia="宋体" w:hint="default"/>
        </w:rPr>
        <w:t>1</w:t>
      </w:r>
      <w:bookmarkStart w:name="1、货币资金" w:id="210"/>
      <w:bookmarkEnd w:id="210"/>
      <w:r>
        <w:rPr>
          <w:rFonts w:ascii="宋体" w:hAnsi="宋体" w:cs="宋体" w:eastAsia="宋体" w:hint="default"/>
        </w:rPr>
      </w:r>
      <w:r>
        <w:rPr/>
        <w:t>、货币资金</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2,649,600.14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5,324,480.35</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2,488,056,054.15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2,486,470,153.57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2,494,674,751.38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2,491,794,633.92</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21,214,748.57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19,897,729.22</w:t>
            </w:r>
          </w:p>
        </w:tc>
      </w:tr>
    </w:tbl>
    <w:p>
      <w:pPr>
        <w:spacing w:line="240" w:lineRule="auto" w:before="2"/>
        <w:rPr>
          <w:rFonts w:ascii="宋体" w:hAnsi="宋体" w:cs="宋体" w:eastAsia="宋体" w:hint="default"/>
          <w:b/>
          <w:bCs/>
          <w:sz w:val="20"/>
          <w:szCs w:val="20"/>
        </w:rPr>
      </w:pPr>
    </w:p>
    <w:p>
      <w:pPr>
        <w:pStyle w:val="Heading4"/>
        <w:spacing w:line="240" w:lineRule="auto" w:before="36"/>
        <w:ind w:left="489" w:right="0"/>
        <w:jc w:val="left"/>
      </w:pPr>
      <w:r>
        <w:rPr/>
        <w:t>其中因抵押、质押或冻结等对使用有限制，以及放在境外且资金汇回受到限制的货币资金明细如下：</w:t>
      </w:r>
    </w:p>
    <w:p>
      <w:pPr>
        <w:spacing w:line="240" w:lineRule="auto" w:before="1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187"/>
        <w:gridCol w:w="3190"/>
        <w:gridCol w:w="3190"/>
      </w:tblGrid>
      <w:tr>
        <w:trPr>
          <w:trHeight w:val="414"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7"/>
              <w:ind w:left="33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3190" w:type="dxa"/>
            <w:tcBorders>
              <w:top w:val="single" w:sz="10" w:space="0" w:color="000000"/>
              <w:left w:val="single" w:sz="7" w:space="0" w:color="000000"/>
              <w:bottom w:val="single" w:sz="6" w:space="0" w:color="000000"/>
              <w:right w:val="single" w:sz="6" w:space="0" w:color="000000"/>
            </w:tcBorders>
          </w:tcPr>
          <w:p>
            <w:pP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8"/>
              <w:ind w:right="-3"/>
              <w:jc w:val="right"/>
              <w:rPr>
                <w:rFonts w:ascii="Times New Roman" w:hAnsi="Times New Roman" w:cs="Times New Roman" w:eastAsia="Times New Roman" w:hint="default"/>
                <w:sz w:val="18"/>
                <w:szCs w:val="18"/>
              </w:rPr>
            </w:pPr>
            <w:r>
              <w:rPr>
                <w:rFonts w:ascii="Times New Roman"/>
                <w:sz w:val="18"/>
              </w:rPr>
              <w:t>100,000.00</w:t>
            </w:r>
          </w:p>
        </w:tc>
      </w:tr>
      <w:tr>
        <w:trPr>
          <w:trHeight w:val="427"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775"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8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3"/>
        <w:rPr>
          <w:rFonts w:ascii="宋体" w:hAnsi="宋体" w:cs="宋体" w:eastAsia="宋体" w:hint="default"/>
          <w:sz w:val="19"/>
          <w:szCs w:val="19"/>
        </w:rPr>
      </w:pPr>
    </w:p>
    <w:p>
      <w:pPr>
        <w:pStyle w:val="Heading3"/>
        <w:spacing w:line="537" w:lineRule="auto"/>
        <w:ind w:right="7350"/>
        <w:jc w:val="left"/>
        <w:rPr>
          <w:b w:val="0"/>
          <w:bCs w:val="0"/>
        </w:rPr>
      </w:pPr>
      <w:r>
        <w:rPr>
          <w:rFonts w:ascii="宋体" w:hAnsi="宋体" w:cs="宋体" w:eastAsia="宋体" w:hint="default"/>
        </w:rPr>
        <w:t>2</w:t>
      </w:r>
      <w:r>
        <w:rPr/>
        <w:t>、应收票据</w:t>
      </w:r>
      <w:r>
        <w:rPr>
          <w:w w:val="100"/>
        </w:rPr>
        <w:t> </w:t>
      </w:r>
      <w:r>
        <w:rPr>
          <w:rFonts w:ascii="宋体" w:hAnsi="宋体" w:cs="宋体" w:eastAsia="宋体" w:hint="default"/>
        </w:rPr>
        <w:t>(1)</w:t>
      </w:r>
      <w:r>
        <w:rPr/>
        <w:t>应收票据分类列示</w:t>
      </w:r>
      <w:r>
        <w:rPr>
          <w:b w:val="0"/>
          <w:bCs w:val="0"/>
        </w:rPr>
      </w:r>
    </w:p>
    <w:p>
      <w:pPr>
        <w:spacing w:line="240" w:lineRule="auto" w:before="11"/>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2、应收票据" w:id="211"/>
            <w:bookmarkEnd w:id="211"/>
            <w:r>
              <w:rPr/>
            </w:r>
            <w:bookmarkStart w:name="(1)应收票据分类列示" w:id="212"/>
            <w:bookmarkEnd w:id="212"/>
            <w:r>
              <w:rPr/>
            </w: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6,173,225.00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23,115,446.00</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1,890,468.00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8,063,693.00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23,115,446.00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Heading3"/>
        <w:spacing w:line="537" w:lineRule="auto"/>
        <w:ind w:right="1810"/>
        <w:jc w:val="left"/>
        <w:rPr>
          <w:b w:val="0"/>
          <w:bCs w:val="0"/>
        </w:rPr>
      </w:pPr>
      <w:r>
        <w:rPr>
          <w:rFonts w:ascii="宋体" w:hAnsi="宋体" w:cs="宋体" w:eastAsia="宋体" w:hint="default"/>
        </w:rPr>
        <w:t>(2)</w:t>
      </w:r>
      <w:r>
        <w:rPr/>
        <w:t>期末没有已质押的应收票据。</w:t>
      </w:r>
      <w:r>
        <w:rPr>
          <w:w w:val="100"/>
        </w:rPr>
        <w:t> </w:t>
      </w:r>
      <w:r>
        <w:rPr>
          <w:rFonts w:ascii="宋体" w:hAnsi="宋体" w:cs="宋体" w:eastAsia="宋体" w:hint="default"/>
          <w:spacing w:val="-1"/>
        </w:rPr>
        <w:t>(3)</w:t>
      </w:r>
      <w:r>
        <w:rPr>
          <w:spacing w:val="-1"/>
        </w:rPr>
        <w:t>期末公司已背书或贴现且在资产负债表日尚未到期的应收票据</w:t>
      </w:r>
      <w:r>
        <w:rPr>
          <w:b w:val="0"/>
          <w:bCs w:val="0"/>
          <w:spacing w:val="-1"/>
        </w:rPr>
      </w:r>
    </w:p>
    <w:p>
      <w:pPr>
        <w:spacing w:line="240" w:lineRule="auto" w:before="11"/>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16,570,470.00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16,570,470.00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3"/>
        <w:spacing w:line="537" w:lineRule="auto"/>
        <w:ind w:right="3654"/>
        <w:jc w:val="left"/>
        <w:rPr>
          <w:b w:val="0"/>
          <w:bCs w:val="0"/>
        </w:rPr>
      </w:pPr>
      <w:r>
        <w:rPr>
          <w:rFonts w:ascii="宋体" w:hAnsi="宋体" w:cs="宋体" w:eastAsia="宋体" w:hint="default"/>
          <w:spacing w:val="-1"/>
        </w:rPr>
        <w:t>(4)</w:t>
      </w:r>
      <w:r>
        <w:rPr>
          <w:spacing w:val="-1"/>
        </w:rPr>
        <w:t>期末没有因出票人未履约而将票据转为应收账款的票据。</w:t>
      </w:r>
      <w:r>
        <w:rPr>
          <w:spacing w:val="-78"/>
        </w:rPr>
        <w:t> </w:t>
      </w:r>
      <w:r>
        <w:rPr>
          <w:spacing w:val="-78"/>
        </w:rPr>
      </w:r>
      <w:r>
        <w:rPr>
          <w:rFonts w:ascii="宋体" w:hAnsi="宋体" w:cs="宋体" w:eastAsia="宋体" w:hint="default"/>
        </w:rPr>
        <w:t>3</w:t>
      </w:r>
      <w:bookmarkStart w:name="(4)期末没有因出票人未履约而将票据转为应收账款的票据。" w:id="213"/>
      <w:bookmarkEnd w:id="213"/>
      <w:r>
        <w:rPr>
          <w:rFonts w:ascii="宋体" w:hAnsi="宋体" w:cs="宋体" w:eastAsia="宋体" w:hint="default"/>
        </w:rPr>
      </w:r>
      <w:bookmarkStart w:name="3、应收账款" w:id="214"/>
      <w:bookmarkEnd w:id="214"/>
      <w:r>
        <w:rPr>
          <w:rFonts w:ascii="宋体" w:hAnsi="宋体" w:cs="宋体" w:eastAsia="宋体" w:hint="default"/>
        </w:rPr>
      </w:r>
      <w:r>
        <w:rPr/>
        <w:t>、应收账款</w:t>
      </w:r>
      <w:r>
        <w:rPr>
          <w:b w:val="0"/>
          <w:bCs w:val="0"/>
        </w:rPr>
      </w:r>
    </w:p>
    <w:p>
      <w:pPr>
        <w:pStyle w:val="Heading3"/>
        <w:spacing w:line="240" w:lineRule="auto" w:before="76"/>
        <w:ind w:right="0"/>
        <w:jc w:val="left"/>
        <w:rPr>
          <w:b w:val="0"/>
          <w:bCs w:val="0"/>
        </w:rPr>
      </w:pPr>
      <w:r>
        <w:rPr>
          <w:rFonts w:ascii="宋体" w:hAnsi="宋体" w:cs="宋体" w:eastAsia="宋体" w:hint="default"/>
        </w:rPr>
        <w:t>(1)</w:t>
      </w:r>
      <w:bookmarkStart w:name="(1)应收账款分类披露" w:id="215"/>
      <w:bookmarkEnd w:id="215"/>
      <w:r>
        <w:rPr>
          <w:rFonts w:ascii="宋体" w:hAnsi="宋体" w:cs="宋体" w:eastAsia="宋体" w:hint="default"/>
        </w:rPr>
      </w:r>
      <w:r>
        <w:rPr/>
        <w:t>应收账款分类披露</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811,184,</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480.09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17,486,1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44.65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793,698,3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35.44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613,294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,860.49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12,226,49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2.63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601,068,36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7.86</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348,620.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811,533,</w:t>
            </w:r>
          </w:p>
          <w:p>
            <w:pPr>
              <w:pStyle w:val="TableParagraph"/>
              <w:spacing w:line="240" w:lineRule="auto" w:before="102"/>
              <w:ind w:left="220" w:right="0"/>
              <w:jc w:val="center"/>
              <w:rPr>
                <w:rFonts w:ascii="Times New Roman" w:hAnsi="Times New Roman" w:cs="Times New Roman" w:eastAsia="Times New Roman" w:hint="default"/>
                <w:sz w:val="18"/>
                <w:szCs w:val="18"/>
              </w:rPr>
            </w:pPr>
            <w:r>
              <w:rPr>
                <w:rFonts w:ascii="Times New Roman"/>
                <w:sz w:val="18"/>
              </w:rPr>
              <w:t>100.09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17,834,7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64.65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2.20%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793,698,3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35.44</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613,294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,860.49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12,226,49</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2.63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1.99%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601,068,36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7.86</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Heading4"/>
        <w:spacing w:line="241" w:lineRule="exact" w:before="0"/>
        <w:ind w:left="572" w:right="0"/>
        <w:jc w:val="left"/>
      </w:pPr>
      <w:r>
        <w:rPr/>
        <w:t>期末没有单项金额重大并单项计提坏账准备的应收账款。</w:t>
      </w:r>
    </w:p>
    <w:p>
      <w:pPr>
        <w:pStyle w:val="Heading4"/>
        <w:spacing w:line="240" w:lineRule="auto" w:before="66"/>
        <w:ind w:left="572" w:right="0"/>
        <w:jc w:val="left"/>
      </w:pPr>
      <w:r>
        <w:rPr/>
        <w:t>组合中，按账龄分析法计提坏账准备的应收账款：</w:t>
      </w:r>
    </w:p>
    <w:p>
      <w:pPr>
        <w:spacing w:line="240" w:lineRule="auto" w:before="8"/>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679,158,615.89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3,395,793.08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679,158,615.89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3,395,793.08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70,762,882.12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3,538,144.11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45,569,783.31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4,556,978.33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15,693,198.77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5,995,229.13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9,409,601.27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2,822,880.38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6,222,497.50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3,111,248.75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811,184,480.09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17,486,144.65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2.16%</w:t>
            </w:r>
          </w:p>
        </w:tc>
      </w:tr>
    </w:tbl>
    <w:p>
      <w:pPr>
        <w:pStyle w:val="Heading4"/>
        <w:spacing w:line="240" w:lineRule="auto" w:before="28"/>
        <w:ind w:left="572" w:right="0"/>
        <w:jc w:val="left"/>
      </w:pPr>
      <w:r>
        <w:rPr/>
        <w:t>确定该组合依据的说明：详见本附注五、</w:t>
      </w:r>
      <w:r>
        <w:rPr>
          <w:rFonts w:ascii="宋体" w:hAnsi="宋体" w:cs="宋体" w:eastAsia="宋体" w:hint="default"/>
        </w:rPr>
        <w:t>11</w:t>
      </w:r>
      <w:r>
        <w:rPr/>
        <w:t>。</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按预付对象归集的期末余额前五名的预付款情况" w:id="216"/>
      <w:bookmarkEnd w:id="216"/>
      <w:r>
        <w:rPr>
          <w:b w:val="0"/>
          <w:bCs w:val="0"/>
        </w:rPr>
      </w:r>
      <w:bookmarkStart w:name="(2)本期计提、收回或转回的坏账准备情况" w:id="217"/>
      <w:bookmarkEnd w:id="217"/>
      <w:r>
        <w:rPr>
          <w:b w:val="0"/>
          <w:bCs w:val="0"/>
        </w:rPr>
      </w: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left="572" w:right="0"/>
        <w:jc w:val="left"/>
      </w:pPr>
      <w:r>
        <w:rPr/>
        <w:t>本期计提坏账准备金额</w:t>
      </w:r>
      <w:r>
        <w:rPr>
          <w:spacing w:val="-56"/>
        </w:rPr>
        <w:t> </w:t>
      </w:r>
      <w:r>
        <w:rPr>
          <w:rFonts w:ascii="宋体" w:hAnsi="宋体" w:cs="宋体" w:eastAsia="宋体" w:hint="default"/>
        </w:rPr>
        <w:t>5,608,272.02</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8"/>
        <w:rPr>
          <w:rFonts w:ascii="宋体" w:hAnsi="宋体" w:cs="宋体" w:eastAsia="宋体" w:hint="default"/>
          <w:sz w:val="25"/>
          <w:szCs w:val="25"/>
        </w:rPr>
      </w:pPr>
    </w:p>
    <w:p>
      <w:pPr>
        <w:pStyle w:val="Heading3"/>
        <w:spacing w:line="240" w:lineRule="auto" w:before="0"/>
        <w:ind w:right="0"/>
        <w:jc w:val="left"/>
        <w:rPr>
          <w:b w:val="0"/>
          <w:bCs w:val="0"/>
        </w:rPr>
      </w:pPr>
      <w:r>
        <w:rPr>
          <w:rFonts w:ascii="宋体" w:hAnsi="宋体" w:cs="宋体" w:eastAsia="宋体" w:hint="default"/>
        </w:rPr>
        <w:t>(3)</w:t>
      </w:r>
      <w:bookmarkStart w:name="(3)本期实际核销的应收账款情况" w:id="218"/>
      <w:bookmarkEnd w:id="218"/>
      <w:r>
        <w:rPr>
          <w:rFonts w:ascii="宋体" w:hAnsi="宋体" w:cs="宋体" w:eastAsia="宋体" w:hint="default"/>
        </w:rPr>
      </w:r>
      <w:r>
        <w:rPr/>
        <w:t>本期实际核销的应收账款情况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366,600.13</w:t>
            </w:r>
          </w:p>
        </w:tc>
      </w:tr>
    </w:tbl>
    <w:p>
      <w:pPr>
        <w:pStyle w:val="Heading4"/>
        <w:spacing w:line="240" w:lineRule="auto" w:before="28"/>
        <w:ind w:left="572" w:right="0"/>
        <w:jc w:val="left"/>
      </w:pPr>
      <w:r>
        <w:rPr/>
        <w:t>其中重要的应收账款核销情况：</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351,016.65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15,583.48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366,600.13</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8"/>
          <w:szCs w:val="28"/>
        </w:rPr>
      </w:pPr>
    </w:p>
    <w:p>
      <w:pPr>
        <w:pStyle w:val="Heading4"/>
        <w:spacing w:line="340" w:lineRule="auto" w:before="0"/>
        <w:ind w:right="0" w:firstLine="420"/>
        <w:jc w:val="left"/>
      </w:pPr>
      <w:r>
        <w:rPr>
          <w:spacing w:val="-2"/>
        </w:rPr>
        <w:t>按欠款方归集的期末余额前五名应收账款汇总金额</w:t>
      </w:r>
      <w:r>
        <w:rPr>
          <w:rFonts w:ascii="宋体" w:hAnsi="宋体" w:cs="宋体" w:eastAsia="宋体" w:hint="default"/>
          <w:spacing w:val="-2"/>
        </w:rPr>
        <w:t>1</w:t>
      </w:r>
      <w:bookmarkStart w:name="(4)按欠款方归集的期末余额前五名的应收账款情况" w:id="219"/>
      <w:bookmarkEnd w:id="219"/>
      <w:r>
        <w:rPr>
          <w:rFonts w:ascii="宋体" w:hAnsi="宋体" w:cs="宋体" w:eastAsia="宋体" w:hint="default"/>
          <w:spacing w:val="-2"/>
        </w:rPr>
        <w:t>67,90</w:t>
      </w:r>
      <w:r>
        <w:rPr>
          <w:rFonts w:ascii="宋体" w:hAnsi="宋体" w:cs="宋体" w:eastAsia="宋体" w:hint="default"/>
          <w:spacing w:val="-2"/>
        </w:rPr>
        <w:t>5,399.35</w:t>
      </w:r>
      <w:r>
        <w:rPr>
          <w:spacing w:val="-2"/>
        </w:rPr>
        <w:t>元，占应收账款期末余额合计数的</w:t>
      </w:r>
      <w:r>
        <w:rPr>
          <w:w w:val="100"/>
        </w:rPr>
        <w:t> </w:t>
      </w:r>
      <w:r>
        <w:rPr/>
        <w:t>比例</w:t>
      </w:r>
      <w:r>
        <w:rPr>
          <w:rFonts w:ascii="宋体" w:hAnsi="宋体" w:cs="宋体" w:eastAsia="宋体" w:hint="default"/>
        </w:rPr>
        <w:t>20.69%</w:t>
      </w:r>
      <w:r>
        <w:rPr/>
        <w:t>，相应计提的坏账准备期末余额汇总金额 </w:t>
      </w:r>
      <w:r>
        <w:rPr>
          <w:rFonts w:ascii="宋体" w:hAnsi="宋体" w:cs="宋体" w:eastAsia="宋体" w:hint="default"/>
        </w:rPr>
        <w:t>839,527.10</w:t>
      </w:r>
      <w:r>
        <w:rPr>
          <w:rFonts w:ascii="宋体" w:hAnsi="宋体" w:cs="宋体" w:eastAsia="宋体" w:hint="default"/>
          <w:spacing w:val="-3"/>
        </w:rPr>
        <w:t> </w:t>
      </w:r>
      <w:r>
        <w:rPr/>
        <w:t>元。</w:t>
      </w:r>
    </w:p>
    <w:p>
      <w:pPr>
        <w:spacing w:line="240" w:lineRule="auto" w:before="13"/>
        <w:rPr>
          <w:rFonts w:ascii="宋体" w:hAnsi="宋体" w:cs="宋体" w:eastAsia="宋体" w:hint="default"/>
          <w:sz w:val="21"/>
          <w:szCs w:val="21"/>
        </w:rPr>
      </w:pPr>
    </w:p>
    <w:p>
      <w:pPr>
        <w:pStyle w:val="Heading3"/>
        <w:spacing w:line="535" w:lineRule="auto" w:before="0"/>
        <w:ind w:right="3654"/>
        <w:jc w:val="left"/>
        <w:rPr>
          <w:b w:val="0"/>
          <w:bCs w:val="0"/>
        </w:rPr>
      </w:pPr>
      <w:r>
        <w:rPr>
          <w:rFonts w:ascii="宋体" w:hAnsi="宋体" w:cs="宋体" w:eastAsia="宋体" w:hint="default"/>
        </w:rPr>
        <w:t>(5)</w:t>
      </w:r>
      <w:r>
        <w:rPr/>
        <w:t>本期没有因金融资产转移而终止确认的应收账款。</w:t>
      </w:r>
      <w:r>
        <w:rPr>
          <w:w w:val="100"/>
        </w:rPr>
        <w:t> </w:t>
      </w:r>
      <w:r>
        <w:rPr>
          <w:rFonts w:ascii="宋体" w:hAnsi="宋体" w:cs="宋体" w:eastAsia="宋体" w:hint="default"/>
          <w:spacing w:val="-1"/>
        </w:rPr>
        <w:t>(6)</w:t>
      </w:r>
      <w:r>
        <w:rPr>
          <w:spacing w:val="-1"/>
        </w:rPr>
        <w:t>本期没有转移应收账款且继续涉入形成的资产、负债。</w:t>
      </w:r>
      <w:r>
        <w:rPr>
          <w:spacing w:val="-80"/>
        </w:rPr>
        <w:t> </w:t>
      </w:r>
      <w:r>
        <w:rPr>
          <w:spacing w:val="-80"/>
        </w:rPr>
      </w:r>
      <w:r>
        <w:rPr>
          <w:rFonts w:ascii="Times New Roman" w:hAnsi="Times New Roman" w:cs="Times New Roman" w:eastAsia="Times New Roman" w:hint="default"/>
        </w:rPr>
        <w:t>4</w:t>
      </w:r>
      <w:r>
        <w:rPr/>
        <w:t>、预付款项</w:t>
      </w:r>
      <w:r>
        <w:rPr>
          <w:b w:val="0"/>
          <w:bCs w:val="0"/>
        </w:rPr>
      </w:r>
    </w:p>
    <w:p>
      <w:pPr>
        <w:pStyle w:val="Heading3"/>
        <w:spacing w:line="240" w:lineRule="auto" w:before="37"/>
        <w:ind w:right="0"/>
        <w:jc w:val="left"/>
        <w:rPr>
          <w:b w:val="0"/>
          <w:bCs w:val="0"/>
        </w:rPr>
      </w:pPr>
      <w:r>
        <w:rPr>
          <w:rFonts w:ascii="宋体" w:hAnsi="宋体" w:cs="宋体" w:eastAsia="宋体"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5)本期没有因金融资产转移而终止确认的应收账款。" w:id="220"/>
            <w:bookmarkEnd w:id="220"/>
            <w:r>
              <w:rPr/>
            </w:r>
            <w:bookmarkStart w:name="(6)本期没有转移应收账款且继续涉入形成的资产、负债。" w:id="221"/>
            <w:bookmarkEnd w:id="221"/>
            <w:r>
              <w:rPr/>
            </w: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bookmarkStart w:name="4、预付款项" w:id="222"/>
            <w:bookmarkEnd w:id="222"/>
            <w:r>
              <w:rPr/>
            </w: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20,194,122.95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79.93%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31,114,237.17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bookmarkStart w:name="(1)预付款项按账龄列示" w:id="223"/>
            <w:bookmarkEnd w:id="223"/>
            <w:r>
              <w:rPr/>
            </w:r>
            <w:r>
              <w:rPr>
                <w:rFonts w:ascii="Times New Roman"/>
                <w:sz w:val="18"/>
              </w:rPr>
              <w:t>97.22%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4,206,140.00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390,769.07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367,543.01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159,534.15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498,558.95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338,800.00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25,266,364.91</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32,003,340.39</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8"/>
          <w:szCs w:val="28"/>
        </w:rPr>
      </w:pPr>
    </w:p>
    <w:p>
      <w:pPr>
        <w:pStyle w:val="Heading4"/>
        <w:spacing w:line="338" w:lineRule="auto" w:before="0"/>
        <w:ind w:left="153" w:right="0" w:firstLine="419"/>
        <w:jc w:val="left"/>
      </w:pPr>
      <w:r>
        <w:rPr>
          <w:spacing w:val="-2"/>
        </w:rPr>
        <w:t>按预付对象集中度归集的期末余额前五名预付款项汇总金额</w:t>
      </w:r>
      <w:r>
        <w:rPr>
          <w:rFonts w:ascii="宋体" w:hAnsi="宋体" w:cs="宋体" w:eastAsia="宋体" w:hint="default"/>
          <w:spacing w:val="-2"/>
        </w:rPr>
        <w:t>18,164,736.67</w:t>
      </w:r>
      <w:r>
        <w:rPr>
          <w:spacing w:val="-2"/>
        </w:rPr>
        <w:t>元，占预付款项期末余额</w:t>
      </w:r>
      <w:r>
        <w:rPr>
          <w:w w:val="100"/>
        </w:rPr>
        <w:t> </w:t>
      </w:r>
      <w:r>
        <w:rPr/>
        <w:t>合计数的比例</w:t>
      </w:r>
      <w:r>
        <w:rPr>
          <w:rFonts w:ascii="宋体" w:hAnsi="宋体" w:cs="宋体" w:eastAsia="宋体" w:hint="default"/>
        </w:rPr>
        <w:t>71.89%</w:t>
      </w:r>
      <w:r>
        <w:rPr/>
        <w:t>。</w:t>
      </w:r>
    </w:p>
    <w:p>
      <w:pPr>
        <w:spacing w:after="0" w:line="338"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bookmarkStart w:name="5、应收利息" w:id="224"/>
      <w:bookmarkEnd w:id="224"/>
      <w:r>
        <w:rPr>
          <w:b w:val="0"/>
          <w:bCs w:val="0"/>
        </w:rPr>
      </w:r>
      <w:r>
        <w:rPr>
          <w:rFonts w:ascii="宋体" w:hAnsi="宋体" w:cs="宋体" w:eastAsia="宋体" w:hint="default"/>
        </w:rPr>
        <w:t>(1)</w:t>
      </w:r>
      <w:bookmarkStart w:name="(1)应收利息分类" w:id="225"/>
      <w:bookmarkEnd w:id="225"/>
      <w:r>
        <w:rPr>
          <w:rFonts w:ascii="宋体" w:hAnsi="宋体" w:cs="宋体" w:eastAsia="宋体" w:hint="default"/>
        </w:rPr>
      </w:r>
      <w:r>
        <w:rPr/>
        <w:t>应收利息分类</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1,455,386.31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1,491,364.39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1,455,386.31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1,491,364.39</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520" w:lineRule="auto"/>
        <w:ind w:right="6717"/>
        <w:jc w:val="left"/>
        <w:rPr>
          <w:b w:val="0"/>
          <w:bCs w:val="0"/>
        </w:rPr>
      </w:pPr>
      <w:r>
        <w:rPr>
          <w:rFonts w:ascii="宋体" w:hAnsi="宋体" w:cs="宋体" w:eastAsia="宋体" w:hint="default"/>
        </w:rPr>
        <w:t>(2)</w:t>
      </w:r>
      <w:bookmarkStart w:name="(2)期末没有重要逾期利息。" w:id="226"/>
      <w:bookmarkEnd w:id="226"/>
      <w:r>
        <w:rPr>
          <w:rFonts w:ascii="宋体" w:hAnsi="宋体" w:cs="宋体" w:eastAsia="宋体" w:hint="default"/>
        </w:rPr>
      </w:r>
      <w:r>
        <w:rPr/>
        <w:t>期末没有重要逾期利息。</w:t>
      </w:r>
      <w:r>
        <w:rPr>
          <w:w w:val="100"/>
        </w:rPr>
        <w:t> </w:t>
      </w:r>
      <w:r>
        <w:rPr>
          <w:rFonts w:ascii="Times New Roman" w:hAnsi="Times New Roman" w:cs="Times New Roman" w:eastAsia="Times New Roman" w:hint="default"/>
        </w:rPr>
        <w:t>6</w:t>
      </w:r>
      <w:r>
        <w:rPr/>
        <w:t>、其他应收款</w:t>
      </w:r>
      <w:r>
        <w:rPr>
          <w:spacing w:val="-103"/>
        </w:rPr>
        <w:t> </w:t>
      </w:r>
      <w:r>
        <w:rPr>
          <w:rFonts w:ascii="宋体" w:hAnsi="宋体" w:cs="宋体" w:eastAsia="宋体" w:hint="default"/>
        </w:rPr>
        <w:t>(1)</w:t>
      </w:r>
      <w:r>
        <w:rPr/>
        <w:t>其他应收款分类披露</w:t>
      </w:r>
      <w:r>
        <w:rPr>
          <w:b w:val="0"/>
          <w:bCs w:val="0"/>
        </w:rPr>
      </w:r>
    </w:p>
    <w:p>
      <w:pPr>
        <w:spacing w:line="240" w:lineRule="auto" w:before="1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bookmarkStart w:name="6、其他应收款" w:id="227"/>
            <w:bookmarkEnd w:id="227"/>
            <w:r>
              <w:rPr/>
            </w: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bookmarkStart w:name="(1)其他应收款分类披露" w:id="228"/>
            <w:bookmarkEnd w:id="228"/>
            <w:r>
              <w:rPr/>
            </w: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4"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75,851,1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71.00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3,319,53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72,531,63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74,506,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152.08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2,375,804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72,130,347.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75,851,1</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71.00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3,319,53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72,531,63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8.00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74,506,</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152.08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2,375,804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72,130,347.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Heading4"/>
        <w:spacing w:line="241" w:lineRule="exact" w:before="0"/>
        <w:ind w:left="572" w:right="0"/>
        <w:jc w:val="left"/>
      </w:pPr>
      <w:r>
        <w:rPr/>
        <w:t>期末没有单项金额重大并单独计提坏账准备的其他应收款。</w:t>
      </w:r>
    </w:p>
    <w:p>
      <w:pPr>
        <w:pStyle w:val="Heading4"/>
        <w:spacing w:line="240" w:lineRule="auto" w:before="164"/>
        <w:ind w:left="572" w:right="0"/>
        <w:jc w:val="left"/>
      </w:pPr>
      <w:r>
        <w:rPr/>
        <w:t>组合中，按账龄分析法计提坏账准备的其他应收款：</w:t>
      </w:r>
    </w:p>
    <w:p>
      <w:pPr>
        <w:spacing w:line="240" w:lineRule="auto" w:before="0"/>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47,166,560.08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235,832.80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47,166,560.08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235,832.80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12,903,376.28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645,168.81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2,356,846.08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235,684.61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3,331,112.02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2,202,846.78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229" w:type="dxa"/>
        <w:tblLayout w:type="fixed"/>
        <w:tblCellMar>
          <w:top w:w="0" w:type="dxa"/>
          <w:left w:w="0" w:type="dxa"/>
          <w:bottom w:w="0" w:type="dxa"/>
          <w:right w:w="0" w:type="dxa"/>
        </w:tblCellMar>
        <w:tblLook w:val="01E0"/>
      </w:tblPr>
      <w:tblGrid>
        <w:gridCol w:w="2389"/>
        <w:gridCol w:w="2393"/>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1,048,600.30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314,580.09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788,490.07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394,245.04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1,494,021.65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1,494,021.65</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65,757,894.46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3,319,533.00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5.05%</w:t>
            </w:r>
          </w:p>
        </w:tc>
      </w:tr>
    </w:tbl>
    <w:p>
      <w:pPr>
        <w:pStyle w:val="Heading4"/>
        <w:spacing w:line="376" w:lineRule="auto" w:before="64"/>
        <w:ind w:left="652" w:right="3096"/>
        <w:jc w:val="left"/>
      </w:pPr>
      <w:bookmarkStart w:name="(5)按欠款方归集的期末余额前五名的其他应收款情况" w:id="229"/>
      <w:bookmarkEnd w:id="229"/>
      <w:r>
        <w:rPr/>
      </w:r>
      <w:r>
        <w:rPr/>
        <w:t>确定该组合依据的说明：详见本附注五、</w:t>
      </w:r>
      <w:r>
        <w:rPr>
          <w:rFonts w:ascii="宋体" w:hAnsi="宋体" w:cs="宋体" w:eastAsia="宋体" w:hint="default"/>
        </w:rPr>
        <w:t>11</w:t>
      </w:r>
      <w:r>
        <w:rPr/>
        <w:t>。</w:t>
      </w:r>
      <w:r>
        <w:rPr>
          <w:w w:val="100"/>
        </w:rPr>
        <w:t> </w:t>
      </w:r>
      <w:r>
        <w:rPr>
          <w:spacing w:val="-2"/>
        </w:rPr>
        <w:t>组合中，采用其他方法计提坏账准备的其他应收款：</w:t>
      </w:r>
    </w:p>
    <w:tbl>
      <w:tblPr>
        <w:tblW w:w="0" w:type="auto"/>
        <w:jc w:val="left"/>
        <w:tblInd w:w="117" w:type="dxa"/>
        <w:tblLayout w:type="fixed"/>
        <w:tblCellMar>
          <w:top w:w="0" w:type="dxa"/>
          <w:left w:w="0" w:type="dxa"/>
          <w:bottom w:w="0" w:type="dxa"/>
          <w:right w:w="0" w:type="dxa"/>
        </w:tblCellMar>
        <w:tblLook w:val="01E0"/>
      </w:tblPr>
      <w:tblGrid>
        <w:gridCol w:w="2390"/>
        <w:gridCol w:w="2393"/>
        <w:gridCol w:w="2393"/>
        <w:gridCol w:w="2393"/>
      </w:tblGrid>
      <w:tr>
        <w:trPr>
          <w:trHeight w:val="413" w:hRule="exact"/>
        </w:trPr>
        <w:tc>
          <w:tcPr>
            <w:tcW w:w="23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8"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1" w:hRule="exact"/>
        </w:trPr>
        <w:tc>
          <w:tcPr>
            <w:tcW w:w="2390" w:type="dxa"/>
            <w:vMerge/>
            <w:tcBorders>
              <w:left w:val="single" w:sz="6" w:space="0" w:color="000000"/>
              <w:bottom w:val="single" w:sz="6" w:space="0" w:color="000000"/>
              <w:right w:val="single" w:sz="6" w:space="0" w:color="000000"/>
            </w:tcBorders>
            <w:shd w:val="clear" w:color="auto" w:fill="D4D4D4"/>
          </w:tcPr>
          <w:p>
            <w:pP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8"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23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8,802,006.54</w:t>
            </w:r>
            <w:r>
              <w:rPr>
                <w:rFonts w:ascii="Times New Roman"/>
                <w:sz w:val="18"/>
              </w:rPr>
            </w:r>
          </w:p>
        </w:tc>
        <w:tc>
          <w:tcPr>
            <w:tcW w:w="2393" w:type="dxa"/>
            <w:tcBorders>
              <w:top w:val="single" w:sz="11" w:space="0" w:color="000000"/>
              <w:left w:val="single" w:sz="6" w:space="0" w:color="000000"/>
              <w:bottom w:val="single" w:sz="6" w:space="0" w:color="000000"/>
              <w:right w:val="single" w:sz="6" w:space="0" w:color="000000"/>
            </w:tcBorders>
          </w:tcPr>
          <w:p>
            <w:pPr/>
          </w:p>
        </w:tc>
        <w:tc>
          <w:tcPr>
            <w:tcW w:w="2393" w:type="dxa"/>
            <w:tcBorders>
              <w:top w:val="single" w:sz="11" w:space="0" w:color="000000"/>
              <w:left w:val="single" w:sz="6" w:space="0" w:color="000000"/>
              <w:bottom w:val="single" w:sz="6" w:space="0" w:color="000000"/>
              <w:right w:val="single" w:sz="6" w:space="0" w:color="000000"/>
            </w:tcBorders>
          </w:tcPr>
          <w:p>
            <w:pPr/>
          </w:p>
        </w:tc>
      </w:tr>
      <w:tr>
        <w:trPr>
          <w:trHeight w:val="425"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暂存款</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1,291,270.00</w:t>
            </w:r>
            <w:r>
              <w:rPr>
                <w:rFonts w:ascii="Times New Roman"/>
                <w:sz w:val="18"/>
              </w:rPr>
            </w:r>
          </w:p>
        </w:tc>
        <w:tc>
          <w:tcPr>
            <w:tcW w:w="2393" w:type="dxa"/>
            <w:tcBorders>
              <w:top w:val="single" w:sz="6" w:space="0" w:color="000000"/>
              <w:left w:val="single" w:sz="6" w:space="0" w:color="000000"/>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10,093,276.54</w:t>
            </w:r>
          </w:p>
        </w:tc>
        <w:tc>
          <w:tcPr>
            <w:tcW w:w="2393" w:type="dxa"/>
            <w:tcBorders>
              <w:top w:val="single" w:sz="6" w:space="0" w:color="000000"/>
              <w:left w:val="single" w:sz="6" w:space="0" w:color="000000"/>
              <w:bottom w:val="single" w:sz="6" w:space="0" w:color="000000"/>
              <w:right w:val="single" w:sz="6" w:space="0" w:color="000000"/>
            </w:tcBorders>
          </w:tcPr>
          <w:p>
            <w:pPr/>
          </w:p>
        </w:tc>
        <w:tc>
          <w:tcPr>
            <w:tcW w:w="23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3"/>
        <w:spacing w:line="240" w:lineRule="auto"/>
        <w:ind w:left="652" w:right="222"/>
        <w:jc w:val="left"/>
        <w:rPr>
          <w:b w:val="0"/>
          <w:bCs w:val="0"/>
        </w:rPr>
      </w:pP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before="0"/>
        <w:ind w:left="652" w:right="222"/>
        <w:jc w:val="left"/>
      </w:pPr>
      <w:r>
        <w:rPr/>
        <w:t>本期计提坏账准备金额</w:t>
      </w:r>
      <w:r>
        <w:rPr>
          <w:spacing w:val="-55"/>
        </w:rPr>
        <w:t> </w:t>
      </w:r>
      <w:r>
        <w:rPr>
          <w:rFonts w:ascii="宋体" w:hAnsi="宋体" w:cs="宋体" w:eastAsia="宋体" w:hint="default"/>
        </w:rPr>
        <w:t>943,728.04</w:t>
      </w:r>
      <w:r>
        <w:rPr>
          <w:rFonts w:ascii="宋体" w:hAnsi="宋体" w:cs="宋体" w:eastAsia="宋体" w:hint="default"/>
          <w:spacing w:val="-57"/>
        </w:rPr>
        <w:t> </w:t>
      </w:r>
      <w:r>
        <w:rPr/>
        <w:t>元；本期收回</w:t>
      </w:r>
      <w:bookmarkStart w:name="(2)本期计提、收回或转回的坏账准备情况" w:id="230"/>
      <w:bookmarkEnd w:id="230"/>
      <w:r>
        <w:rPr/>
        <w:t>或转回</w:t>
      </w:r>
      <w:r>
        <w:rPr/>
        <w:t>坏账准备金额</w:t>
      </w:r>
      <w:r>
        <w:rPr>
          <w:spacing w:val="-55"/>
        </w:rPr>
        <w:t> </w:t>
      </w:r>
      <w:r>
        <w:rPr>
          <w:rFonts w:ascii="宋体" w:hAnsi="宋体" w:cs="宋体" w:eastAsia="宋体" w:hint="default"/>
        </w:rPr>
        <w:t>0.00</w:t>
      </w:r>
      <w:r>
        <w:rPr>
          <w:rFonts w:ascii="宋体" w:hAnsi="宋体" w:cs="宋体" w:eastAsia="宋体" w:hint="default"/>
          <w:spacing w:val="-57"/>
        </w:rPr>
        <w:t> </w:t>
      </w:r>
      <w:r>
        <w:rPr>
          <w:spacing w:val="-3"/>
        </w:rPr>
        <w:t>元。</w:t>
      </w:r>
      <w:r>
        <w:rPr/>
      </w:r>
    </w:p>
    <w:p>
      <w:pPr>
        <w:spacing w:line="240" w:lineRule="auto" w:before="10"/>
        <w:rPr>
          <w:rFonts w:ascii="宋体" w:hAnsi="宋体" w:cs="宋体" w:eastAsia="宋体" w:hint="default"/>
          <w:sz w:val="25"/>
          <w:szCs w:val="25"/>
        </w:rPr>
      </w:pPr>
    </w:p>
    <w:p>
      <w:pPr>
        <w:pStyle w:val="Heading3"/>
        <w:spacing w:line="537" w:lineRule="auto" w:before="0"/>
        <w:ind w:left="652" w:right="5663"/>
        <w:jc w:val="left"/>
        <w:rPr>
          <w:b w:val="0"/>
          <w:bCs w:val="0"/>
        </w:rPr>
      </w:pPr>
      <w:r>
        <w:rPr>
          <w:rFonts w:ascii="宋体" w:hAnsi="宋体" w:cs="宋体" w:eastAsia="宋体" w:hint="default"/>
        </w:rPr>
        <w:t>(3)</w:t>
      </w:r>
      <w:r>
        <w:rPr/>
        <w:t>本期无实际核销的其他应收款情况。</w:t>
      </w:r>
      <w:r>
        <w:rPr>
          <w:spacing w:val="-104"/>
        </w:rPr>
        <w:t> </w:t>
      </w:r>
      <w:r>
        <w:rPr>
          <w:spacing w:val="-104"/>
        </w:rPr>
      </w:r>
      <w:r>
        <w:rPr>
          <w:rFonts w:ascii="宋体" w:hAnsi="宋体" w:cs="宋体" w:eastAsia="宋体" w:hint="default"/>
        </w:rPr>
        <w:t>(4)</w:t>
      </w:r>
      <w:r>
        <w:rPr/>
        <w:t>其他应收款按款项性质分类情况</w:t>
      </w:r>
      <w:r>
        <w:rPr>
          <w:b w:val="0"/>
          <w:bCs w:val="0"/>
        </w:rPr>
      </w:r>
    </w:p>
    <w:p>
      <w:pPr>
        <w:spacing w:line="240" w:lineRule="auto" w:before="11"/>
        <w:rPr>
          <w:rFonts w:ascii="宋体" w:hAnsi="宋体" w:cs="宋体" w:eastAsia="宋体" w:hint="default"/>
          <w:b/>
          <w:bCs/>
          <w:sz w:val="6"/>
          <w:szCs w:val="6"/>
        </w:rPr>
      </w:pPr>
    </w:p>
    <w:tbl>
      <w:tblPr>
        <w:tblW w:w="0" w:type="auto"/>
        <w:jc w:val="left"/>
        <w:tblInd w:w="22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bookmarkStart w:name="(3)本期无实际核销的其他应收款情况。" w:id="231"/>
            <w:bookmarkEnd w:id="231"/>
            <w:r>
              <w:rPr/>
            </w:r>
            <w:bookmarkStart w:name="(4)其他应收款按款项性质分类情况" w:id="232"/>
            <w:bookmarkEnd w:id="232"/>
            <w:r>
              <w:rPr/>
            </w: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17,905,853.85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9,405,000.00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15,681,687.15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16,697,873.28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8,802,006.54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6,419,335.18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33,461,623.46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41,983,943.62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75,851,171.00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74,506,152.08</w:t>
            </w:r>
          </w:p>
        </w:tc>
      </w:tr>
    </w:tbl>
    <w:p>
      <w:pPr>
        <w:spacing w:line="240" w:lineRule="auto" w:before="3"/>
        <w:rPr>
          <w:rFonts w:ascii="宋体" w:hAnsi="宋体" w:cs="宋体" w:eastAsia="宋体" w:hint="default"/>
          <w:b/>
          <w:bCs/>
          <w:sz w:val="19"/>
          <w:szCs w:val="19"/>
        </w:rPr>
      </w:pPr>
    </w:p>
    <w:p>
      <w:pPr>
        <w:pStyle w:val="Heading3"/>
        <w:spacing w:line="240" w:lineRule="auto"/>
        <w:ind w:left="652" w:right="222"/>
        <w:jc w:val="left"/>
        <w:rPr>
          <w:b w:val="0"/>
          <w:bCs w:val="0"/>
        </w:rPr>
      </w:pPr>
      <w:r>
        <w:rPr>
          <w:rFonts w:ascii="宋体" w:hAnsi="宋体" w:cs="宋体" w:eastAsia="宋体"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22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应收补贴款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8,802,006.54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11.61%</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3,310,300.00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16,551.50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25,042,306.54</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418,701.50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00" w:right="980"/>
        </w:sectPr>
      </w:pPr>
    </w:p>
    <w:p>
      <w:pPr>
        <w:spacing w:line="240" w:lineRule="auto" w:before="11"/>
        <w:rPr>
          <w:rFonts w:ascii="宋体" w:hAnsi="宋体" w:cs="宋体" w:eastAsia="宋体" w:hint="default"/>
          <w:b/>
          <w:bCs/>
          <w:sz w:val="20"/>
          <w:szCs w:val="20"/>
        </w:rPr>
      </w:pPr>
    </w:p>
    <w:p>
      <w:pPr>
        <w:pStyle w:val="Heading3"/>
        <w:spacing w:line="240" w:lineRule="auto"/>
        <w:ind w:left="652" w:right="222"/>
        <w:jc w:val="left"/>
        <w:rPr>
          <w:b w:val="0"/>
          <w:bCs w:val="0"/>
        </w:rPr>
      </w:pPr>
      <w:bookmarkStart w:name="(2)存货跌价准备" w:id="233"/>
      <w:bookmarkEnd w:id="233"/>
      <w:r>
        <w:rPr>
          <w:b w:val="0"/>
          <w:bCs w:val="0"/>
        </w:rPr>
      </w:r>
      <w:r>
        <w:rPr>
          <w:rFonts w:ascii="宋体" w:hAnsi="宋体" w:cs="宋体" w:eastAsia="宋体" w:hint="default"/>
        </w:rPr>
        <w:t>(6)</w:t>
      </w:r>
      <w:r>
        <w:rPr/>
        <w:t>涉及政府补助的应收款项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2268"/>
        <w:gridCol w:w="1277"/>
        <w:gridCol w:w="1274"/>
        <w:gridCol w:w="1418"/>
        <w:gridCol w:w="3334"/>
      </w:tblGrid>
      <w:tr>
        <w:trPr>
          <w:trHeight w:val="718" w:hRule="exact"/>
        </w:trPr>
        <w:tc>
          <w:tcPr>
            <w:tcW w:w="22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6)涉及政府补助的应收款项" w:id="234"/>
            <w:bookmarkEnd w:id="234"/>
            <w:r>
              <w:rPr/>
            </w:r>
            <w:r>
              <w:rPr>
                <w:rFonts w:ascii="宋体" w:hAnsi="宋体" w:cs="宋体" w:eastAsia="宋体" w:hint="default"/>
                <w:sz w:val="18"/>
                <w:szCs w:val="18"/>
              </w:rPr>
              <w:t>单位名称</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9"/>
              <w:ind w:left="362" w:right="179" w:hanging="180"/>
              <w:jc w:val="left"/>
              <w:rPr>
                <w:rFonts w:ascii="宋体" w:hAnsi="宋体" w:cs="宋体" w:eastAsia="宋体" w:hint="default"/>
                <w:sz w:val="18"/>
                <w:szCs w:val="18"/>
              </w:rPr>
            </w:pPr>
            <w:r>
              <w:rPr>
                <w:rFonts w:ascii="宋体" w:hAnsi="宋体" w:cs="宋体" w:eastAsia="宋体" w:hint="default"/>
                <w:sz w:val="18"/>
                <w:szCs w:val="18"/>
              </w:rPr>
              <w:t>政府补助项 目名称</w:t>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33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1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广州经济技术开发区国家 税务局</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8,545,252.51</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、收取的时间：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before="10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、收取的金额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8,545,252.51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0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、依据出口退税的申报表核算</w:t>
            </w:r>
          </w:p>
        </w:tc>
      </w:tr>
      <w:tr>
        <w:trPr>
          <w:trHeight w:val="11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深圳市南山区国家税务局</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z w:val="18"/>
              </w:rPr>
              <w:t>256,754.03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、收取的时间：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p>
            <w:pPr>
              <w:pStyle w:val="TableParagraph"/>
              <w:spacing w:line="240" w:lineRule="auto" w:before="10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、收取的金额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256,754.03 </w:t>
            </w:r>
            <w:r>
              <w:rPr>
                <w:rFonts w:ascii="宋体" w:hAnsi="宋体" w:cs="宋体" w:eastAsia="宋体" w:hint="default"/>
                <w:sz w:val="18"/>
                <w:szCs w:val="18"/>
              </w:rPr>
              <w:t>元；</w:t>
            </w:r>
          </w:p>
          <w:p>
            <w:pPr>
              <w:pStyle w:val="TableParagraph"/>
              <w:spacing w:line="240" w:lineRule="auto" w:before="10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、依据出口退税的申报表核算</w:t>
            </w:r>
          </w:p>
        </w:tc>
      </w:tr>
      <w:tr>
        <w:trPr>
          <w:trHeight w:val="408" w:hRule="exact"/>
        </w:trPr>
        <w:tc>
          <w:tcPr>
            <w:tcW w:w="22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8,802,006.54</w:t>
            </w:r>
            <w:r>
              <w:rPr>
                <w:rFonts w:ascii="Times New Roman"/>
                <w:sz w:val="18"/>
              </w:rPr>
            </w:r>
          </w:p>
        </w:tc>
        <w:tc>
          <w:tcPr>
            <w:tcW w:w="14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3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535" w:lineRule="auto"/>
        <w:ind w:left="652" w:right="3096"/>
        <w:jc w:val="left"/>
        <w:rPr>
          <w:b w:val="0"/>
          <w:bCs w:val="0"/>
        </w:rPr>
      </w:pPr>
      <w:r>
        <w:rPr>
          <w:rFonts w:ascii="宋体" w:hAnsi="宋体" w:cs="宋体" w:eastAsia="宋体" w:hint="default"/>
        </w:rPr>
        <w:t>(7)</w:t>
      </w:r>
      <w:r>
        <w:rPr/>
        <w:t>本期没有因金融资产转</w:t>
      </w:r>
      <w:bookmarkStart w:name="(7)本期没有因金融资产转移而终止确认的其他应收款。" w:id="235"/>
      <w:bookmarkEnd w:id="235"/>
      <w:r>
        <w:rPr/>
        <w:t>移而终止确认的其</w:t>
      </w:r>
      <w:r>
        <w:rPr/>
        <w:t>他应收款。</w:t>
      </w:r>
      <w:r>
        <w:rPr>
          <w:w w:val="100"/>
        </w:rPr>
        <w:t> </w:t>
      </w:r>
      <w:r>
        <w:rPr>
          <w:rFonts w:ascii="宋体" w:hAnsi="宋体" w:cs="宋体" w:eastAsia="宋体" w:hint="default"/>
          <w:spacing w:val="-1"/>
        </w:rPr>
        <w:t>(8)</w:t>
      </w:r>
      <w:r>
        <w:rPr>
          <w:spacing w:val="-1"/>
        </w:rPr>
        <w:t>本期没有转移其他应收款且继续涉入形成的资产</w:t>
      </w:r>
      <w:bookmarkStart w:name="(8)本期没有转移其他应收款且继续涉入形成的资产、负债。" w:id="236"/>
      <w:bookmarkEnd w:id="236"/>
      <w:r>
        <w:rPr>
          <w:spacing w:val="-1"/>
        </w:rPr>
        <w:t>、负债。</w:t>
      </w:r>
      <w:r>
        <w:rPr>
          <w:spacing w:val="-78"/>
        </w:rPr>
        <w:t> </w:t>
      </w:r>
      <w:r>
        <w:rPr>
          <w:spacing w:val="-78"/>
        </w:rPr>
      </w:r>
      <w:r>
        <w:rPr>
          <w:rFonts w:ascii="宋体" w:hAnsi="宋体" w:cs="宋体" w:eastAsia="宋体" w:hint="default"/>
        </w:rPr>
        <w:t>7</w:t>
      </w:r>
      <w:r>
        <w:rPr/>
        <w:t>、存货</w:t>
      </w:r>
      <w:r>
        <w:rPr>
          <w:b w:val="0"/>
          <w:bCs w:val="0"/>
        </w:rPr>
      </w:r>
    </w:p>
    <w:p>
      <w:pPr>
        <w:pStyle w:val="Heading3"/>
        <w:spacing w:line="240" w:lineRule="auto" w:before="79"/>
        <w:ind w:left="652" w:right="222"/>
        <w:jc w:val="left"/>
        <w:rPr>
          <w:b w:val="0"/>
          <w:bCs w:val="0"/>
        </w:rPr>
      </w:pPr>
      <w:r>
        <w:rPr>
          <w:rFonts w:ascii="宋体" w:hAnsi="宋体" w:cs="宋体" w:eastAsia="宋体" w:hint="default"/>
        </w:rPr>
        <w:t>(1)</w:t>
      </w:r>
      <w:r>
        <w:rPr/>
        <w:t>存货分类</w:t>
      </w:r>
      <w:r>
        <w:rPr>
          <w:b w:val="0"/>
          <w:bCs w:val="0"/>
        </w:rPr>
      </w:r>
    </w:p>
    <w:p>
      <w:pPr>
        <w:spacing w:line="240" w:lineRule="auto" w:before="12"/>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1702"/>
        <w:gridCol w:w="1418"/>
        <w:gridCol w:w="1133"/>
        <w:gridCol w:w="1418"/>
        <w:gridCol w:w="1416"/>
        <w:gridCol w:w="1116"/>
        <w:gridCol w:w="1368"/>
      </w:tblGrid>
      <w:tr>
        <w:trPr>
          <w:trHeight w:val="408" w:hRule="exact"/>
        </w:trPr>
        <w:tc>
          <w:tcPr>
            <w:tcW w:w="1702"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7、存货" w:id="237"/>
            <w:bookmarkEnd w:id="237"/>
            <w:r>
              <w:rPr/>
            </w:r>
            <w:bookmarkStart w:name="(1)存货分类" w:id="238"/>
            <w:bookmarkEnd w:id="238"/>
            <w:r>
              <w:rPr/>
            </w:r>
            <w:r>
              <w:rPr>
                <w:rFonts w:ascii="宋体" w:hAnsi="宋体" w:cs="宋体" w:eastAsia="宋体" w:hint="default"/>
                <w:sz w:val="18"/>
                <w:szCs w:val="18"/>
              </w:rPr>
              <w:t>期初余额</w:t>
            </w:r>
          </w:p>
        </w:tc>
      </w:tr>
      <w:tr>
        <w:trPr>
          <w:trHeight w:val="406" w:hRule="exact"/>
        </w:trPr>
        <w:tc>
          <w:tcPr>
            <w:tcW w:w="1702" w:type="dxa"/>
            <w:vMerge/>
            <w:tcBorders>
              <w:left w:val="single" w:sz="6" w:space="0" w:color="000000"/>
              <w:bottom w:val="single" w:sz="6" w:space="0" w:color="000000"/>
              <w:right w:val="single" w:sz="6" w:space="0" w:color="000000"/>
            </w:tcBorders>
            <w:shd w:val="clear" w:color="auto" w:fill="D4D4D4"/>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249,468,524.07</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116,010.97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249,352,513.10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260,290,687.36</w:t>
            </w:r>
            <w:r>
              <w:rPr>
                <w:rFonts w:ascii="Times New Roman"/>
                <w:sz w:val="18"/>
              </w:rPr>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260,290,687.36</w:t>
            </w:r>
            <w:r>
              <w:rPr>
                <w:rFonts w:ascii="Times New Roman"/>
                <w:sz w:val="18"/>
              </w:rPr>
            </w:r>
          </w:p>
        </w:tc>
      </w:tr>
      <w:tr>
        <w:trPr>
          <w:trHeight w:val="406" w:hRule="exact"/>
        </w:trPr>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130,774,223.87</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130,774,223.87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154,608,709.16</w:t>
            </w:r>
            <w:r>
              <w:rPr>
                <w:rFonts w:ascii="Times New Roman"/>
                <w:sz w:val="18"/>
              </w:rPr>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154,608,709.16</w:t>
            </w:r>
            <w:r>
              <w:rPr>
                <w:rFonts w:ascii="Times New Roman"/>
                <w:sz w:val="18"/>
              </w:rPr>
            </w:r>
          </w:p>
        </w:tc>
      </w:tr>
      <w:tr>
        <w:trPr>
          <w:trHeight w:val="720" w:hRule="exact"/>
        </w:trPr>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1,716,213,200.4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9,879,617.0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1,706,333,583.4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1,304,114,352.4</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7</w:t>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1,304,114,352.</w:t>
            </w:r>
          </w:p>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47</w:t>
            </w:r>
          </w:p>
        </w:tc>
      </w:tr>
      <w:tr>
        <w:trPr>
          <w:trHeight w:val="40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57,037,675.65</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9" w:right="0"/>
              <w:jc w:val="center"/>
              <w:rPr>
                <w:rFonts w:ascii="Times New Roman" w:hAnsi="Times New Roman" w:cs="Times New Roman" w:eastAsia="Times New Roman" w:hint="default"/>
                <w:sz w:val="18"/>
                <w:szCs w:val="18"/>
              </w:rPr>
            </w:pPr>
            <w:r>
              <w:rPr>
                <w:rFonts w:ascii="Times New Roman"/>
                <w:sz w:val="18"/>
              </w:rPr>
              <w:t>57,037,675.65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66,524,246.22</w:t>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66,524,246.22</w:t>
            </w:r>
          </w:p>
        </w:tc>
      </w:tr>
      <w:tr>
        <w:trPr>
          <w:trHeight w:val="720" w:hRule="exact"/>
        </w:trPr>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2,153,493,624.0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9,995,627.9</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2,143,497,996.1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1,785,537,995.2</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1</w:t>
            </w:r>
          </w:p>
        </w:tc>
        <w:tc>
          <w:tcPr>
            <w:tcW w:w="1116"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1,785,537,995.</w:t>
            </w:r>
            <w:r>
              <w:rPr>
                <w:rFonts w:ascii="Times New Roman"/>
                <w:sz w:val="18"/>
              </w:rPr>
            </w:r>
          </w:p>
          <w:p>
            <w:pPr>
              <w:pStyle w:val="TableParagraph"/>
              <w:spacing w:line="240" w:lineRule="auto" w:before="102"/>
              <w:ind w:right="93"/>
              <w:jc w:val="right"/>
              <w:rPr>
                <w:rFonts w:ascii="Times New Roman" w:hAnsi="Times New Roman" w:cs="Times New Roman" w:eastAsia="Times New Roman" w:hint="default"/>
                <w:sz w:val="18"/>
                <w:szCs w:val="18"/>
              </w:rPr>
            </w:pPr>
            <w:r>
              <w:rPr>
                <w:rFonts w:ascii="Times New Roman"/>
                <w:sz w:val="18"/>
              </w:rPr>
              <w:t>21</w:t>
            </w:r>
          </w:p>
        </w:tc>
      </w:tr>
    </w:tbl>
    <w:p>
      <w:pPr>
        <w:spacing w:line="240" w:lineRule="auto" w:before="3"/>
        <w:rPr>
          <w:rFonts w:ascii="宋体" w:hAnsi="宋体" w:cs="宋体" w:eastAsia="宋体" w:hint="default"/>
          <w:b/>
          <w:bCs/>
          <w:sz w:val="19"/>
          <w:szCs w:val="19"/>
        </w:rPr>
      </w:pPr>
    </w:p>
    <w:p>
      <w:pPr>
        <w:pStyle w:val="Heading3"/>
        <w:spacing w:line="240" w:lineRule="auto"/>
        <w:ind w:left="652" w:right="222"/>
        <w:jc w:val="left"/>
        <w:rPr>
          <w:b w:val="0"/>
          <w:bCs w:val="0"/>
        </w:rPr>
      </w:pPr>
      <w:r>
        <w:rPr>
          <w:rFonts w:ascii="宋体" w:hAnsi="宋体" w:cs="宋体" w:eastAsia="宋体" w:hint="default"/>
        </w:rPr>
        <w:t>(2)</w:t>
      </w:r>
      <w:r>
        <w:rPr/>
        <w:t>存货跌价准备</w:t>
      </w:r>
      <w:r>
        <w:rPr>
          <w:b w:val="0"/>
          <w:bCs w:val="0"/>
        </w:rPr>
      </w:r>
    </w:p>
    <w:p>
      <w:pPr>
        <w:spacing w:line="240" w:lineRule="auto" w:before="12"/>
        <w:rPr>
          <w:rFonts w:ascii="宋体" w:hAnsi="宋体" w:cs="宋体" w:eastAsia="宋体" w:hint="default"/>
          <w:b/>
          <w:bCs/>
          <w:sz w:val="26"/>
          <w:szCs w:val="26"/>
        </w:rPr>
      </w:pPr>
    </w:p>
    <w:tbl>
      <w:tblPr>
        <w:tblW w:w="0" w:type="auto"/>
        <w:jc w:val="left"/>
        <w:tblInd w:w="22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116,010.97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116,010.97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9,879,617.01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9,879,617.01</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9,995,627.98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9,995,627.98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00" w:right="980"/>
        </w:sectPr>
      </w:pPr>
    </w:p>
    <w:p>
      <w:pPr>
        <w:spacing w:line="240" w:lineRule="auto" w:before="11"/>
        <w:rPr>
          <w:rFonts w:ascii="宋体" w:hAnsi="宋体" w:cs="宋体" w:eastAsia="宋体" w:hint="default"/>
          <w:b/>
          <w:bCs/>
          <w:sz w:val="20"/>
          <w:szCs w:val="20"/>
        </w:rPr>
      </w:pPr>
    </w:p>
    <w:p>
      <w:pPr>
        <w:pStyle w:val="Heading3"/>
        <w:spacing w:line="240" w:lineRule="auto"/>
        <w:ind w:left="652" w:right="0"/>
        <w:jc w:val="left"/>
        <w:rPr>
          <w:b w:val="0"/>
          <w:bCs w:val="0"/>
        </w:rPr>
      </w:pPr>
      <w:bookmarkStart w:name="(4)报告期内可供出售金融资产减值的变动情况" w:id="239"/>
      <w:bookmarkEnd w:id="239"/>
      <w:r>
        <w:rPr>
          <w:b w:val="0"/>
          <w:bCs w:val="0"/>
        </w:rPr>
      </w:r>
      <w:r>
        <w:rPr>
          <w:rFonts w:ascii="宋体" w:hAnsi="宋体" w:cs="宋体" w:eastAsia="宋体" w:hint="default"/>
        </w:rPr>
        <w:t>8</w:t>
      </w:r>
      <w:r>
        <w:rPr/>
        <w:t>、其他流动资产</w:t>
      </w:r>
      <w:r>
        <w:rPr>
          <w:b w:val="0"/>
          <w:bCs w:val="0"/>
        </w:rPr>
      </w:r>
    </w:p>
    <w:p>
      <w:pPr>
        <w:spacing w:line="240" w:lineRule="auto" w:before="12"/>
        <w:rPr>
          <w:rFonts w:ascii="宋体" w:hAnsi="宋体" w:cs="宋体" w:eastAsia="宋体" w:hint="default"/>
          <w:b/>
          <w:bCs/>
          <w:sz w:val="26"/>
          <w:szCs w:val="26"/>
        </w:rPr>
      </w:pPr>
    </w:p>
    <w:tbl>
      <w:tblPr>
        <w:tblW w:w="0" w:type="auto"/>
        <w:jc w:val="left"/>
        <w:tblInd w:w="22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6,709,049.47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4,412,142.69</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839,000,000.00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857,709,049.47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843,412,142.69</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535" w:lineRule="auto"/>
        <w:ind w:left="652" w:right="6968"/>
        <w:jc w:val="left"/>
        <w:rPr>
          <w:b w:val="0"/>
          <w:bCs w:val="0"/>
        </w:rPr>
      </w:pPr>
      <w:r>
        <w:rPr>
          <w:rFonts w:ascii="宋体" w:hAnsi="宋体" w:cs="宋体" w:eastAsia="宋体" w:hint="default"/>
        </w:rPr>
        <w:t>9</w:t>
      </w:r>
      <w:r>
        <w:rPr/>
        <w:t>、可供出售金融资产</w:t>
      </w:r>
      <w:r>
        <w:rPr>
          <w:spacing w:val="-103"/>
        </w:rPr>
        <w:t> </w:t>
      </w:r>
      <w:r>
        <w:rPr>
          <w:rFonts w:ascii="宋体" w:hAnsi="宋体" w:cs="宋体" w:eastAsia="宋体" w:hint="default"/>
        </w:rPr>
        <w:t>(1)</w:t>
      </w:r>
      <w:bookmarkStart w:name="9、可供出售金融资产" w:id="240"/>
      <w:bookmarkEnd w:id="240"/>
      <w:r>
        <w:rPr>
          <w:rFonts w:ascii="宋体" w:hAnsi="宋体" w:cs="宋体" w:eastAsia="宋体" w:hint="default"/>
        </w:rPr>
      </w:r>
      <w:r>
        <w:rPr/>
        <w:t>可供出售金融资产情况</w:t>
      </w:r>
      <w:r>
        <w:rPr>
          <w:b w:val="0"/>
          <w:bCs w:val="0"/>
        </w:rPr>
      </w:r>
    </w:p>
    <w:p>
      <w:pPr>
        <w:spacing w:line="240" w:lineRule="auto" w:before="2"/>
        <w:rPr>
          <w:rFonts w:ascii="宋体" w:hAnsi="宋体" w:cs="宋体" w:eastAsia="宋体" w:hint="default"/>
          <w:b/>
          <w:bCs/>
          <w:sz w:val="7"/>
          <w:szCs w:val="7"/>
        </w:rPr>
      </w:pPr>
    </w:p>
    <w:tbl>
      <w:tblPr>
        <w:tblW w:w="0" w:type="auto"/>
        <w:jc w:val="left"/>
        <w:tblInd w:w="240" w:type="dxa"/>
        <w:tblLayout w:type="fixed"/>
        <w:tblCellMar>
          <w:top w:w="0" w:type="dxa"/>
          <w:left w:w="0" w:type="dxa"/>
          <w:bottom w:w="0" w:type="dxa"/>
          <w:right w:w="0" w:type="dxa"/>
        </w:tblCellMar>
        <w:tblLook w:val="01E0"/>
      </w:tblPr>
      <w:tblGrid>
        <w:gridCol w:w="1976"/>
        <w:gridCol w:w="1206"/>
        <w:gridCol w:w="1198"/>
        <w:gridCol w:w="1195"/>
        <w:gridCol w:w="1248"/>
        <w:gridCol w:w="1368"/>
        <w:gridCol w:w="1366"/>
      </w:tblGrid>
      <w:tr>
        <w:trPr>
          <w:trHeight w:val="206" w:hRule="exact"/>
        </w:trPr>
        <w:tc>
          <w:tcPr>
            <w:tcW w:w="1976" w:type="dxa"/>
            <w:tcBorders>
              <w:top w:val="single" w:sz="4" w:space="0" w:color="000000"/>
              <w:left w:val="single" w:sz="4" w:space="0" w:color="000000"/>
              <w:bottom w:val="nil" w:sz="6" w:space="0" w:color="auto"/>
              <w:right w:val="single" w:sz="4" w:space="0" w:color="000000"/>
            </w:tcBorders>
            <w:shd w:val="clear" w:color="auto" w:fill="D4D4D4"/>
          </w:tcPr>
          <w:p>
            <w:pPr/>
          </w:p>
        </w:tc>
        <w:tc>
          <w:tcPr>
            <w:tcW w:w="359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bookmarkStart w:name="(1)可供出售金融资产情况" w:id="241"/>
            <w:bookmarkEnd w:id="241"/>
            <w:r>
              <w:rPr/>
            </w: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7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76" w:type="dxa"/>
            <w:vMerge/>
            <w:tcBorders>
              <w:left w:val="single" w:sz="4" w:space="0" w:color="000000"/>
              <w:bottom w:val="nil" w:sz="6" w:space="0" w:color="auto"/>
              <w:right w:val="single" w:sz="4" w:space="0" w:color="000000"/>
            </w:tcBorders>
            <w:shd w:val="clear" w:color="auto" w:fill="D4D4D4"/>
          </w:tcPr>
          <w:p>
            <w:pPr/>
          </w:p>
        </w:tc>
        <w:tc>
          <w:tcPr>
            <w:tcW w:w="120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6"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13,615,098.78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5,355,323.65</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3,813,500.17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355,323.65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3,813,500.17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r>
        <w:trPr>
          <w:trHeight w:val="401" w:hRule="exact"/>
        </w:trPr>
        <w:tc>
          <w:tcPr>
            <w:tcW w:w="1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13,615,098.78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5,355,323.65</w:t>
            </w:r>
            <w:r>
              <w:rPr>
                <w:rFonts w:ascii="Times New Roman"/>
                <w:sz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3,813,500.17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left="652" w:right="0"/>
        <w:jc w:val="left"/>
        <w:rPr>
          <w:b w:val="0"/>
          <w:bCs w:val="0"/>
        </w:rPr>
      </w:pPr>
      <w:r>
        <w:rPr>
          <w:rFonts w:ascii="宋体" w:hAnsi="宋体" w:cs="宋体" w:eastAsia="宋体" w:hint="default"/>
        </w:rPr>
        <w:t>(2)</w:t>
      </w:r>
      <w:r>
        <w:rPr/>
        <w:t>期末按公允价值计量的可供出售金融资产</w:t>
      </w:r>
      <w:r>
        <w:rPr>
          <w:b w:val="0"/>
          <w:bCs w:val="0"/>
        </w:rPr>
      </w:r>
    </w:p>
    <w:p>
      <w:pPr>
        <w:spacing w:line="240" w:lineRule="auto" w:before="9"/>
        <w:rPr>
          <w:rFonts w:ascii="宋体" w:hAnsi="宋体" w:cs="宋体" w:eastAsia="宋体" w:hint="default"/>
          <w:b/>
          <w:bCs/>
          <w:sz w:val="26"/>
          <w:szCs w:val="26"/>
        </w:rPr>
      </w:pPr>
    </w:p>
    <w:tbl>
      <w:tblPr>
        <w:tblW w:w="0" w:type="auto"/>
        <w:jc w:val="left"/>
        <w:tblInd w:w="240" w:type="dxa"/>
        <w:tblLayout w:type="fixed"/>
        <w:tblCellMar>
          <w:top w:w="0" w:type="dxa"/>
          <w:left w:w="0" w:type="dxa"/>
          <w:bottom w:w="0" w:type="dxa"/>
          <w:right w:w="0" w:type="dxa"/>
        </w:tblCellMar>
        <w:tblLook w:val="01E0"/>
      </w:tblPr>
      <w:tblGrid>
        <w:gridCol w:w="1903"/>
        <w:gridCol w:w="1913"/>
        <w:gridCol w:w="1915"/>
        <w:gridCol w:w="1915"/>
        <w:gridCol w:w="1915"/>
      </w:tblGrid>
      <w:tr>
        <w:trPr>
          <w:trHeight w:val="163"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324" w:right="91" w:hanging="226"/>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宋体" w:hAnsi="宋体" w:cs="宋体" w:eastAsia="宋体" w:hint="default"/>
                <w:sz w:val="18"/>
                <w:szCs w:val="18"/>
              </w:rPr>
              <w:t>/</w:t>
            </w:r>
            <w:r>
              <w:rPr>
                <w:rFonts w:ascii="宋体" w:hAnsi="宋体" w:cs="宋体" w:eastAsia="宋体" w:hint="default"/>
                <w:sz w:val="18"/>
                <w:szCs w:val="18"/>
              </w:rPr>
              <w:t>债务 工具的摊余成本</w:t>
            </w: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1"/>
              <w:ind w:left="143" w:right="50" w:hanging="92"/>
              <w:jc w:val="left"/>
              <w:rPr>
                <w:rFonts w:ascii="宋体" w:hAnsi="宋体" w:cs="宋体" w:eastAsia="宋体" w:hint="default"/>
                <w:sz w:val="18"/>
                <w:szCs w:val="18"/>
              </w:rPr>
            </w:pPr>
            <w:bookmarkStart w:name="(2)期末按公允价值计量的可供出售金融资产" w:id="242"/>
            <w:bookmarkEnd w:id="242"/>
            <w:r>
              <w:rPr/>
            </w:r>
            <w:r>
              <w:rPr>
                <w:rFonts w:ascii="宋体" w:hAnsi="宋体" w:cs="宋体" w:eastAsia="宋体" w:hint="default"/>
                <w:sz w:val="18"/>
                <w:szCs w:val="18"/>
              </w:rPr>
              <w:t>累计计入其他综合收益 的公允价值变动金额</w:t>
            </w: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vMerge/>
            <w:tcBorders>
              <w:left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vMerge/>
            <w:tcBorders>
              <w:left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355,323.65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8,615,098.78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355,323.65</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left="652" w:right="0"/>
        <w:jc w:val="left"/>
        <w:rPr>
          <w:b w:val="0"/>
          <w:bCs w:val="0"/>
        </w:rPr>
      </w:pPr>
      <w:r>
        <w:rPr>
          <w:rFonts w:ascii="宋体" w:hAnsi="宋体" w:cs="宋体" w:eastAsia="宋体" w:hint="default"/>
        </w:rPr>
        <w:t>(3)</w:t>
      </w:r>
      <w:r>
        <w:rPr/>
        <w:t>期末按成本计量的可供出售金融资产</w:t>
      </w:r>
      <w:r>
        <w:rPr>
          <w:b w:val="0"/>
          <w:bCs w:val="0"/>
        </w:rPr>
      </w:r>
    </w:p>
    <w:p>
      <w:pPr>
        <w:spacing w:line="240" w:lineRule="auto" w:before="12"/>
        <w:rPr>
          <w:rFonts w:ascii="宋体" w:hAnsi="宋体" w:cs="宋体" w:eastAsia="宋体" w:hint="default"/>
          <w:b/>
          <w:bCs/>
          <w:sz w:val="26"/>
          <w:szCs w:val="26"/>
        </w:rPr>
      </w:pPr>
    </w:p>
    <w:tbl>
      <w:tblPr>
        <w:tblW w:w="0" w:type="auto"/>
        <w:jc w:val="left"/>
        <w:tblInd w:w="120" w:type="dxa"/>
        <w:tblLayout w:type="fixed"/>
        <w:tblCellMar>
          <w:top w:w="0" w:type="dxa"/>
          <w:left w:w="0" w:type="dxa"/>
          <w:bottom w:w="0" w:type="dxa"/>
          <w:right w:w="0" w:type="dxa"/>
        </w:tblCellMar>
        <w:tblLook w:val="01E0"/>
      </w:tblPr>
      <w:tblGrid>
        <w:gridCol w:w="2126"/>
        <w:gridCol w:w="533"/>
        <w:gridCol w:w="1169"/>
        <w:gridCol w:w="566"/>
        <w:gridCol w:w="1243"/>
        <w:gridCol w:w="458"/>
        <w:gridCol w:w="566"/>
        <w:gridCol w:w="569"/>
        <w:gridCol w:w="593"/>
        <w:gridCol w:w="1106"/>
        <w:gridCol w:w="634"/>
      </w:tblGrid>
      <w:tr>
        <w:trPr>
          <w:trHeight w:val="401" w:hRule="exact"/>
        </w:trPr>
        <w:tc>
          <w:tcPr>
            <w:tcW w:w="2126" w:type="dxa"/>
            <w:vMerge w:val="restart"/>
            <w:tcBorders>
              <w:top w:val="single" w:sz="4" w:space="0" w:color="000000"/>
              <w:left w:val="single" w:sz="4" w:space="0" w:color="000000"/>
              <w:right w:val="single" w:sz="4" w:space="0" w:color="000000"/>
            </w:tcBorders>
          </w:tcPr>
          <w:p>
            <w:pPr>
              <w:pStyle w:val="TableParagraph"/>
              <w:spacing w:line="240" w:lineRule="auto" w:before="49"/>
              <w:ind w:left="60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5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06" w:type="dxa"/>
            <w:vMerge w:val="restart"/>
            <w:tcBorders>
              <w:top w:val="single" w:sz="4" w:space="0" w:color="000000"/>
              <w:left w:val="single" w:sz="4" w:space="0" w:color="000000"/>
              <w:right w:val="single" w:sz="4" w:space="0" w:color="000000"/>
            </w:tcBorders>
          </w:tcPr>
          <w:p>
            <w:pPr>
              <w:pStyle w:val="TableParagraph"/>
              <w:spacing w:line="316" w:lineRule="auto" w:before="49"/>
              <w:ind w:left="189" w:right="18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634" w:type="dxa"/>
            <w:vMerge w:val="restart"/>
            <w:tcBorders>
              <w:top w:val="single" w:sz="4" w:space="0" w:color="000000"/>
              <w:left w:val="single" w:sz="4" w:space="0" w:color="000000"/>
              <w:right w:val="single" w:sz="4" w:space="0" w:color="000000"/>
            </w:tcBorders>
          </w:tcPr>
          <w:p>
            <w:pPr>
              <w:pStyle w:val="TableParagraph"/>
              <w:spacing w:line="316" w:lineRule="auto" w:before="48"/>
              <w:ind w:left="131" w:right="130"/>
              <w:jc w:val="both"/>
              <w:rPr>
                <w:rFonts w:ascii="宋体" w:hAnsi="宋体" w:cs="宋体" w:eastAsia="宋体" w:hint="default"/>
                <w:sz w:val="18"/>
                <w:szCs w:val="18"/>
              </w:rPr>
            </w:pPr>
            <w:bookmarkStart w:name="(3)期末按成本计量的可供出售金融资产" w:id="243"/>
            <w:bookmarkEnd w:id="243"/>
            <w:r>
              <w:rPr/>
            </w:r>
            <w:r>
              <w:rPr>
                <w:rFonts w:ascii="宋体" w:hAnsi="宋体" w:cs="宋体" w:eastAsia="宋体" w:hint="default"/>
                <w:sz w:val="18"/>
                <w:szCs w:val="18"/>
              </w:rPr>
              <w:t>本期 现金 红利</w:t>
            </w:r>
          </w:p>
        </w:tc>
      </w:tr>
      <w:tr>
        <w:trPr>
          <w:trHeight w:val="1339" w:hRule="exact"/>
        </w:trPr>
        <w:tc>
          <w:tcPr>
            <w:tcW w:w="2126" w:type="dxa"/>
            <w:vMerge/>
            <w:tcBorders>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72" w:right="168"/>
              <w:jc w:val="left"/>
              <w:rPr>
                <w:rFonts w:ascii="宋体" w:hAnsi="宋体" w:cs="宋体" w:eastAsia="宋体" w:hint="default"/>
                <w:sz w:val="18"/>
                <w:szCs w:val="18"/>
              </w:rPr>
            </w:pPr>
            <w:r>
              <w:rPr>
                <w:rFonts w:ascii="宋体" w:hAnsi="宋体" w:cs="宋体" w:eastAsia="宋体" w:hint="default"/>
                <w:sz w:val="18"/>
                <w:szCs w:val="18"/>
              </w:rPr>
              <w:t>期 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7" w:right="187"/>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34" w:right="132"/>
              <w:jc w:val="left"/>
              <w:rPr>
                <w:rFonts w:ascii="宋体" w:hAnsi="宋体" w:cs="宋体" w:eastAsia="宋体" w:hint="default"/>
                <w:sz w:val="18"/>
                <w:szCs w:val="18"/>
              </w:rPr>
            </w:pPr>
            <w:r>
              <w:rPr>
                <w:rFonts w:ascii="宋体" w:hAnsi="宋体" w:cs="宋体" w:eastAsia="宋体" w:hint="default"/>
                <w:sz w:val="18"/>
                <w:szCs w:val="18"/>
              </w:rPr>
              <w:t>期 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87" w:right="187"/>
              <w:jc w:val="both"/>
              <w:rPr>
                <w:rFonts w:ascii="宋体" w:hAnsi="宋体" w:cs="宋体" w:eastAsia="宋体" w:hint="default"/>
                <w:sz w:val="18"/>
                <w:szCs w:val="18"/>
              </w:rPr>
            </w:pPr>
            <w:r>
              <w:rPr>
                <w:rFonts w:ascii="宋体" w:hAnsi="宋体" w:cs="宋体" w:eastAsia="宋体" w:hint="default"/>
                <w:sz w:val="18"/>
                <w:szCs w:val="18"/>
              </w:rPr>
              <w:t>本 期 增 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89" w:right="187"/>
              <w:jc w:val="both"/>
              <w:rPr>
                <w:rFonts w:ascii="宋体" w:hAnsi="宋体" w:cs="宋体" w:eastAsia="宋体" w:hint="default"/>
                <w:sz w:val="18"/>
                <w:szCs w:val="18"/>
              </w:rPr>
            </w:pPr>
            <w:r>
              <w:rPr>
                <w:rFonts w:ascii="宋体" w:hAnsi="宋体" w:cs="宋体" w:eastAsia="宋体" w:hint="default"/>
                <w:sz w:val="18"/>
                <w:szCs w:val="18"/>
              </w:rPr>
              <w:t>本 期 减 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106"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1"/>
              <w:jc w:val="left"/>
              <w:rPr>
                <w:rFonts w:ascii="宋体" w:hAnsi="宋体" w:cs="宋体" w:eastAsia="宋体" w:hint="default"/>
                <w:sz w:val="18"/>
                <w:szCs w:val="18"/>
              </w:rPr>
            </w:pPr>
            <w:r>
              <w:rPr>
                <w:rFonts w:ascii="宋体" w:hAnsi="宋体" w:cs="宋体" w:eastAsia="宋体" w:hint="default"/>
                <w:sz w:val="18"/>
                <w:szCs w:val="18"/>
              </w:rPr>
              <w:t>广东安达金融保安押运 有限公司</w:t>
            </w:r>
          </w:p>
        </w:tc>
        <w:tc>
          <w:tcPr>
            <w:tcW w:w="53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5,000,000.00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5.00%</w:t>
            </w:r>
          </w:p>
        </w:tc>
        <w:tc>
          <w:tcPr>
            <w:tcW w:w="63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3"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5,000,000.00</w:t>
            </w:r>
          </w:p>
        </w:tc>
        <w:tc>
          <w:tcPr>
            <w:tcW w:w="4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left="652" w:right="0"/>
        <w:jc w:val="left"/>
        <w:rPr>
          <w:b w:val="0"/>
          <w:bCs w:val="0"/>
        </w:rPr>
      </w:pPr>
      <w:r>
        <w:rPr>
          <w:rFonts w:ascii="宋体" w:hAnsi="宋体" w:cs="宋体" w:eastAsia="宋体" w:hint="default"/>
        </w:rPr>
        <w:t>(4)</w:t>
      </w:r>
      <w:r>
        <w:rPr/>
        <w:t>报告期内可供出售金融资产减值的变动情况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17" w:type="dxa"/>
        <w:tblLayout w:type="fixed"/>
        <w:tblCellMar>
          <w:top w:w="0" w:type="dxa"/>
          <w:left w:w="0" w:type="dxa"/>
          <w:bottom w:w="0" w:type="dxa"/>
          <w:right w:w="0" w:type="dxa"/>
        </w:tblCellMar>
        <w:tblLook w:val="01E0"/>
      </w:tblPr>
      <w:tblGrid>
        <w:gridCol w:w="1915"/>
        <w:gridCol w:w="1913"/>
        <w:gridCol w:w="1416"/>
        <w:gridCol w:w="1589"/>
        <w:gridCol w:w="1274"/>
        <w:gridCol w:w="1702"/>
      </w:tblGrid>
      <w:tr>
        <w:trPr>
          <w:trHeight w:val="407" w:hRule="exact"/>
        </w:trPr>
        <w:tc>
          <w:tcPr>
            <w:tcW w:w="1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可供出售金融资产分</w:t>
            </w:r>
          </w:p>
        </w:tc>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41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9"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9"/>
                <w:sz w:val="18"/>
                <w:szCs w:val="18"/>
              </w:rPr>
              <w:t>其中：从其他综合</w:t>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期末已计提减值余</w:t>
            </w:r>
          </w:p>
        </w:tc>
      </w:tr>
    </w:tbl>
    <w:p>
      <w:pPr>
        <w:spacing w:after="0" w:line="240" w:lineRule="auto"/>
        <w:jc w:val="left"/>
        <w:rPr>
          <w:rFonts w:ascii="宋体" w:hAnsi="宋体" w:cs="宋体" w:eastAsia="宋体" w:hint="default"/>
          <w:sz w:val="18"/>
          <w:szCs w:val="18"/>
        </w:rPr>
        <w:sectPr>
          <w:pgSz w:w="11910" w:h="16840"/>
          <w:pgMar w:header="877" w:footer="982" w:top="1100" w:bottom="1180" w:left="900" w:right="940"/>
        </w:sectPr>
      </w:pPr>
    </w:p>
    <w:p>
      <w:pPr>
        <w:spacing w:line="240" w:lineRule="auto" w:before="8"/>
        <w:rPr>
          <w:rFonts w:ascii="宋体" w:hAnsi="宋体" w:cs="宋体" w:eastAsia="宋体" w:hint="default"/>
          <w:b/>
          <w:bCs/>
          <w:sz w:val="24"/>
          <w:szCs w:val="24"/>
        </w:rPr>
      </w:pPr>
    </w:p>
    <w:tbl>
      <w:tblPr>
        <w:tblW w:w="0" w:type="auto"/>
        <w:jc w:val="left"/>
        <w:tblInd w:w="117" w:type="dxa"/>
        <w:tblLayout w:type="fixed"/>
        <w:tblCellMar>
          <w:top w:w="0" w:type="dxa"/>
          <w:left w:w="0" w:type="dxa"/>
          <w:bottom w:w="0" w:type="dxa"/>
          <w:right w:w="0" w:type="dxa"/>
        </w:tblCellMar>
        <w:tblLook w:val="01E0"/>
      </w:tblPr>
      <w:tblGrid>
        <w:gridCol w:w="1915"/>
        <w:gridCol w:w="1913"/>
        <w:gridCol w:w="1416"/>
        <w:gridCol w:w="1589"/>
        <w:gridCol w:w="1274"/>
        <w:gridCol w:w="1702"/>
      </w:tblGrid>
      <w:tr>
        <w:trPr>
          <w:trHeight w:val="367" w:hRule="exact"/>
        </w:trPr>
        <w:tc>
          <w:tcPr>
            <w:tcW w:w="1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类</w:t>
            </w:r>
          </w:p>
        </w:tc>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416"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589"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
              <w:ind w:left="427" w:right="0"/>
              <w:jc w:val="left"/>
              <w:rPr>
                <w:rFonts w:ascii="宋体" w:hAnsi="宋体" w:cs="宋体" w:eastAsia="宋体" w:hint="default"/>
                <w:sz w:val="18"/>
                <w:szCs w:val="18"/>
              </w:rPr>
            </w:pPr>
            <w:r>
              <w:rPr>
                <w:rFonts w:ascii="宋体" w:hAnsi="宋体" w:cs="宋体" w:eastAsia="宋体" w:hint="default"/>
                <w:sz w:val="18"/>
                <w:szCs w:val="18"/>
              </w:rPr>
              <w:t>收益转入</w:t>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702"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3,813,500.17</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158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3"/>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r>
      <w:tr>
        <w:trPr>
          <w:trHeight w:val="408" w:hRule="exact"/>
        </w:trPr>
        <w:tc>
          <w:tcPr>
            <w:tcW w:w="1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3,813,500.17</w:t>
            </w:r>
            <w:r>
              <w:rPr>
                <w:rFonts w:ascii="Times New Roman"/>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4,446,274.96</w:t>
            </w:r>
            <w:r>
              <w:rPr>
                <w:rFonts w:ascii="Times New Roman"/>
                <w:sz w:val="18"/>
              </w:rPr>
            </w:r>
          </w:p>
        </w:tc>
        <w:tc>
          <w:tcPr>
            <w:tcW w:w="158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8,259,775.13</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left="652" w:right="0"/>
        <w:jc w:val="left"/>
        <w:rPr>
          <w:b w:val="0"/>
          <w:bCs w:val="0"/>
        </w:rPr>
      </w:pPr>
      <w:r>
        <w:rPr>
          <w:rFonts w:ascii="Times New Roman" w:hAnsi="Times New Roman" w:cs="Times New Roman" w:eastAsia="Times New Roman" w:hint="default"/>
        </w:rPr>
        <w:t>10</w:t>
      </w:r>
      <w:bookmarkStart w:name="10、长期股权投资" w:id="244"/>
      <w:bookmarkEnd w:id="244"/>
      <w:r>
        <w:rPr>
          <w:rFonts w:ascii="Times New Roman" w:hAnsi="Times New Roman" w:cs="Times New Roman" w:eastAsia="Times New Roman" w:hint="default"/>
        </w:rPr>
      </w:r>
      <w:r>
        <w:rPr/>
        <w:t>、长期股权投资</w:t>
      </w:r>
      <w:r>
        <w:rPr>
          <w:b w:val="0"/>
          <w:bCs w:val="0"/>
        </w:rPr>
      </w:r>
    </w:p>
    <w:p>
      <w:pPr>
        <w:spacing w:line="240" w:lineRule="auto" w:before="9"/>
        <w:rPr>
          <w:rFonts w:ascii="宋体" w:hAnsi="宋体" w:cs="宋体" w:eastAsia="宋体" w:hint="default"/>
          <w:b/>
          <w:bCs/>
          <w:sz w:val="25"/>
          <w:szCs w:val="25"/>
        </w:rPr>
      </w:pPr>
    </w:p>
    <w:tbl>
      <w:tblPr>
        <w:tblW w:w="0" w:type="auto"/>
        <w:jc w:val="left"/>
        <w:tblInd w:w="22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4"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广州市广 百小额贷 款有限公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64,965,08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3,191,848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-4,430,05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63,726,87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both"/>
              <w:rPr>
                <w:rFonts w:ascii="宋体" w:hAnsi="宋体" w:cs="宋体" w:eastAsia="宋体" w:hint="default"/>
                <w:sz w:val="18"/>
                <w:szCs w:val="18"/>
              </w:rPr>
            </w:pPr>
            <w:r>
              <w:rPr>
                <w:rFonts w:ascii="宋体" w:hAnsi="宋体" w:cs="宋体" w:eastAsia="宋体" w:hint="default"/>
                <w:sz w:val="18"/>
                <w:szCs w:val="18"/>
              </w:rPr>
              <w:t>广州市 力沛企 业管理 咨询有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907,65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1,941,3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71.76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-636,88</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5.36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2,212,1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65,872,73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5,133,220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-5,066,93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7.13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65,939,01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left="652"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652" w:right="0"/>
        <w:jc w:val="left"/>
        <w:rPr>
          <w:b w:val="0"/>
          <w:bCs w:val="0"/>
        </w:rPr>
      </w:pPr>
      <w:r>
        <w:rPr>
          <w:rFonts w:ascii="宋体" w:hAnsi="宋体" w:cs="宋体" w:eastAsia="宋体"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tbl>
      <w:tblPr>
        <w:tblW w:w="0" w:type="auto"/>
        <w:jc w:val="left"/>
        <w:tblInd w:w="120" w:type="dxa"/>
        <w:tblLayout w:type="fixed"/>
        <w:tblCellMar>
          <w:top w:w="0" w:type="dxa"/>
          <w:left w:w="0" w:type="dxa"/>
          <w:bottom w:w="0" w:type="dxa"/>
          <w:right w:w="0" w:type="dxa"/>
        </w:tblCellMar>
        <w:tblLook w:val="01E0"/>
      </w:tblPr>
      <w:tblGrid>
        <w:gridCol w:w="3686"/>
        <w:gridCol w:w="1702"/>
        <w:gridCol w:w="1274"/>
        <w:gridCol w:w="1418"/>
        <w:gridCol w:w="1490"/>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11、投资性房地产" w:id="245"/>
            <w:bookmarkEnd w:id="245"/>
            <w:r>
              <w:rPr/>
            </w:r>
            <w:bookmarkStart w:name="(1)采用成本计量模式的投资性房地产" w:id="246"/>
            <w:bookmarkEnd w:id="246"/>
            <w:r>
              <w:rPr/>
            </w:r>
            <w:r>
              <w:rPr>
                <w:rFonts w:ascii="宋体" w:hAnsi="宋体" w:cs="宋体" w:eastAsia="宋体" w:hint="default"/>
                <w:sz w:val="18"/>
                <w:szCs w:val="18"/>
              </w:rPr>
              <w:t>合计</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36,109,712.80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36,109,712.80</w:t>
            </w:r>
            <w:r>
              <w:rPr>
                <w:rFonts w:ascii="Times New Roman"/>
                <w:sz w:val="18"/>
              </w:rPr>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3,529,888.33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3,529,888.33</w:t>
            </w:r>
            <w:r>
              <w:rPr>
                <w:rFonts w:ascii="Times New Roman"/>
                <w:sz w:val="18"/>
              </w:rPr>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3,529,888.33</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3,529,888.33</w:t>
            </w:r>
            <w:r>
              <w:rPr>
                <w:rFonts w:ascii="Times New Roman"/>
                <w:sz w:val="18"/>
              </w:rPr>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39,639,601.13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39,639,601.13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00" w:right="94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3685"/>
        <w:gridCol w:w="1702"/>
        <w:gridCol w:w="1274"/>
        <w:gridCol w:w="1418"/>
        <w:gridCol w:w="1490"/>
      </w:tblGrid>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2,312,058.71</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2,312,058.71</w:t>
            </w:r>
            <w:r>
              <w:rPr>
                <w:rFonts w:ascii="Times New Roman"/>
                <w:sz w:val="18"/>
              </w:rPr>
            </w: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1,022,017.48</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1,022,017.48</w:t>
            </w:r>
            <w:r>
              <w:rPr>
                <w:rFonts w:ascii="Times New Roman"/>
                <w:sz w:val="18"/>
              </w:rPr>
            </w: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1,022,017.48</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1,022,017.48</w:t>
            </w:r>
            <w:r>
              <w:rPr>
                <w:rFonts w:ascii="Times New Roman"/>
                <w:sz w:val="18"/>
              </w:rPr>
            </w: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3,334,076.19</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3,334,076.19</w:t>
            </w:r>
            <w:r>
              <w:rPr>
                <w:rFonts w:ascii="Times New Roman"/>
                <w:sz w:val="18"/>
              </w:rPr>
            </w: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36,305,524.94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36,305,524.94</w:t>
            </w:r>
          </w:p>
        </w:tc>
      </w:tr>
      <w:tr>
        <w:trPr>
          <w:trHeight w:val="403"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33,797,654.09</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33,797,654.09</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bookmarkStart w:name="(1)固定资产情况" w:id="247"/>
      <w:bookmarkEnd w:id="247"/>
      <w:r>
        <w:rPr>
          <w:b w:val="0"/>
          <w:bCs w:val="0"/>
        </w:rPr>
      </w:r>
      <w:r>
        <w:rPr>
          <w:rFonts w:ascii="宋体" w:hAnsi="宋体" w:cs="宋体" w:eastAsia="宋体" w:hint="default"/>
        </w:rPr>
        <w:t>(2)</w:t>
      </w:r>
      <w:r>
        <w:rPr/>
        <w:t>期末没有未办妥产权证书的投资性房地产。</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before="0"/>
        <w:ind w:left="632" w:right="101"/>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738" w:right="101"/>
        <w:jc w:val="left"/>
        <w:rPr>
          <w:b w:val="0"/>
          <w:bCs w:val="0"/>
        </w:rPr>
      </w:pPr>
      <w:r>
        <w:rPr>
          <w:rFonts w:ascii="宋体" w:hAnsi="宋体" w:cs="宋体" w:eastAsia="宋体" w:hint="default"/>
        </w:rPr>
        <w:t>(1)</w:t>
      </w:r>
      <w:r>
        <w:rPr/>
        <w:t>固定资产情况</w:t>
      </w:r>
      <w:r>
        <w:rPr>
          <w:b w:val="0"/>
          <w:bCs w:val="0"/>
        </w:rPr>
      </w:r>
    </w:p>
    <w:p>
      <w:pPr>
        <w:spacing w:line="240" w:lineRule="auto" w:before="9"/>
        <w:rPr>
          <w:rFonts w:ascii="宋体" w:hAnsi="宋体" w:cs="宋体" w:eastAsia="宋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846"/>
        <w:gridCol w:w="880"/>
        <w:gridCol w:w="869"/>
        <w:gridCol w:w="869"/>
        <w:gridCol w:w="869"/>
        <w:gridCol w:w="871"/>
        <w:gridCol w:w="869"/>
        <w:gridCol w:w="869"/>
        <w:gridCol w:w="869"/>
        <w:gridCol w:w="869"/>
        <w:gridCol w:w="869"/>
      </w:tblGrid>
      <w:tr>
        <w:trPr>
          <w:trHeight w:val="1027"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1" w:right="156"/>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0" w:right="156" w:hanging="180"/>
              <w:jc w:val="left"/>
              <w:rPr>
                <w:rFonts w:ascii="宋体" w:hAnsi="宋体" w:cs="宋体" w:eastAsia="宋体" w:hint="default"/>
                <w:sz w:val="18"/>
                <w:szCs w:val="18"/>
              </w:rPr>
            </w:pPr>
            <w:r>
              <w:rPr>
                <w:rFonts w:ascii="宋体" w:hAnsi="宋体" w:cs="宋体" w:eastAsia="宋体" w:hint="default"/>
                <w:sz w:val="18"/>
                <w:szCs w:val="18"/>
              </w:rPr>
              <w:t>运输设 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0" w:right="156" w:hanging="180"/>
              <w:jc w:val="left"/>
              <w:rPr>
                <w:rFonts w:ascii="宋体" w:hAnsi="宋体" w:cs="宋体" w:eastAsia="宋体" w:hint="default"/>
                <w:sz w:val="18"/>
                <w:szCs w:val="18"/>
              </w:rPr>
            </w:pPr>
            <w:r>
              <w:rPr>
                <w:rFonts w:ascii="宋体" w:hAnsi="宋体" w:cs="宋体" w:eastAsia="宋体" w:hint="default"/>
                <w:sz w:val="18"/>
                <w:szCs w:val="18"/>
              </w:rPr>
              <w:t>专用设 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0" w:right="156" w:hanging="180"/>
              <w:jc w:val="left"/>
              <w:rPr>
                <w:rFonts w:ascii="宋体" w:hAnsi="宋体" w:cs="宋体" w:eastAsia="宋体" w:hint="default"/>
                <w:sz w:val="18"/>
                <w:szCs w:val="18"/>
              </w:rPr>
            </w:pPr>
            <w:r>
              <w:rPr>
                <w:rFonts w:ascii="宋体" w:hAnsi="宋体" w:cs="宋体" w:eastAsia="宋体" w:hint="default"/>
                <w:sz w:val="18"/>
                <w:szCs w:val="18"/>
              </w:rPr>
              <w:t>电子设 备</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0" w:right="158" w:hanging="180"/>
              <w:jc w:val="left"/>
              <w:rPr>
                <w:rFonts w:ascii="宋体" w:hAnsi="宋体" w:cs="宋体" w:eastAsia="宋体" w:hint="default"/>
                <w:sz w:val="18"/>
                <w:szCs w:val="18"/>
              </w:rPr>
            </w:pPr>
            <w:r>
              <w:rPr>
                <w:rFonts w:ascii="宋体" w:hAnsi="宋体" w:cs="宋体" w:eastAsia="宋体" w:hint="default"/>
                <w:sz w:val="18"/>
                <w:szCs w:val="18"/>
              </w:rPr>
              <w:t>办公设 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8" w:right="158" w:hanging="180"/>
              <w:jc w:val="left"/>
              <w:rPr>
                <w:rFonts w:ascii="宋体" w:hAnsi="宋体" w:cs="宋体" w:eastAsia="宋体" w:hint="default"/>
                <w:sz w:val="18"/>
                <w:szCs w:val="18"/>
              </w:rPr>
            </w:pPr>
            <w:r>
              <w:rPr>
                <w:rFonts w:ascii="宋体" w:hAnsi="宋体" w:cs="宋体" w:eastAsia="宋体" w:hint="default"/>
                <w:sz w:val="18"/>
                <w:szCs w:val="18"/>
              </w:rPr>
              <w:t>仪器仪 表</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8" w:right="158" w:hanging="180"/>
              <w:jc w:val="left"/>
              <w:rPr>
                <w:rFonts w:ascii="宋体" w:hAnsi="宋体" w:cs="宋体" w:eastAsia="宋体" w:hint="default"/>
                <w:sz w:val="18"/>
                <w:szCs w:val="18"/>
              </w:rPr>
            </w:pPr>
            <w:r>
              <w:rPr>
                <w:rFonts w:ascii="宋体" w:hAnsi="宋体" w:cs="宋体" w:eastAsia="宋体" w:hint="default"/>
                <w:sz w:val="18"/>
                <w:szCs w:val="18"/>
              </w:rPr>
              <w:t>培训设 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8" w:right="158" w:hanging="180"/>
              <w:jc w:val="left"/>
              <w:rPr>
                <w:rFonts w:ascii="宋体" w:hAnsi="宋体" w:cs="宋体" w:eastAsia="宋体" w:hint="default"/>
                <w:sz w:val="18"/>
                <w:szCs w:val="18"/>
              </w:rPr>
            </w:pPr>
            <w:r>
              <w:rPr>
                <w:rFonts w:ascii="宋体" w:hAnsi="宋体" w:cs="宋体" w:eastAsia="宋体" w:hint="default"/>
                <w:sz w:val="18"/>
                <w:szCs w:val="18"/>
              </w:rPr>
              <w:t>其他设 备</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38" w:lineRule="auto" w:before="49"/>
              <w:ind w:left="240" w:right="158" w:hanging="82"/>
              <w:jc w:val="left"/>
              <w:rPr>
                <w:rFonts w:ascii="Times New Roman" w:hAnsi="Times New Roman" w:cs="Times New Roman" w:eastAsia="Times New Roman" w:hint="default"/>
                <w:sz w:val="18"/>
                <w:szCs w:val="18"/>
              </w:rPr>
            </w:pPr>
            <w:bookmarkStart w:name="(2)期末没有未办妥产权证书的投资性房地产。" w:id="248"/>
            <w:bookmarkEnd w:id="248"/>
            <w:r>
              <w:rPr/>
            </w:r>
            <w:r>
              <w:rPr>
                <w:rFonts w:ascii="宋体" w:hAnsi="宋体" w:cs="宋体" w:eastAsia="宋体" w:hint="default"/>
                <w:sz w:val="18"/>
                <w:szCs w:val="18"/>
              </w:rPr>
              <w:t>营运业 务用 </w:t>
            </w:r>
            <w:r>
              <w:rPr>
                <w:rFonts w:ascii="Times New Roman" w:hAnsi="Times New Roman" w:cs="Times New Roman" w:eastAsia="Times New Roman" w:hint="default"/>
                <w:spacing w:val="-8"/>
                <w:sz w:val="18"/>
                <w:szCs w:val="18"/>
              </w:rPr>
              <w:t>ATM</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9" w:right="0"/>
              <w:jc w:val="left"/>
              <w:rPr>
                <w:rFonts w:ascii="宋体" w:hAnsi="宋体" w:cs="宋体" w:eastAsia="宋体" w:hint="default"/>
                <w:sz w:val="18"/>
                <w:szCs w:val="18"/>
              </w:rPr>
            </w:pPr>
            <w:bookmarkStart w:name="12、固定资产" w:id="249"/>
            <w:bookmarkEnd w:id="249"/>
            <w:r>
              <w:rPr/>
            </w:r>
            <w:r>
              <w:rPr>
                <w:rFonts w:ascii="宋体" w:hAnsi="宋体" w:cs="宋体" w:eastAsia="宋体" w:hint="default"/>
                <w:sz w:val="18"/>
                <w:szCs w:val="18"/>
              </w:rPr>
              <w:t>合计</w:t>
            </w:r>
          </w:p>
        </w:tc>
      </w:tr>
      <w:tr>
        <w:trPr>
          <w:trHeight w:val="713" w:hRule="exact"/>
        </w:trPr>
        <w:tc>
          <w:tcPr>
            <w:tcW w:w="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80" w:type="dxa"/>
            <w:tcBorders>
              <w:top w:val="single" w:sz="4" w:space="0" w:color="000000"/>
              <w:left w:val="single" w:sz="10" w:space="0" w:color="D4D4D4"/>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4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420,327,09</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7.17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60,639,788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80,704,931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49,633,751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6,363,933.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23,197,535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10,806,498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256,449.98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64,139,266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716,069,25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3.18</w:t>
            </w:r>
          </w:p>
        </w:tc>
      </w:tr>
      <w:tr>
        <w:trPr>
          <w:trHeight w:val="713" w:hRule="exact"/>
        </w:trPr>
        <w:tc>
          <w:tcPr>
            <w:tcW w:w="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0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18,233,881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76,275,136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12,145,557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22,071,475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5,848,929.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3,753,373.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9,285,535.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7,317,143.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154,931,03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2.27</w:t>
            </w: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购置</w:t>
            </w:r>
          </w:p>
        </w:tc>
        <w:tc>
          <w:tcPr>
            <w:tcW w:w="8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2,519,414.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12,211,924</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10,442,515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12,052,278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1,649,900.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3,753,373.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1,923,595.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876,953.01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45,429,956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869"/>
        <w:gridCol w:w="869"/>
        <w:gridCol w:w="869"/>
        <w:gridCol w:w="869"/>
        <w:gridCol w:w="869"/>
        <w:gridCol w:w="871"/>
        <w:gridCol w:w="869"/>
        <w:gridCol w:w="869"/>
        <w:gridCol w:w="869"/>
        <w:gridCol w:w="869"/>
        <w:gridCol w:w="869"/>
      </w:tblGrid>
      <w:tr>
        <w:trPr>
          <w:trHeight w:val="1025"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在建工程 转入</w:t>
            </w:r>
          </w:p>
        </w:tc>
        <w:tc>
          <w:tcPr>
            <w:tcW w:w="869" w:type="dxa"/>
            <w:tcBorders>
              <w:top w:val="single" w:sz="4" w:space="0" w:color="000000"/>
              <w:left w:val="single" w:sz="10" w:space="0" w:color="D4D4D4"/>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1,703,041.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78,632.48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6,440,190.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8,221,864.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 增加</w:t>
            </w:r>
          </w:p>
        </w:tc>
        <w:tc>
          <w:tcPr>
            <w:tcW w:w="86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15,714,466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64,063,212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10,019,196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4,120,396.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7,361,939.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101,279,21</w:t>
            </w:r>
          </w:p>
          <w:p>
            <w:pPr>
              <w:pStyle w:val="TableParagraph"/>
              <w:spacing w:line="240" w:lineRule="auto" w:before="102"/>
              <w:ind w:left="523" w:right="0"/>
              <w:jc w:val="left"/>
              <w:rPr>
                <w:rFonts w:ascii="Times New Roman" w:hAnsi="Times New Roman" w:cs="Times New Roman" w:eastAsia="Times New Roman" w:hint="default"/>
                <w:sz w:val="18"/>
                <w:szCs w:val="18"/>
              </w:rPr>
            </w:pPr>
            <w:r>
              <w:rPr>
                <w:rFonts w:ascii="Times New Roman"/>
                <w:sz w:val="18"/>
              </w:rPr>
              <w:t>1.64</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10" w:space="0" w:color="D4D4D4"/>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2,723,610.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1,396,470.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4,657,538.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232,686.30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19,717.09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8,017,313.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2,447,611.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8,880,754.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28,375,702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10" w:space="0" w:color="D4D4D4"/>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2,723,610.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1,396,470.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4,657,538.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232,686.30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19,717.09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8,017,313.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2,447,611.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8,880,754.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28,375,702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 w:right="0"/>
              <w:jc w:val="left"/>
              <w:rPr>
                <w:rFonts w:ascii="Times New Roman" w:hAnsi="Times New Roman" w:cs="Times New Roman" w:eastAsia="Times New Roman" w:hint="default"/>
                <w:sz w:val="18"/>
                <w:szCs w:val="18"/>
              </w:rPr>
            </w:pPr>
            <w:r>
              <w:rPr>
                <w:rFonts w:ascii="Times New Roman"/>
                <w:sz w:val="18"/>
              </w:rPr>
              <w:t>438,560,97</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134,191,31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91,454,018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67,047,687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11,980,176</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26,931,191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2,789,185.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7,094,374.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62,575,655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842,624,58</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3.04</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8"/>
                <w:sz w:val="18"/>
                <w:szCs w:val="18"/>
              </w:rPr>
              <w:t>二、累计折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旧</w:t>
            </w:r>
          </w:p>
        </w:tc>
        <w:tc>
          <w:tcPr>
            <w:tcW w:w="869" w:type="dxa"/>
            <w:tcBorders>
              <w:top w:val="single" w:sz="4" w:space="0" w:color="000000"/>
              <w:left w:val="single" w:sz="10" w:space="0" w:color="D4D4D4"/>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39,196,483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24,397,818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35,507,342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24,621,286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3,116,389.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11,857,806</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10,354,959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127,350.41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23,182,116</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172,361,55</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4.12</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215"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 金额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14,132,8</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86.32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46,156,7</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23.69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left"/>
              <w:rPr>
                <w:rFonts w:ascii="Times New Roman" w:hAnsi="Times New Roman" w:cs="Times New Roman" w:eastAsia="Times New Roman" w:hint="default"/>
                <w:sz w:val="18"/>
                <w:szCs w:val="18"/>
              </w:rPr>
            </w:pPr>
            <w:r>
              <w:rPr>
                <w:rFonts w:ascii="Times New Roman"/>
                <w:sz w:val="18"/>
              </w:rPr>
              <w:t>12,726,6</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66.17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left"/>
              <w:rPr>
                <w:rFonts w:ascii="Times New Roman" w:hAnsi="Times New Roman" w:cs="Times New Roman" w:eastAsia="Times New Roman" w:hint="default"/>
                <w:sz w:val="18"/>
                <w:szCs w:val="18"/>
              </w:rPr>
            </w:pPr>
            <w:r>
              <w:rPr>
                <w:rFonts w:ascii="Times New Roman"/>
                <w:sz w:val="18"/>
              </w:rPr>
              <w:t>19,209,0</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78.18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left"/>
              <w:rPr>
                <w:rFonts w:ascii="Times New Roman" w:hAnsi="Times New Roman" w:cs="Times New Roman" w:eastAsia="Times New Roman" w:hint="default"/>
                <w:sz w:val="18"/>
                <w:szCs w:val="18"/>
              </w:rPr>
            </w:pPr>
            <w:r>
              <w:rPr>
                <w:rFonts w:ascii="Times New Roman"/>
                <w:sz w:val="18"/>
              </w:rPr>
              <w:t>3,972,43</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3.76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4,010,78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243,074.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3,402,53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12,039,5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07.79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115,893,</w:t>
            </w:r>
          </w:p>
          <w:p>
            <w:pPr>
              <w:pStyle w:val="TableParagraph"/>
              <w:spacing w:line="240" w:lineRule="auto" w:before="102"/>
              <w:ind w:left="157" w:right="0"/>
              <w:jc w:val="center"/>
              <w:rPr>
                <w:rFonts w:ascii="Times New Roman" w:hAnsi="Times New Roman" w:cs="Times New Roman" w:eastAsia="Times New Roman" w:hint="default"/>
                <w:sz w:val="18"/>
                <w:szCs w:val="18"/>
              </w:rPr>
            </w:pPr>
            <w:r>
              <w:rPr>
                <w:rFonts w:ascii="Times New Roman"/>
                <w:sz w:val="18"/>
              </w:rPr>
              <w:t>692.87</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11,527,239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8,983,114.</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12,726,666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11,489,000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1,097,845.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4,010,785.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243,074.05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402,788.41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12,039,507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62,520,021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 增加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2,605,64</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6.42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37,173,6</w:t>
            </w:r>
          </w:p>
          <w:p>
            <w:pPr>
              <w:pStyle w:val="TableParagraph"/>
              <w:spacing w:line="240" w:lineRule="auto" w:before="102"/>
              <w:ind w:left="352" w:right="0"/>
              <w:jc w:val="left"/>
              <w:rPr>
                <w:rFonts w:ascii="Times New Roman" w:hAnsi="Times New Roman" w:cs="Times New Roman" w:eastAsia="Times New Roman" w:hint="default"/>
                <w:sz w:val="18"/>
                <w:szCs w:val="18"/>
              </w:rPr>
            </w:pPr>
            <w:r>
              <w:rPr>
                <w:rFonts w:ascii="Times New Roman"/>
                <w:sz w:val="18"/>
              </w:rPr>
              <w:t>09.23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7,720,07</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7.58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2,874,58</w:t>
            </w:r>
          </w:p>
          <w:p>
            <w:pPr>
              <w:pStyle w:val="TableParagraph"/>
              <w:spacing w:line="240" w:lineRule="auto" w:before="102"/>
              <w:ind w:left="444" w:right="0"/>
              <w:jc w:val="left"/>
              <w:rPr>
                <w:rFonts w:ascii="Times New Roman" w:hAnsi="Times New Roman" w:cs="Times New Roman" w:eastAsia="Times New Roman" w:hint="default"/>
                <w:sz w:val="18"/>
                <w:szCs w:val="18"/>
              </w:rPr>
            </w:pPr>
            <w:r>
              <w:rPr>
                <w:rFonts w:ascii="Times New Roman"/>
                <w:sz w:val="18"/>
              </w:rPr>
              <w:t>8.51</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2,999,74</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9.20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53,373,6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70.94</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2,365,656.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1,326,647.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3,681,846.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1,329,395.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18,731.24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7,997,558.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64,395.40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8,337,483.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25,121,713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r>
      <w:tr>
        <w:trPr>
          <w:trHeight w:val="1027"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2,365,656.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1,326,647.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3,681,846.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1,329,395.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18,731.24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7,997,558.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64,395.40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8,337,483.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25,121,713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.71</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53,329,369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68,188,886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46,907,361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40,148,518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5,759,428.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15,849,860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2,600,475.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3,465,492.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26,884,140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263,133,53</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3.28</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4"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1,382,870.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17,548.83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27,617.17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1,428,036.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868"/>
        <w:gridCol w:w="869"/>
        <w:gridCol w:w="869"/>
        <w:gridCol w:w="869"/>
        <w:gridCol w:w="869"/>
        <w:gridCol w:w="871"/>
        <w:gridCol w:w="869"/>
        <w:gridCol w:w="869"/>
        <w:gridCol w:w="869"/>
        <w:gridCol w:w="869"/>
        <w:gridCol w:w="869"/>
      </w:tblGrid>
      <w:tr>
        <w:trPr>
          <w:trHeight w:val="362"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02" w:right="1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 业合并 增加</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1,382,87</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17,548.8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27,617.1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1,428,03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6.74</w:t>
            </w: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处置或报 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5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1,382,870.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17,548.83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27,617.17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1,428,036.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385,231,60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8.36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64,619,557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44,546,657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26,881,620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6,220,748.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11,081,331</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188,710.25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3,601,264.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35,691,514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578,063,01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3.02</w:t>
            </w: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1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381,130,61</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3.53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36,241,969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45,197,589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25,012,464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3,247,543.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11,339,729</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451,538.92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129,099.57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40,957,150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543,707,69</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9.06</w:t>
            </w:r>
          </w:p>
        </w:tc>
      </w:tr>
    </w:tbl>
    <w:p>
      <w:pPr>
        <w:spacing w:line="240" w:lineRule="auto" w:before="10"/>
        <w:rPr>
          <w:rFonts w:ascii="Times New Roman" w:hAnsi="Times New Roman" w:cs="Times New Roman" w:eastAsia="Times New Roman" w:hint="default"/>
          <w:sz w:val="21"/>
          <w:szCs w:val="21"/>
        </w:rPr>
      </w:pPr>
    </w:p>
    <w:p>
      <w:pPr>
        <w:pStyle w:val="Heading3"/>
        <w:spacing w:line="535" w:lineRule="auto"/>
        <w:ind w:left="632" w:right="5242"/>
        <w:jc w:val="left"/>
        <w:rPr>
          <w:b w:val="0"/>
          <w:bCs w:val="0"/>
        </w:rPr>
      </w:pPr>
      <w:bookmarkStart w:name="13、在建工程" w:id="250"/>
      <w:bookmarkEnd w:id="250"/>
      <w:r>
        <w:rPr>
          <w:b w:val="0"/>
          <w:bCs w:val="0"/>
        </w:rPr>
      </w:r>
      <w:bookmarkStart w:name="(1)在建工程情况" w:id="251"/>
      <w:bookmarkEnd w:id="251"/>
      <w:r>
        <w:rPr>
          <w:b w:val="0"/>
          <w:bCs w:val="0"/>
        </w:rPr>
      </w:r>
      <w:r>
        <w:rPr>
          <w:rFonts w:ascii="宋体" w:hAnsi="宋体" w:cs="宋体" w:eastAsia="宋体" w:hint="default"/>
        </w:rPr>
        <w:t>(2)</w:t>
      </w:r>
      <w:r>
        <w:rPr/>
        <w:t>期末没有暂时闲置的固定资产。</w:t>
      </w:r>
      <w:r>
        <w:rPr>
          <w:w w:val="100"/>
        </w:rPr>
        <w:t> </w:t>
      </w:r>
      <w:r>
        <w:rPr>
          <w:rFonts w:ascii="宋体" w:hAnsi="宋体" w:cs="宋体" w:eastAsia="宋体" w:hint="default"/>
        </w:rPr>
        <w:t>(3)</w:t>
      </w:r>
      <w:r>
        <w:rPr/>
        <w:t>本期没有通过融资租赁租入的固定资产。</w:t>
      </w:r>
      <w:r>
        <w:rPr>
          <w:spacing w:val="-103"/>
        </w:rPr>
        <w:t> </w:t>
      </w:r>
      <w:r>
        <w:rPr>
          <w:spacing w:val="-103"/>
        </w:rPr>
      </w:r>
      <w:r>
        <w:rPr>
          <w:rFonts w:ascii="宋体" w:hAnsi="宋体" w:cs="宋体" w:eastAsia="宋体" w:hint="default"/>
        </w:rPr>
        <w:t>(4)</w:t>
      </w:r>
      <w:r>
        <w:rPr/>
        <w:t>本期没有通过经营租赁租出的固定资产。</w:t>
      </w:r>
      <w:r>
        <w:rPr>
          <w:spacing w:val="-103"/>
        </w:rPr>
        <w:t> </w:t>
      </w:r>
      <w:r>
        <w:rPr>
          <w:spacing w:val="-103"/>
        </w:rPr>
      </w:r>
      <w:r>
        <w:rPr>
          <w:rFonts w:ascii="宋体" w:hAnsi="宋体" w:cs="宋体" w:eastAsia="宋体" w:hint="default"/>
        </w:rPr>
        <w:t>(5)</w:t>
      </w:r>
      <w:r>
        <w:rPr/>
        <w:t>未办妥产权证书的固定资产情况</w:t>
      </w:r>
      <w:r>
        <w:rPr>
          <w:b w:val="0"/>
          <w:bCs w:val="0"/>
        </w:rPr>
      </w:r>
    </w:p>
    <w:p>
      <w:pPr>
        <w:spacing w:line="240" w:lineRule="auto" w:before="2"/>
        <w:rPr>
          <w:rFonts w:ascii="宋体" w:hAnsi="宋体" w:cs="宋体" w:eastAsia="宋体" w:hint="default"/>
          <w:b/>
          <w:bCs/>
          <w:sz w:val="7"/>
          <w:szCs w:val="7"/>
        </w:rPr>
      </w:pPr>
    </w:p>
    <w:tbl>
      <w:tblPr>
        <w:tblW w:w="0" w:type="auto"/>
        <w:jc w:val="left"/>
        <w:tblInd w:w="20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bookmarkStart w:name="(2)期末没有暂时闲置的固定资产。" w:id="252"/>
            <w:bookmarkEnd w:id="252"/>
            <w:r>
              <w:rPr/>
            </w:r>
            <w:bookmarkStart w:name="(3)本期没有通过融资租赁租入的固定资产。" w:id="253"/>
            <w:bookmarkEnd w:id="253"/>
            <w:r>
              <w:rPr/>
            </w:r>
            <w:bookmarkStart w:name="(4)本期没有通过经营租赁租出的固定资产。" w:id="254"/>
            <w:bookmarkEnd w:id="254"/>
            <w:r>
              <w:rPr/>
            </w:r>
            <w:bookmarkStart w:name="(5)未办妥产权证书的固定资产情况" w:id="255"/>
            <w:bookmarkEnd w:id="255"/>
            <w:r>
              <w:rPr/>
            </w: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95,282,316.07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left="632" w:right="101"/>
        <w:jc w:val="left"/>
        <w:rPr>
          <w:b w:val="0"/>
          <w:bCs w:val="0"/>
        </w:rPr>
      </w:pPr>
      <w:r>
        <w:rPr>
          <w:rFonts w:ascii="宋体" w:hAnsi="宋体" w:cs="宋体" w:eastAsia="宋体" w:hint="default"/>
        </w:rPr>
        <w:t>(1)</w:t>
      </w:r>
      <w:r>
        <w:rPr/>
        <w:t>在建工程情况</w:t>
      </w:r>
      <w:r>
        <w:rPr>
          <w:b w:val="0"/>
          <w:bCs w:val="0"/>
        </w:rPr>
      </w:r>
    </w:p>
    <w:p>
      <w:pPr>
        <w:spacing w:line="240" w:lineRule="auto" w:before="12"/>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2551"/>
        <w:gridCol w:w="1277"/>
        <w:gridCol w:w="1135"/>
        <w:gridCol w:w="1274"/>
        <w:gridCol w:w="1133"/>
        <w:gridCol w:w="994"/>
        <w:gridCol w:w="1207"/>
      </w:tblGrid>
      <w:tr>
        <w:trPr>
          <w:trHeight w:val="402" w:hRule="exact"/>
        </w:trPr>
        <w:tc>
          <w:tcPr>
            <w:tcW w:w="255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51" w:type="dxa"/>
            <w:vMerge/>
            <w:tcBorders>
              <w:left w:val="single" w:sz="4" w:space="0" w:color="000000"/>
              <w:bottom w:val="single" w:sz="4" w:space="0" w:color="000000"/>
              <w:right w:val="single" w:sz="4" w:space="0" w:color="000000"/>
            </w:tcBorders>
            <w:shd w:val="clear" w:color="auto" w:fill="D4D4D4"/>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23,227,310.01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23,227,310.01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731,972.89</w:t>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731,972.89</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广州金融外包服务总部平台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37,054,171.43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37,054,171.43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2,862,102.63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2,862,102.63</w:t>
            </w:r>
            <w:r>
              <w:rPr>
                <w:rFonts w:ascii="Times New Roman"/>
                <w:sz w:val="18"/>
              </w:rPr>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60,281,481.44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60,281,481.44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3,594,075.52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3,594,075.52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1"/>
        <w:rPr>
          <w:rFonts w:ascii="宋体" w:hAnsi="宋体" w:cs="宋体" w:eastAsia="宋体" w:hint="default"/>
          <w:b/>
          <w:bCs/>
          <w:sz w:val="20"/>
          <w:szCs w:val="20"/>
        </w:rPr>
      </w:pPr>
    </w:p>
    <w:p>
      <w:pPr>
        <w:pStyle w:val="Heading3"/>
        <w:spacing w:line="240" w:lineRule="auto"/>
        <w:ind w:left="632" w:right="101"/>
        <w:jc w:val="left"/>
        <w:rPr>
          <w:b w:val="0"/>
          <w:bCs w:val="0"/>
        </w:rPr>
      </w:pPr>
      <w:r>
        <w:rPr>
          <w:rFonts w:ascii="宋体" w:hAnsi="宋体" w:cs="宋体" w:eastAsia="宋体" w:hint="default"/>
        </w:rPr>
        <w:t>(2)</w:t>
      </w:r>
      <w:r>
        <w:rPr/>
        <w:t>重要在建工程项目本期变动情况</w:t>
      </w:r>
      <w:r>
        <w:rPr>
          <w:b w:val="0"/>
          <w:bCs w:val="0"/>
        </w:rPr>
      </w:r>
    </w:p>
    <w:p>
      <w:pPr>
        <w:spacing w:line="240" w:lineRule="auto" w:before="12"/>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1" w:right="89" w:hanging="180"/>
              <w:jc w:val="left"/>
              <w:rPr>
                <w:rFonts w:ascii="宋体" w:hAnsi="宋体" w:cs="宋体" w:eastAsia="宋体" w:hint="default"/>
                <w:sz w:val="18"/>
                <w:szCs w:val="18"/>
              </w:rPr>
            </w:pPr>
            <w:bookmarkStart w:name="(2)重要在建工程项目本期变动情况" w:id="256"/>
            <w:bookmarkEnd w:id="256"/>
            <w:r>
              <w:rPr/>
            </w: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广州金 融外包 服务总 部平台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2,862,10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34,192,0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37,054,1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30.45%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15"/>
              <w:jc w:val="center"/>
              <w:rPr>
                <w:rFonts w:ascii="Times New Roman" w:hAnsi="Times New Roman" w:cs="Times New Roman" w:eastAsia="Times New Roman" w:hint="default"/>
                <w:sz w:val="18"/>
                <w:szCs w:val="18"/>
              </w:rPr>
            </w:pPr>
            <w:r>
              <w:rPr>
                <w:rFonts w:ascii="Times New Roman"/>
                <w:sz w:val="18"/>
              </w:rPr>
              <w:t>30.45%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121,680,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2,862,10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34,192,0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68.80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37,054,1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71.43</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632" w:right="101"/>
        <w:jc w:val="left"/>
        <w:rPr>
          <w:b w:val="0"/>
          <w:bCs w:val="0"/>
        </w:rPr>
      </w:pPr>
      <w:r>
        <w:rPr>
          <w:rFonts w:ascii="宋体" w:hAnsi="宋体" w:cs="宋体" w:eastAsia="宋体" w:hint="default"/>
        </w:rPr>
        <w:t>(1)</w:t>
      </w:r>
      <w:r>
        <w:rPr/>
        <w:t>无形资产情况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3686"/>
        <w:gridCol w:w="1985"/>
        <w:gridCol w:w="1985"/>
        <w:gridCol w:w="1843"/>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bookmarkStart w:name="14、无形资产" w:id="257"/>
            <w:bookmarkEnd w:id="257"/>
            <w:r>
              <w:rPr/>
            </w:r>
            <w:r>
              <w:rPr>
                <w:rFonts w:ascii="宋体" w:hAnsi="宋体" w:cs="宋体" w:eastAsia="宋体" w:hint="default"/>
                <w:sz w:val="18"/>
                <w:szCs w:val="18"/>
              </w:rPr>
              <w:t>土地使用权</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1)无形资产情况" w:id="258"/>
            <w:bookmarkEnd w:id="258"/>
            <w:r>
              <w:rPr/>
            </w: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79,726,384.94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12,631,721.49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92,358,106.43</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16,480,476.55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1,798,414.87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18,278,891.42</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8,172,728.00</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1,568,040.98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9,740,768.98</w:t>
            </w:r>
            <w:r>
              <w:rPr>
                <w:rFonts w:ascii="Times New Roman"/>
                <w:sz w:val="18"/>
              </w:rPr>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8,307,748.55</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230,373.89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8,538,122.44</w:t>
            </w:r>
            <w:r>
              <w:rPr>
                <w:rFonts w:ascii="Times New Roman"/>
                <w:sz w:val="18"/>
              </w:rPr>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96,206,861.49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14,430,136.36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110,636,997.85</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2,731,064.05</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4,360,242.91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7,091,306.96</w:t>
            </w:r>
            <w:r>
              <w:rPr>
                <w:rFonts w:ascii="Times New Roman"/>
                <w:sz w:val="18"/>
              </w:rPr>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2,246,135.52</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2,217,151.30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4,463,286.82</w:t>
            </w:r>
            <w:r>
              <w:rPr>
                <w:rFonts w:ascii="Times New Roman"/>
                <w:sz w:val="18"/>
              </w:rPr>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1,812,629.22</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2,130,887.27</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3,943,516.49</w:t>
            </w:r>
            <w:r>
              <w:rPr>
                <w:rFonts w:ascii="Times New Roman"/>
                <w:sz w:val="18"/>
              </w:rPr>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433,506.30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86,264.03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519,770.33</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4,977,199.57</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6,577,394.21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11,554,593.78</w:t>
            </w:r>
            <w:r>
              <w:rPr>
                <w:rFonts w:ascii="Times New Roman"/>
                <w:sz w:val="18"/>
              </w:rPr>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3685"/>
        <w:gridCol w:w="1985"/>
        <w:gridCol w:w="1985"/>
        <w:gridCol w:w="1843"/>
      </w:tblGrid>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7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7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7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91,229,661.92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7,852,742.15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99,082,404.07</w:t>
            </w:r>
          </w:p>
        </w:tc>
      </w:tr>
      <w:tr>
        <w:trPr>
          <w:trHeight w:val="402" w:hRule="exact"/>
        </w:trPr>
        <w:tc>
          <w:tcPr>
            <w:tcW w:w="3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207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76,995,320.89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8,271,478.58</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85,266,799.47</w:t>
            </w:r>
          </w:p>
        </w:tc>
      </w:tr>
    </w:tbl>
    <w:p>
      <w:pPr>
        <w:spacing w:line="532" w:lineRule="auto" w:before="28"/>
        <w:ind w:left="632" w:right="2692" w:firstLine="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宋体" w:hAnsi="宋体" w:cs="宋体" w:eastAsia="宋体" w:hint="default"/>
          <w:spacing w:val="-58"/>
          <w:sz w:val="21"/>
          <w:szCs w:val="21"/>
        </w:rPr>
        <w:t> </w:t>
      </w:r>
      <w:r>
        <w:rPr>
          <w:rFonts w:ascii="宋体" w:hAnsi="宋体" w:cs="宋体" w:eastAsia="宋体" w:hint="default"/>
          <w:sz w:val="21"/>
          <w:szCs w:val="21"/>
        </w:rPr>
        <w:t>0.00%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期末没有未办妥产权证</w:t>
      </w:r>
      <w:bookmarkStart w:name="(2)期末没有未办妥产权证书的土地使用权。" w:id="259"/>
      <w:bookmarkEnd w:id="259"/>
      <w:r>
        <w:rPr>
          <w:rFonts w:ascii="宋体" w:hAnsi="宋体" w:cs="宋体" w:eastAsia="宋体" w:hint="default"/>
          <w:b/>
          <w:bCs/>
          <w:sz w:val="21"/>
          <w:szCs w:val="21"/>
        </w:rPr>
        <w:t>书的土地使用权。</w:t>
      </w:r>
      <w:r>
        <w:rPr>
          <w:rFonts w:ascii="宋体" w:hAnsi="宋体" w:cs="宋体" w:eastAsia="宋体" w:hint="default"/>
          <w:sz w:val="21"/>
          <w:szCs w:val="21"/>
        </w:rPr>
      </w:r>
    </w:p>
    <w:p>
      <w:pPr>
        <w:pStyle w:val="Heading3"/>
        <w:spacing w:line="240" w:lineRule="auto" w:before="83"/>
        <w:ind w:left="632" w:right="101"/>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1195"/>
        <w:gridCol w:w="1198"/>
        <w:gridCol w:w="1577"/>
        <w:gridCol w:w="708"/>
        <w:gridCol w:w="1418"/>
        <w:gridCol w:w="1560"/>
        <w:gridCol w:w="715"/>
        <w:gridCol w:w="1198"/>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69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15、开发支出" w:id="260"/>
            <w:bookmarkEnd w:id="260"/>
            <w:r>
              <w:rPr/>
            </w: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开发项目支出</w:t>
            </w:r>
          </w:p>
        </w:tc>
        <w:tc>
          <w:tcPr>
            <w:tcW w:w="119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333,271,209.50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333,271,209.50</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12" w:space="0" w:color="D4D4D4"/>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333,271,209.50</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333,271,209.50</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632" w:right="101"/>
        <w:jc w:val="left"/>
        <w:rPr>
          <w:b w:val="0"/>
          <w:bCs w:val="0"/>
        </w:rPr>
      </w:pPr>
      <w:r>
        <w:rPr>
          <w:rFonts w:ascii="宋体" w:hAnsi="宋体" w:cs="宋体" w:eastAsia="宋体" w:hint="default"/>
        </w:rPr>
        <w:t>(1)</w:t>
      </w:r>
      <w:r>
        <w:rPr/>
        <w:t>商誉账面原值</w:t>
      </w:r>
      <w:r>
        <w:rPr>
          <w:b w:val="0"/>
          <w:bCs w:val="0"/>
        </w:rPr>
      </w:r>
    </w:p>
    <w:p>
      <w:pPr>
        <w:spacing w:line="240" w:lineRule="auto" w:before="9"/>
        <w:rPr>
          <w:rFonts w:ascii="宋体" w:hAnsi="宋体" w:cs="宋体" w:eastAsia="宋体" w:hint="default"/>
          <w:b/>
          <w:bCs/>
          <w:sz w:val="26"/>
          <w:szCs w:val="26"/>
        </w:rPr>
      </w:pPr>
    </w:p>
    <w:tbl>
      <w:tblPr>
        <w:tblW w:w="0" w:type="auto"/>
        <w:jc w:val="left"/>
        <w:tblInd w:w="220" w:type="dxa"/>
        <w:tblLayout w:type="fixed"/>
        <w:tblCellMar>
          <w:top w:w="0" w:type="dxa"/>
          <w:left w:w="0" w:type="dxa"/>
          <w:bottom w:w="0" w:type="dxa"/>
          <w:right w:w="0" w:type="dxa"/>
        </w:tblCellMar>
        <w:tblLook w:val="01E0"/>
      </w:tblPr>
      <w:tblGrid>
        <w:gridCol w:w="3674"/>
        <w:gridCol w:w="1277"/>
        <w:gridCol w:w="1558"/>
        <w:gridCol w:w="566"/>
        <w:gridCol w:w="569"/>
        <w:gridCol w:w="566"/>
        <w:gridCol w:w="1346"/>
      </w:tblGrid>
      <w:tr>
        <w:trPr>
          <w:trHeight w:val="385" w:hRule="exact"/>
        </w:trPr>
        <w:tc>
          <w:tcPr>
            <w:tcW w:w="367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7" w:type="dxa"/>
            <w:tcBorders>
              <w:top w:val="single" w:sz="4" w:space="0" w:color="000000"/>
              <w:left w:val="single" w:sz="4" w:space="0" w:color="000000"/>
              <w:bottom w:val="nil" w:sz="6" w:space="0" w:color="auto"/>
              <w:right w:val="single" w:sz="4" w:space="0" w:color="000000"/>
            </w:tcBorders>
            <w:shd w:val="clear" w:color="auto" w:fill="D4D4D4"/>
          </w:tcPr>
          <w:p>
            <w:pP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bookmarkStart w:name="16、商誉" w:id="261"/>
            <w:bookmarkEnd w:id="261"/>
            <w:r>
              <w:rPr/>
            </w:r>
            <w:bookmarkStart w:name="(1)商誉账面原值" w:id="262"/>
            <w:bookmarkEnd w:id="262"/>
            <w:r>
              <w:rPr/>
            </w:r>
            <w:r>
              <w:rPr>
                <w:rFonts w:ascii="宋体" w:hAnsi="宋体" w:cs="宋体" w:eastAsia="宋体" w:hint="default"/>
                <w:sz w:val="18"/>
                <w:szCs w:val="18"/>
              </w:rPr>
              <w:t>本期减少</w:t>
            </w:r>
          </w:p>
        </w:tc>
        <w:tc>
          <w:tcPr>
            <w:tcW w:w="134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68" w:hRule="exact"/>
        </w:trPr>
        <w:tc>
          <w:tcPr>
            <w:tcW w:w="367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477"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vMerge w:val="restart"/>
            <w:tcBorders>
              <w:top w:val="single" w:sz="4" w:space="0" w:color="000000"/>
              <w:left w:val="single" w:sz="10" w:space="0" w:color="D4D4D4"/>
              <w:right w:val="single" w:sz="4" w:space="0" w:color="000000"/>
            </w:tcBorders>
          </w:tcPr>
          <w:p>
            <w:pPr>
              <w:pStyle w:val="TableParagraph"/>
              <w:spacing w:line="240" w:lineRule="auto" w:before="67"/>
              <w:ind w:left="13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189" w:right="185"/>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tcPr>
          <w:p>
            <w:pPr>
              <w:pStyle w:val="TableParagraph"/>
              <w:spacing w:line="314" w:lineRule="auto" w:before="67"/>
              <w:ind w:left="189" w:right="187"/>
              <w:jc w:val="center"/>
              <w:rPr>
                <w:rFonts w:ascii="宋体" w:hAnsi="宋体" w:cs="宋体" w:eastAsia="宋体" w:hint="default"/>
                <w:sz w:val="18"/>
                <w:szCs w:val="18"/>
              </w:rPr>
            </w:pPr>
            <w:r>
              <w:rPr>
                <w:rFonts w:ascii="宋体" w:hAnsi="宋体" w:cs="宋体" w:eastAsia="宋体" w:hint="default"/>
                <w:sz w:val="18"/>
                <w:szCs w:val="18"/>
              </w:rPr>
              <w:t>处 置</w:t>
            </w:r>
          </w:p>
        </w:tc>
        <w:tc>
          <w:tcPr>
            <w:tcW w:w="566"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67"/>
              <w:ind w:left="187"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134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367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7" w:type="dxa"/>
            <w:tcBorders>
              <w:top w:val="nil" w:sz="6" w:space="0" w:color="auto"/>
              <w:left w:val="single" w:sz="4" w:space="0" w:color="000000"/>
              <w:bottom w:val="single" w:sz="4" w:space="0" w:color="000000"/>
              <w:right w:val="single" w:sz="4" w:space="0" w:color="000000"/>
            </w:tcBorders>
            <w:shd w:val="clear" w:color="auto" w:fill="D4D4D4"/>
          </w:tcPr>
          <w:p>
            <w:pPr/>
          </w:p>
        </w:tc>
        <w:tc>
          <w:tcPr>
            <w:tcW w:w="1558" w:type="dxa"/>
            <w:vMerge/>
            <w:tcBorders>
              <w:left w:val="single" w:sz="10" w:space="0" w:color="D4D4D4"/>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56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shd w:val="clear" w:color="auto" w:fill="D4D4D4"/>
          </w:tcPr>
          <w:p>
            <w:pPr/>
          </w:p>
        </w:tc>
        <w:tc>
          <w:tcPr>
            <w:tcW w:w="134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946,852.52</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946,852.52</w:t>
            </w: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69,022.39</w:t>
            </w:r>
          </w:p>
        </w:tc>
        <w:tc>
          <w:tcPr>
            <w:tcW w:w="155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69,022.39</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707,499.91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707,499.91</w:t>
            </w: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20,020,597.80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20,020,597.80</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7,349,628.70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7,349,628.70</w:t>
            </w: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86,016,126.37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86,016,126.37</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13,860,917.93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13,860,917.93</w:t>
            </w:r>
          </w:p>
        </w:tc>
      </w:tr>
      <w:tr>
        <w:trPr>
          <w:trHeight w:val="401"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104,450,394.76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104,450,394.76</w:t>
            </w:r>
          </w:p>
        </w:tc>
      </w:tr>
      <w:tr>
        <w:trPr>
          <w:trHeight w:val="403" w:hRule="exact"/>
        </w:trPr>
        <w:tc>
          <w:tcPr>
            <w:tcW w:w="3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1,015,874.91</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232,405,165.47</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233,421,040.38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1"/>
        <w:rPr>
          <w:rFonts w:ascii="宋体" w:hAnsi="宋体" w:cs="宋体" w:eastAsia="宋体" w:hint="default"/>
          <w:b/>
          <w:bCs/>
          <w:sz w:val="20"/>
          <w:szCs w:val="20"/>
        </w:rPr>
      </w:pPr>
    </w:p>
    <w:p>
      <w:pPr>
        <w:pStyle w:val="Heading3"/>
        <w:spacing w:line="240" w:lineRule="auto"/>
        <w:ind w:right="0"/>
        <w:jc w:val="left"/>
        <w:rPr>
          <w:b w:val="0"/>
          <w:bCs w:val="0"/>
        </w:rPr>
      </w:pPr>
      <w:bookmarkStart w:name="(3)以抵销后净额列示的递延所得税资产或负债" w:id="263"/>
      <w:bookmarkEnd w:id="263"/>
      <w:r>
        <w:rPr>
          <w:b w:val="0"/>
          <w:bCs w:val="0"/>
        </w:rPr>
      </w:r>
      <w:bookmarkStart w:name="(4)未确认递延所得税资产明细" w:id="264"/>
      <w:bookmarkEnd w:id="264"/>
      <w:r>
        <w:rPr>
          <w:b w:val="0"/>
          <w:bCs w:val="0"/>
        </w:rPr>
      </w:r>
      <w:r>
        <w:rPr>
          <w:rFonts w:ascii="宋体" w:hAnsi="宋体" w:cs="宋体" w:eastAsia="宋体" w:hint="default"/>
        </w:rPr>
        <w:t>(2)</w:t>
      </w:r>
      <w:r>
        <w:rPr/>
        <w:t>经测试，本期商誉不存在计提减值准备的情况。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before="0"/>
        <w:ind w:right="0"/>
        <w:jc w:val="left"/>
        <w:rPr>
          <w:b w:val="0"/>
          <w:bCs w:val="0"/>
        </w:rPr>
      </w:pPr>
      <w:bookmarkStart w:name="(2)经测试，本期商誉不存在计提减值准备的情况。" w:id="265"/>
      <w:bookmarkEnd w:id="265"/>
      <w:r>
        <w:rPr>
          <w:b w:val="0"/>
          <w:bCs w:val="0"/>
        </w:rPr>
      </w:r>
      <w:r>
        <w:rPr>
          <w:rFonts w:ascii="Times New Roman" w:hAnsi="Times New Roman" w:cs="Times New Roman" w:eastAsia="Times New Roman" w:hint="default"/>
        </w:rPr>
        <w:t>17</w:t>
      </w:r>
      <w:bookmarkStart w:name="17、长期待摊费用" w:id="266"/>
      <w:bookmarkEnd w:id="266"/>
      <w:r>
        <w:rPr>
          <w:rFonts w:ascii="Times New Roman" w:hAnsi="Times New Roman" w:cs="Times New Roman" w:eastAsia="Times New Roman" w:hint="default"/>
        </w:rPr>
      </w:r>
      <w:r>
        <w:rPr/>
        <w:t>、长期待摊费用</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场地装修改造费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3,266,410.15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5,419,911.69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2,637,348.61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6,048,973.23</w:t>
            </w:r>
            <w:r>
              <w:rPr>
                <w:rFonts w:ascii="Times New Roman"/>
                <w:sz w:val="18"/>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3,266,410.15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5,419,911.69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2,637,348.61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6,048,973.23</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bookmarkStart w:name="18、递延所得税资产/递延所得税负债" w:id="267"/>
      <w:bookmarkEnd w:id="267"/>
      <w:r>
        <w:rPr>
          <w:rFonts w:ascii="Times New Roman" w:hAnsi="Times New Roman" w:cs="Times New Roman" w:eastAsia="Times New Roman" w:hint="default"/>
        </w:rPr>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未经抵销的递延所得税资产</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1)未经抵销的递延所得税资产" w:id="268"/>
            <w:bookmarkEnd w:id="268"/>
            <w:r>
              <w:rPr/>
            </w: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31,119,533.23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4,890,195.81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12,987,552.34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1,410,871.11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34,397,624.87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5,159,643.73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40,236,524.50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4,023,652.45</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20,984,337.65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5,246,084.43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9,734,735.03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2,238,825.23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282,441,044.62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45,445,051.36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266,279,912.47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32,202,515.76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预提性质负债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91,034,380.94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13,655,157.14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89,469,684.20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8,985,139.73</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66,056,297.01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9,953,144.54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34,534,130.82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3,575,465.35</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526,033,218.32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84,349,277.01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453,242,539.36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52,436,469.63</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未经抵销的递延所得税负债</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978"/>
        <w:gridCol w:w="1841"/>
        <w:gridCol w:w="1560"/>
        <w:gridCol w:w="1702"/>
        <w:gridCol w:w="1490"/>
      </w:tblGrid>
      <w:tr>
        <w:trPr>
          <w:trHeight w:val="206" w:hRule="exact"/>
        </w:trPr>
        <w:tc>
          <w:tcPr>
            <w:tcW w:w="2978" w:type="dxa"/>
            <w:tcBorders>
              <w:top w:val="single" w:sz="4" w:space="0" w:color="000000"/>
              <w:left w:val="single" w:sz="4" w:space="0" w:color="000000"/>
              <w:bottom w:val="nil" w:sz="6" w:space="0" w:color="auto"/>
              <w:right w:val="single" w:sz="4" w:space="0" w:color="000000"/>
            </w:tcBorders>
            <w:shd w:val="clear" w:color="auto" w:fill="D4D4D4"/>
          </w:tcPr>
          <w:p>
            <w:pPr/>
          </w:p>
        </w:tc>
        <w:tc>
          <w:tcPr>
            <w:tcW w:w="340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未经抵销的递延所得税负债" w:id="269"/>
            <w:bookmarkEnd w:id="269"/>
            <w:r>
              <w:rPr/>
            </w:r>
            <w:r>
              <w:rPr>
                <w:rFonts w:ascii="宋体" w:hAnsi="宋体" w:cs="宋体" w:eastAsia="宋体" w:hint="default"/>
                <w:sz w:val="18"/>
                <w:szCs w:val="18"/>
              </w:rPr>
              <w:t>期初余额</w:t>
            </w:r>
          </w:p>
        </w:tc>
      </w:tr>
      <w:tr>
        <w:trPr>
          <w:trHeight w:val="192" w:hRule="exact"/>
        </w:trPr>
        <w:tc>
          <w:tcPr>
            <w:tcW w:w="297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1" w:type="dxa"/>
            <w:gridSpan w:val="2"/>
            <w:vMerge/>
            <w:tcBorders>
              <w:left w:val="single" w:sz="4" w:space="0" w:color="000000"/>
              <w:bottom w:val="single" w:sz="4" w:space="0" w:color="000000"/>
              <w:right w:val="single" w:sz="4" w:space="0" w:color="000000"/>
            </w:tcBorders>
            <w:shd w:val="clear" w:color="auto" w:fill="D4D4D4"/>
          </w:tcPr>
          <w:p>
            <w:pPr/>
          </w:p>
        </w:tc>
        <w:tc>
          <w:tcPr>
            <w:tcW w:w="3192"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2978" w:type="dxa"/>
            <w:vMerge/>
            <w:tcBorders>
              <w:left w:val="single" w:sz="4" w:space="0" w:color="000000"/>
              <w:bottom w:val="nil" w:sz="6" w:space="0" w:color="auto"/>
              <w:right w:val="single" w:sz="4" w:space="0" w:color="000000"/>
            </w:tcBorders>
            <w:shd w:val="clear" w:color="auto" w:fill="D4D4D4"/>
          </w:tcPr>
          <w:p>
            <w:pPr/>
          </w:p>
        </w:tc>
        <w:tc>
          <w:tcPr>
            <w:tcW w:w="18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78" w:type="dxa"/>
            <w:tcBorders>
              <w:top w:val="nil" w:sz="6" w:space="0" w:color="auto"/>
              <w:left w:val="single" w:sz="4" w:space="0" w:color="000000"/>
              <w:bottom w:val="single" w:sz="4" w:space="0" w:color="000000"/>
              <w:right w:val="single" w:sz="4" w:space="0" w:color="000000"/>
            </w:tcBorders>
            <w:shd w:val="clear" w:color="auto" w:fill="D4D4D4"/>
          </w:tcPr>
          <w:p>
            <w:pPr/>
          </w:p>
        </w:tc>
        <w:tc>
          <w:tcPr>
            <w:tcW w:w="1841"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1702" w:type="dxa"/>
            <w:vMerge/>
            <w:tcBorders>
              <w:left w:val="single" w:sz="4" w:space="0" w:color="000000"/>
              <w:bottom w:val="single" w:sz="4" w:space="0" w:color="000000"/>
              <w:right w:val="single" w:sz="4" w:space="0" w:color="000000"/>
            </w:tcBorders>
            <w:shd w:val="clear" w:color="auto" w:fill="D4D4D4"/>
          </w:tcPr>
          <w:p>
            <w:pPr/>
          </w:p>
        </w:tc>
        <w:tc>
          <w:tcPr>
            <w:tcW w:w="1490"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84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16,445,774.18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4,009,461.72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16,445,774.18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4,009,461.72</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84,349,277.01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52,436,469.63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0"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4,009,461.72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(4)</w:t>
      </w:r>
      <w:r>
        <w:rPr/>
        <w:t>未确认递延所得税资产明细</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1,458,407.48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1,614,745.26</w:t>
            </w:r>
            <w:r>
              <w:rPr>
                <w:rFonts w:ascii="Times New Roman"/>
                <w:sz w:val="18"/>
              </w:rPr>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32,003,080.52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33,233,362.33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33,461,488.00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34,848,107.59</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bookmarkStart w:name="(2)本期末没有已逾期未偿还的短期借款情况" w:id="270"/>
      <w:bookmarkEnd w:id="270"/>
      <w:r>
        <w:rPr>
          <w:b w:val="0"/>
          <w:bCs w:val="0"/>
        </w:rPr>
      </w:r>
      <w:bookmarkStart w:name="21、应付票据" w:id="271"/>
      <w:bookmarkEnd w:id="271"/>
      <w:r>
        <w:rPr>
          <w:b w:val="0"/>
          <w:bCs w:val="0"/>
        </w:rPr>
      </w:r>
      <w:r>
        <w:rPr>
          <w:rFonts w:ascii="宋体" w:hAnsi="宋体" w:cs="宋体" w:eastAsia="宋体" w:hint="default"/>
        </w:rPr>
        <w:t>(5)</w:t>
      </w:r>
      <w:bookmarkStart w:name="(5)未确认递延所得税资产的可抵扣亏损将于以下年度到期" w:id="272"/>
      <w:bookmarkEnd w:id="272"/>
      <w:r>
        <w:rPr>
          <w:rFonts w:ascii="宋体" w:hAnsi="宋体" w:cs="宋体" w:eastAsia="宋体" w:hint="default"/>
        </w:rPr>
      </w:r>
      <w:r>
        <w:rPr/>
        <w:t>未确认递延所得税资产的可抵扣亏损将于以下年度到期</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5,051,938.80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2,921,657.19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2,921,657.19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3,010,936.38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3,010,936.38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12,238,214.29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12,238,214.29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10,010,615.67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3,821,656.99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32,003,080.52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33,233,362.33</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bookmarkStart w:name="19、其他非流动资产" w:id="273"/>
            <w:bookmarkEnd w:id="273"/>
            <w:r>
              <w:rPr/>
            </w: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73,273,600.00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61,161,267.00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134,434,867.00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短期借款分类</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本期末没有已逾期未偿还的短期借款情况</w:t>
      </w:r>
      <w:r>
        <w:rPr>
          <w:b w:val="0"/>
          <w:bCs w:val="0"/>
        </w:rPr>
      </w:r>
    </w:p>
    <w:p>
      <w:pPr>
        <w:spacing w:line="240" w:lineRule="auto" w:before="12"/>
        <w:rPr>
          <w:rFonts w:ascii="宋体" w:hAnsi="宋体" w:cs="宋体" w:eastAsia="宋体" w:hint="default"/>
          <w:b/>
          <w:bCs/>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71,392,263.55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bookmarkStart w:name="20、短期借款" w:id="274"/>
            <w:bookmarkEnd w:id="274"/>
            <w:r>
              <w:rPr/>
            </w:r>
            <w:r>
              <w:rPr>
                <w:rFonts w:ascii="Times New Roman"/>
                <w:spacing w:val="-1"/>
                <w:sz w:val="18"/>
              </w:rPr>
              <w:t>109,886,419.</w:t>
            </w:r>
            <w:bookmarkStart w:name="(1)短期借款分类" w:id="275"/>
            <w:bookmarkEnd w:id="275"/>
            <w:r>
              <w:rPr>
                <w:rFonts w:ascii="Times New Roman"/>
                <w:spacing w:val="-1"/>
                <w:sz w:val="18"/>
              </w:rPr>
              <w:t>35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71,392,263.55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109,886,419.35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4"/>
        <w:spacing w:line="240" w:lineRule="auto" w:before="36"/>
        <w:ind w:left="572" w:right="0"/>
        <w:jc w:val="left"/>
      </w:pPr>
      <w:bookmarkStart w:name="(2)账龄超过1年的重要预收款项" w:id="276"/>
      <w:bookmarkEnd w:id="276"/>
      <w:r>
        <w:rPr/>
      </w:r>
      <w:r>
        <w:rPr/>
        <w:t>本期末已到期未支付的应付票据总额为</w:t>
      </w:r>
      <w:r>
        <w:rPr>
          <w:spacing w:val="-53"/>
        </w:rPr>
        <w:t> </w:t>
      </w:r>
      <w:r>
        <w:rPr>
          <w:rFonts w:ascii="宋体" w:hAnsi="宋体" w:cs="宋体" w:eastAsia="宋体" w:hint="default"/>
        </w:rPr>
        <w:t>0.00</w:t>
      </w:r>
      <w:r>
        <w:rPr>
          <w:rFonts w:ascii="宋体" w:hAnsi="宋体" w:cs="宋体" w:eastAsia="宋体" w:hint="default"/>
          <w:spacing w:val="-55"/>
        </w:rPr>
        <w:t> </w:t>
      </w:r>
      <w:r>
        <w:rPr/>
        <w:t>元。</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22</w:t>
      </w:r>
      <w:bookmarkStart w:name="22、应付账款" w:id="277"/>
      <w:bookmarkEnd w:id="277"/>
      <w:r>
        <w:rPr>
          <w:rFonts w:ascii="Times New Roman" w:hAnsi="Times New Roman" w:cs="Times New Roman" w:eastAsia="Times New Roman" w:hint="default"/>
        </w:rPr>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bookmarkStart w:name="(1)应付账款列示" w:id="278"/>
      <w:bookmarkEnd w:id="278"/>
      <w:r>
        <w:rPr>
          <w:rFonts w:ascii="宋体" w:hAnsi="宋体" w:cs="宋体" w:eastAsia="宋体" w:hint="default"/>
        </w:rPr>
      </w:r>
      <w:r>
        <w:rPr/>
        <w:t>应付账款列示</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430,230,703.24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435,691,197.36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13,367,397.58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1,763,581.55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3,304,325.40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3,384,660.94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3,712,349.44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528,942.65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450,614,775.66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441,368,382.50</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账龄超过1年的重要应付账款" w:id="279"/>
            <w:bookmarkEnd w:id="279"/>
            <w:r>
              <w:rPr/>
            </w: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1,800,995.83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1,635,591.80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1,169,800.99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1,008,958.47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5,615,347.09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预收款项列示</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3、预收款项" w:id="280"/>
            <w:bookmarkEnd w:id="280"/>
            <w:r>
              <w:rPr/>
            </w: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1,517,767,175.39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w:t>
            </w:r>
            <w:bookmarkStart w:name="(1)预收款项列示" w:id="281"/>
            <w:bookmarkEnd w:id="281"/>
            <w:r>
              <w:rPr>
                <w:rFonts w:ascii="Times New Roman"/>
                <w:spacing w:val="-1"/>
                <w:sz w:val="18"/>
              </w:rPr>
              <w:t>4</w:t>
            </w:r>
            <w:r>
              <w:rPr>
                <w:rFonts w:ascii="Times New Roman"/>
                <w:spacing w:val="-1"/>
                <w:sz w:val="18"/>
              </w:rPr>
              <w:t>52,927.43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26,397,842.15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3,325,847.81</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502,271.67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1,192,254.29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1,003,254.29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71,063.26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1,545,670,543.50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1,142,042,092.79</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年的重要预收款项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3,935,592.19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未签收</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2,710,278.54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未签收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2,227,481.03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未签收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8,873,351.76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bookmarkStart w:name="(3)设定提存计划列示" w:id="282"/>
      <w:bookmarkEnd w:id="282"/>
      <w:r>
        <w:rPr>
          <w:b w:val="0"/>
          <w:bCs w:val="0"/>
        </w:rPr>
      </w:r>
      <w:r>
        <w:rPr>
          <w:rFonts w:ascii="Times New Roman" w:hAnsi="Times New Roman" w:cs="Times New Roman" w:eastAsia="Times New Roman" w:hint="default"/>
        </w:rPr>
        <w:t>24</w:t>
      </w:r>
      <w:bookmarkStart w:name="24、应付职工薪酬" w:id="283"/>
      <w:bookmarkEnd w:id="283"/>
      <w:r>
        <w:rPr>
          <w:rFonts w:ascii="Times New Roman" w:hAnsi="Times New Roman" w:cs="Times New Roman" w:eastAsia="Times New Roman" w:hint="default"/>
        </w:rPr>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bookmarkStart w:name="(1)应付职工薪酬列示" w:id="284"/>
      <w:bookmarkEnd w:id="284"/>
      <w:r>
        <w:rPr>
          <w:rFonts w:ascii="宋体" w:hAnsi="宋体" w:cs="宋体" w:eastAsia="宋体" w:hint="default"/>
        </w:rPr>
      </w:r>
      <w:r>
        <w:rPr/>
        <w:t>应付职工薪酬列示</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379"/>
        <w:gridCol w:w="1572"/>
        <w:gridCol w:w="1558"/>
        <w:gridCol w:w="1560"/>
        <w:gridCol w:w="1490"/>
      </w:tblGrid>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5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269,237,905.62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1,051,864,479.22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951,837,843.14</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369,264,541.70</w:t>
            </w:r>
            <w:r>
              <w:rPr>
                <w:rFonts w:ascii="Times New Roman"/>
                <w:sz w:val="18"/>
              </w:rPr>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56,189,115.84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56,115,636.80</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73,479.04</w:t>
            </w: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206,232.74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206,232.74</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269,237,905.62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1,108,259,827.80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1,008,159,712.68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369,338,020.74</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短期薪酬列示</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379"/>
        <w:gridCol w:w="1572"/>
        <w:gridCol w:w="1558"/>
        <w:gridCol w:w="1560"/>
        <w:gridCol w:w="1490"/>
      </w:tblGrid>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bookmarkStart w:name="(2)短期薪酬列示" w:id="285"/>
            <w:bookmarkEnd w:id="285"/>
            <w:r>
              <w:rPr/>
            </w: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5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269,237,905.62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957,593,402.89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857,981,433.72</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368,849,874.79</w:t>
            </w:r>
            <w:r>
              <w:rPr>
                <w:rFonts w:ascii="Times New Roman"/>
                <w:sz w:val="18"/>
              </w:rPr>
            </w: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26,508,902.07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26,208,902.07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31,337,805.76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31,337,805.76</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26,019,874.53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26,019,874.53</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2,286,605.33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2,286,605.33</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3,031,325.90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3,031,325.90</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32,445,560.51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32,445,560.51</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3,978,807.99</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3,864,141.08</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114,666.91</w:t>
            </w:r>
            <w:r>
              <w:rPr>
                <w:rFonts w:ascii="Times New Roman"/>
                <w:sz w:val="18"/>
              </w:rPr>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269,237,905.62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1,051,864,479.22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951,837,843.14</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369,264,541.70</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left="678" w:right="0"/>
        <w:jc w:val="left"/>
        <w:rPr>
          <w:b w:val="0"/>
          <w:bCs w:val="0"/>
        </w:rPr>
      </w:pPr>
      <w:r>
        <w:rPr>
          <w:rFonts w:ascii="宋体" w:hAnsi="宋体" w:cs="宋体" w:eastAsia="宋体" w:hint="default"/>
        </w:rPr>
        <w:t>(3)</w:t>
      </w:r>
      <w:r>
        <w:rPr/>
        <w:t>设定提存计划列示</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379"/>
        <w:gridCol w:w="1572"/>
        <w:gridCol w:w="1558"/>
        <w:gridCol w:w="1560"/>
        <w:gridCol w:w="1490"/>
      </w:tblGrid>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51,926,313.98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51,852,834.94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73,479.04</w:t>
            </w: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4,262,801.86</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4,262,801.86</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4" w:space="0" w:color="000000"/>
              <w:left w:val="single" w:sz="13" w:space="0" w:color="D4D4D4"/>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56,189,115.84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56,115,636.80</w:t>
            </w:r>
            <w:r>
              <w:rPr>
                <w:rFonts w:ascii="Times New Roman"/>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73,479.04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3"/>
        <w:spacing w:line="240" w:lineRule="auto"/>
        <w:ind w:right="0"/>
        <w:jc w:val="left"/>
        <w:rPr>
          <w:b w:val="0"/>
          <w:bCs w:val="0"/>
        </w:rPr>
      </w:pPr>
      <w:bookmarkStart w:name="27、其他应付款" w:id="286"/>
      <w:bookmarkEnd w:id="286"/>
      <w:r>
        <w:rPr>
          <w:b w:val="0"/>
          <w:bCs w:val="0"/>
        </w:rPr>
      </w:r>
      <w:bookmarkStart w:name="(1)按款项性质列示其他应付款" w:id="287"/>
      <w:bookmarkEnd w:id="287"/>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5、应交税费" w:id="288"/>
            <w:bookmarkEnd w:id="288"/>
            <w:r>
              <w:rPr/>
            </w: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90,411,719.01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95,440,076.43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2,766,933.58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1,124,569.42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135,219,055.29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76,812,634.98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2,158,021.05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2,535,500.32</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7,015,456.01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9,667,090.66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3,008,145.18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4,144,158.08</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1,999,060.97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2,762,622.14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4,921.27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1,467,049.30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81,656.76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87,139.33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682,424.97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207,407.42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142,512.78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57,383.12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505,818.89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-29,999.99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1,939.53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243,997,836.24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194,275,631.21</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6、应付股利" w:id="289"/>
            <w:bookmarkEnd w:id="289"/>
            <w:r>
              <w:rPr/>
            </w: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2,183,067.08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2,183,067.08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66"/>
        <w:ind w:left="575" w:right="0"/>
        <w:jc w:val="left"/>
      </w:pPr>
      <w:r>
        <w:rPr/>
        <w:t>期末应付股利为子公司巴彦淖尔天力保押有限责任公司应付少数股东股利 </w:t>
      </w:r>
      <w:r>
        <w:rPr>
          <w:rFonts w:ascii="宋体" w:hAnsi="宋体" w:cs="宋体" w:eastAsia="宋体" w:hint="default"/>
        </w:rPr>
        <w:t>2,033,067.08</w:t>
      </w:r>
      <w:r>
        <w:rPr>
          <w:rFonts w:ascii="宋体" w:hAnsi="宋体" w:cs="宋体" w:eastAsia="宋体" w:hint="default"/>
          <w:spacing w:val="-54"/>
        </w:rPr>
        <w:t> </w:t>
      </w:r>
      <w:r>
        <w:rPr>
          <w:spacing w:val="-3"/>
        </w:rPr>
        <w:t>元，子公司</w:t>
      </w:r>
      <w:r>
        <w:rPr/>
      </w:r>
    </w:p>
    <w:p>
      <w:pPr>
        <w:pStyle w:val="Heading4"/>
        <w:spacing w:line="240" w:lineRule="auto" w:before="114"/>
        <w:ind w:right="0"/>
        <w:jc w:val="left"/>
      </w:pPr>
      <w:r>
        <w:rPr/>
        <w:t>武威市神威保安守押有限责任公司应付少数股东股利</w:t>
      </w:r>
      <w:r>
        <w:rPr>
          <w:spacing w:val="-55"/>
        </w:rPr>
        <w:t> </w:t>
      </w:r>
      <w:r>
        <w:rPr>
          <w:rFonts w:ascii="宋体" w:hAnsi="宋体" w:cs="宋体" w:eastAsia="宋体" w:hint="default"/>
        </w:rPr>
        <w:t>150,000.00</w:t>
      </w:r>
      <w:r>
        <w:rPr>
          <w:rFonts w:ascii="宋体" w:hAnsi="宋体" w:cs="宋体" w:eastAsia="宋体" w:hint="default"/>
          <w:spacing w:val="-56"/>
        </w:rPr>
        <w:t> </w:t>
      </w:r>
      <w:r>
        <w:rPr/>
        <w:t>元，共</w:t>
      </w:r>
      <w:r>
        <w:rPr>
          <w:spacing w:val="-54"/>
        </w:rPr>
        <w:t> </w:t>
      </w:r>
      <w:r>
        <w:rPr>
          <w:rFonts w:ascii="宋体" w:hAnsi="宋体" w:cs="宋体" w:eastAsia="宋体" w:hint="default"/>
        </w:rPr>
        <w:t>2,183,067.08</w:t>
      </w:r>
      <w:r>
        <w:rPr>
          <w:rFonts w:ascii="宋体" w:hAnsi="宋体" w:cs="宋体" w:eastAsia="宋体" w:hint="default"/>
          <w:spacing w:val="-56"/>
        </w:rPr>
        <w:t> </w:t>
      </w:r>
      <w:r>
        <w:rPr/>
        <w:t>元。</w:t>
      </w:r>
    </w:p>
    <w:p>
      <w:pPr>
        <w:spacing w:line="240" w:lineRule="auto" w:before="9"/>
        <w:rPr>
          <w:rFonts w:ascii="宋体" w:hAnsi="宋体" w:cs="宋体" w:eastAsia="宋体" w:hint="default"/>
          <w:sz w:val="28"/>
          <w:szCs w:val="28"/>
        </w:rPr>
      </w:pPr>
    </w:p>
    <w:p>
      <w:pPr>
        <w:pStyle w:val="Heading3"/>
        <w:spacing w:line="240" w:lineRule="auto" w:before="0"/>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按款项性质列示其他应付款</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168,682,336.88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103,934,921.86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4,629,831.46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15,230,826.84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752,241.56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1,989,674.75</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3,018,427.60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1,467,765.60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177,082,837.50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122,623,189.05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3"/>
        <w:spacing w:line="240" w:lineRule="auto"/>
        <w:ind w:right="0"/>
        <w:jc w:val="left"/>
        <w:rPr>
          <w:b w:val="0"/>
          <w:bCs w:val="0"/>
        </w:rPr>
      </w:pPr>
      <w:r>
        <w:rPr>
          <w:rFonts w:ascii="宋体" w:hAnsi="宋体" w:cs="宋体" w:eastAsia="宋体"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2)账龄超过1年的重要其他应付款" w:id="290"/>
            <w:bookmarkEnd w:id="290"/>
            <w:r>
              <w:rPr/>
            </w: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2,906,000.00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28</w:t>
      </w:r>
      <w:r>
        <w:rPr/>
        <w:t>、递延收益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bookmarkStart w:name="28、递延收益" w:id="291"/>
            <w:bookmarkEnd w:id="291"/>
            <w:r>
              <w:rPr/>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37,846,148.32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52,562,441.98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22,729,623.27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67,678,967.03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37,846,148.32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52,562,441.98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22,729,623.27</w:t>
            </w:r>
          </w:p>
        </w:tc>
        <w:tc>
          <w:tcPr>
            <w:tcW w:w="1594"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67,678,967.03</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5" w:hRule="exact"/>
        </w:trPr>
        <w:tc>
          <w:tcPr>
            <w:tcW w:w="1183"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6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bookmarkStart w:name="29、股本" w:id="292"/>
            <w:bookmarkEnd w:id="292"/>
            <w:r>
              <w:rPr/>
            </w: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4D4D4"/>
          </w:tcPr>
          <w:p>
            <w:pPr/>
          </w:p>
        </w:tc>
      </w:tr>
      <w:tr>
        <w:trPr>
          <w:trHeight w:val="204" w:hRule="exact"/>
        </w:trPr>
        <w:tc>
          <w:tcPr>
            <w:tcW w:w="1183"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896,684,767.00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896,684,767.00</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30</w:t>
      </w:r>
      <w:r>
        <w:rPr/>
        <w:t>、资本公积</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bookmarkStart w:name="30、资本公积" w:id="293"/>
            <w:bookmarkEnd w:id="293"/>
            <w:r>
              <w:rPr/>
            </w: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172,251,262.09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64,233.35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172,187,028.74</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8,780,104.29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8,780,104.29</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181,031,366.38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64,233.35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180,967,133.03</w:t>
            </w:r>
            <w:r>
              <w:rPr>
                <w:rFonts w:ascii="Times New Roman"/>
                <w:sz w:val="18"/>
              </w:rPr>
            </w:r>
          </w:p>
        </w:tc>
      </w:tr>
    </w:tbl>
    <w:p>
      <w:pPr>
        <w:pStyle w:val="Heading4"/>
        <w:spacing w:line="376" w:lineRule="auto" w:before="64"/>
        <w:ind w:left="572" w:right="0"/>
        <w:jc w:val="left"/>
      </w:pPr>
      <w:r>
        <w:rPr/>
        <w:t>其他说明，包括本期增减变动情况、变动原因说明：</w:t>
      </w:r>
      <w:r>
        <w:rPr>
          <w:w w:val="100"/>
        </w:rPr>
        <w:t> </w:t>
      </w:r>
      <w:r>
        <w:rPr/>
        <w:t>本公司的孙公司深圳广电银通金融电子科技有限公司</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月出资</w:t>
      </w:r>
      <w:r>
        <w:rPr>
          <w:spacing w:val="-54"/>
        </w:rPr>
        <w:t> </w:t>
      </w:r>
      <w:r>
        <w:rPr>
          <w:rFonts w:ascii="宋体" w:hAnsi="宋体" w:cs="宋体" w:eastAsia="宋体" w:hint="default"/>
        </w:rPr>
        <w:t>46.15</w:t>
      </w:r>
      <w:r>
        <w:rPr>
          <w:rFonts w:ascii="宋体" w:hAnsi="宋体" w:cs="宋体" w:eastAsia="宋体" w:hint="default"/>
          <w:spacing w:val="-56"/>
        </w:rPr>
        <w:t> </w:t>
      </w:r>
      <w:r>
        <w:rPr/>
        <w:t>万元购买辽宁辽通金融</w:t>
      </w:r>
    </w:p>
    <w:p>
      <w:pPr>
        <w:pStyle w:val="Heading4"/>
        <w:spacing w:line="269" w:lineRule="exact" w:before="0"/>
        <w:ind w:right="0"/>
        <w:jc w:val="left"/>
      </w:pPr>
      <w:r>
        <w:rPr/>
        <w:t>电子科技有限公司少数股东</w:t>
      </w:r>
      <w:r>
        <w:rPr>
          <w:spacing w:val="-40"/>
        </w:rPr>
        <w:t> </w:t>
      </w:r>
      <w:r>
        <w:rPr>
          <w:rFonts w:ascii="宋体" w:hAnsi="宋体" w:cs="宋体" w:eastAsia="宋体" w:hint="default"/>
          <w:spacing w:val="-3"/>
        </w:rPr>
        <w:t>49%</w:t>
      </w:r>
      <w:r>
        <w:rPr>
          <w:spacing w:val="-3"/>
        </w:rPr>
        <w:t>股份，购买日辽宁辽通金融电子科技有限公司净资产</w:t>
      </w:r>
      <w:r>
        <w:rPr>
          <w:spacing w:val="-40"/>
        </w:rPr>
        <w:t> </w:t>
      </w:r>
      <w:r>
        <w:rPr>
          <w:rFonts w:ascii="宋体" w:hAnsi="宋体" w:cs="宋体" w:eastAsia="宋体" w:hint="default"/>
        </w:rPr>
        <w:t>810,748.27</w:t>
      </w:r>
      <w:r>
        <w:rPr>
          <w:rFonts w:ascii="宋体" w:hAnsi="宋体" w:cs="宋体" w:eastAsia="宋体" w:hint="default"/>
          <w:spacing w:val="-42"/>
        </w:rPr>
        <w:t> </w:t>
      </w:r>
      <w:r>
        <w:rPr>
          <w:spacing w:val="-11"/>
        </w:rPr>
        <w:t>元，对应</w:t>
      </w:r>
    </w:p>
    <w:p>
      <w:pPr>
        <w:pStyle w:val="Heading4"/>
        <w:spacing w:line="240" w:lineRule="auto" w:before="116"/>
        <w:ind w:right="0"/>
        <w:jc w:val="left"/>
      </w:pPr>
      <w:r>
        <w:rPr>
          <w:rFonts w:ascii="宋体" w:hAnsi="宋体" w:cs="宋体" w:eastAsia="宋体" w:hint="default"/>
        </w:rPr>
        <w:t>49%</w:t>
      </w:r>
      <w:r>
        <w:rPr/>
        <w:t>股份的权益价值</w:t>
      </w:r>
      <w:r>
        <w:rPr>
          <w:spacing w:val="-53"/>
        </w:rPr>
        <w:t> </w:t>
      </w:r>
      <w:r>
        <w:rPr>
          <w:rFonts w:ascii="宋体" w:hAnsi="宋体" w:cs="宋体" w:eastAsia="宋体" w:hint="default"/>
        </w:rPr>
        <w:t>397,266.65</w:t>
      </w:r>
      <w:r>
        <w:rPr>
          <w:rFonts w:ascii="宋体" w:hAnsi="宋体" w:cs="宋体" w:eastAsia="宋体" w:hint="default"/>
          <w:spacing w:val="-55"/>
        </w:rPr>
        <w:t> </w:t>
      </w:r>
      <w:r>
        <w:rPr/>
        <w:t>元，溢价</w:t>
      </w:r>
      <w:r>
        <w:rPr>
          <w:spacing w:val="-55"/>
        </w:rPr>
        <w:t> </w:t>
      </w:r>
      <w:r>
        <w:rPr>
          <w:rFonts w:ascii="宋体" w:hAnsi="宋体" w:cs="宋体" w:eastAsia="宋体" w:hint="default"/>
        </w:rPr>
        <w:t>64,233.35</w:t>
      </w:r>
      <w:r>
        <w:rPr>
          <w:rFonts w:ascii="宋体" w:hAnsi="宋体" w:cs="宋体" w:eastAsia="宋体" w:hint="default"/>
          <w:spacing w:val="-53"/>
        </w:rPr>
        <w:t> </w:t>
      </w:r>
      <w:r>
        <w:rPr/>
        <w:t>元冲减资本公积的股本溢价。</w:t>
      </w:r>
    </w:p>
    <w:p>
      <w:pPr>
        <w:pStyle w:val="Heading3"/>
        <w:spacing w:line="240" w:lineRule="auto" w:before="155"/>
        <w:ind w:right="0"/>
        <w:jc w:val="left"/>
        <w:rPr>
          <w:b w:val="0"/>
          <w:bCs w:val="0"/>
        </w:rPr>
      </w:pPr>
      <w:r>
        <w:rPr>
          <w:rFonts w:ascii="宋体" w:hAnsi="宋体" w:cs="宋体" w:eastAsia="宋体" w:hint="default"/>
        </w:rPr>
        <w:t>31</w:t>
      </w:r>
      <w:r>
        <w:rPr/>
        <w:t>、其他综合收益</w:t>
      </w:r>
      <w:r>
        <w:rPr>
          <w:b w:val="0"/>
          <w:bCs w:val="0"/>
        </w:rPr>
      </w:r>
    </w:p>
    <w:p>
      <w:pPr>
        <w:spacing w:line="240" w:lineRule="auto" w:before="1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695"/>
        <w:gridCol w:w="1133"/>
        <w:gridCol w:w="986"/>
        <w:gridCol w:w="1152"/>
        <w:gridCol w:w="934"/>
        <w:gridCol w:w="936"/>
        <w:gridCol w:w="936"/>
        <w:gridCol w:w="797"/>
      </w:tblGrid>
      <w:tr>
        <w:trPr>
          <w:trHeight w:val="396" w:hRule="exact"/>
        </w:trPr>
        <w:tc>
          <w:tcPr>
            <w:tcW w:w="2695" w:type="dxa"/>
            <w:vMerge w:val="restart"/>
            <w:tcBorders>
              <w:top w:val="single" w:sz="4" w:space="0" w:color="000000"/>
              <w:left w:val="single" w:sz="4" w:space="0" w:color="000000"/>
              <w:right w:val="single" w:sz="4" w:space="0" w:color="000000"/>
            </w:tcBorders>
            <w:shd w:val="clear" w:color="auto" w:fill="D4D4D4"/>
          </w:tcPr>
          <w:p>
            <w:pPr/>
          </w:p>
        </w:tc>
        <w:tc>
          <w:tcPr>
            <w:tcW w:w="1133" w:type="dxa"/>
            <w:vMerge w:val="restart"/>
            <w:tcBorders>
              <w:top w:val="single" w:sz="4" w:space="0" w:color="000000"/>
              <w:left w:val="single" w:sz="4" w:space="0" w:color="000000"/>
              <w:right w:val="single" w:sz="4" w:space="0" w:color="000000"/>
            </w:tcBorders>
            <w:shd w:val="clear" w:color="auto" w:fill="D4D4D4"/>
          </w:tcPr>
          <w:p>
            <w:pPr/>
          </w:p>
        </w:tc>
        <w:tc>
          <w:tcPr>
            <w:tcW w:w="494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22" w:hRule="exact"/>
        </w:trPr>
        <w:tc>
          <w:tcPr>
            <w:tcW w:w="2695" w:type="dxa"/>
            <w:vMerge/>
            <w:tcBorders>
              <w:left w:val="single" w:sz="4" w:space="0" w:color="000000"/>
              <w:bottom w:val="nil" w:sz="6" w:space="0" w:color="auto"/>
              <w:right w:val="single" w:sz="4" w:space="0" w:color="000000"/>
            </w:tcBorders>
            <w:shd w:val="clear" w:color="auto" w:fill="D4D4D4"/>
          </w:tcPr>
          <w:p>
            <w:pPr/>
          </w:p>
        </w:tc>
        <w:tc>
          <w:tcPr>
            <w:tcW w:w="1133" w:type="dxa"/>
            <w:vMerge/>
            <w:tcBorders>
              <w:left w:val="single" w:sz="4" w:space="0" w:color="000000"/>
              <w:bottom w:val="nil" w:sz="6" w:space="0" w:color="auto"/>
              <w:right w:val="single" w:sz="4" w:space="0" w:color="000000"/>
            </w:tcBorders>
            <w:shd w:val="clear" w:color="auto" w:fill="D4D4D4"/>
          </w:tcPr>
          <w:p>
            <w:pPr/>
          </w:p>
        </w:tc>
        <w:tc>
          <w:tcPr>
            <w:tcW w:w="98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68" w:hRule="exact"/>
        </w:trPr>
        <w:tc>
          <w:tcPr>
            <w:tcW w:w="26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8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94"/>
              <w:ind w:left="129" w:right="36"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tcBorders>
              <w:left w:val="single" w:sz="4" w:space="0" w:color="000000"/>
              <w:right w:val="single" w:sz="4" w:space="0" w:color="000000"/>
            </w:tcBorders>
            <w:shd w:val="clear" w:color="auto" w:fill="D4D4D4"/>
          </w:tcPr>
          <w:p>
            <w:pP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695" w:type="dxa"/>
            <w:vMerge w:val="restart"/>
            <w:tcBorders>
              <w:top w:val="nil" w:sz="6" w:space="0" w:color="auto"/>
              <w:left w:val="single" w:sz="4" w:space="0" w:color="000000"/>
              <w:right w:val="single" w:sz="4" w:space="0" w:color="000000"/>
            </w:tcBorders>
            <w:shd w:val="clear" w:color="auto" w:fill="D4D4D4"/>
          </w:tcPr>
          <w:p>
            <w:pPr/>
          </w:p>
        </w:tc>
        <w:tc>
          <w:tcPr>
            <w:tcW w:w="1133" w:type="dxa"/>
            <w:vMerge w:val="restart"/>
            <w:tcBorders>
              <w:top w:val="nil" w:sz="6" w:space="0" w:color="auto"/>
              <w:left w:val="single" w:sz="4" w:space="0" w:color="000000"/>
              <w:right w:val="single" w:sz="4" w:space="0" w:color="000000"/>
            </w:tcBorders>
            <w:shd w:val="clear" w:color="auto" w:fill="D4D4D4"/>
          </w:tcPr>
          <w:p>
            <w:pPr/>
          </w:p>
        </w:tc>
        <w:tc>
          <w:tcPr>
            <w:tcW w:w="986" w:type="dxa"/>
            <w:vMerge/>
            <w:tcBorders>
              <w:left w:val="single" w:sz="4" w:space="0" w:color="000000"/>
              <w:bottom w:val="nil" w:sz="6" w:space="0" w:color="auto"/>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695" w:type="dxa"/>
            <w:vMerge/>
            <w:tcBorders>
              <w:left w:val="single" w:sz="4" w:space="0" w:color="000000"/>
              <w:bottom w:val="single" w:sz="4" w:space="0" w:color="000000"/>
              <w:right w:val="single" w:sz="4" w:space="0" w:color="000000"/>
            </w:tcBorders>
            <w:shd w:val="clear" w:color="auto" w:fill="D4D4D4"/>
          </w:tcPr>
          <w:p>
            <w:pPr/>
          </w:p>
        </w:tc>
        <w:tc>
          <w:tcPr>
            <w:tcW w:w="1133" w:type="dxa"/>
            <w:vMerge/>
            <w:tcBorders>
              <w:left w:val="single" w:sz="4" w:space="0" w:color="000000"/>
              <w:bottom w:val="single" w:sz="4" w:space="0" w:color="000000"/>
              <w:right w:val="single" w:sz="4" w:space="0" w:color="000000"/>
            </w:tcBorders>
            <w:shd w:val="clear" w:color="auto" w:fill="D4D4D4"/>
          </w:tcPr>
          <w:p>
            <w:pPr/>
          </w:p>
        </w:tc>
        <w:tc>
          <w:tcPr>
            <w:tcW w:w="98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一、以后不能重分类进损益的其他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综合收益</w:t>
            </w:r>
          </w:p>
        </w:tc>
        <w:tc>
          <w:tcPr>
            <w:tcW w:w="1133" w:type="dxa"/>
            <w:tcBorders>
              <w:top w:val="single" w:sz="4" w:space="0" w:color="000000"/>
              <w:left w:val="single" w:sz="10" w:space="0" w:color="D4D4D4"/>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pacing w:val="-5"/>
                <w:sz w:val="18"/>
                <w:szCs w:val="18"/>
              </w:rPr>
              <w:t>其中：重新计算设定受益计划净负</w:t>
            </w:r>
          </w:p>
        </w:tc>
        <w:tc>
          <w:tcPr>
            <w:tcW w:w="1133" w:type="dxa"/>
            <w:tcBorders>
              <w:top w:val="single" w:sz="4" w:space="0" w:color="000000"/>
              <w:left w:val="single" w:sz="10" w:space="0" w:color="D4D4D4"/>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1133"/>
        <w:gridCol w:w="986"/>
        <w:gridCol w:w="1152"/>
        <w:gridCol w:w="934"/>
        <w:gridCol w:w="936"/>
        <w:gridCol w:w="936"/>
        <w:gridCol w:w="797"/>
      </w:tblGrid>
      <w:tr>
        <w:trPr>
          <w:trHeight w:val="36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债和净资产的变动</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9"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 能重分类进损益的其他综合收益 中享有的份额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5"/>
                <w:sz w:val="18"/>
                <w:szCs w:val="18"/>
              </w:rPr>
              <w:t>二、以后将重分类进损益的其他综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-844,445.51</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1,435,611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r>
        <w:trPr>
          <w:trHeight w:val="102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5"/>
                <w:sz w:val="18"/>
                <w:szCs w:val="18"/>
              </w:rPr>
              <w:t>其中：权益法下在被投资单位以后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将重分类进损益的其他综合收益 中享有的份额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9"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9"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 可供出售金融资产损益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-844,445.51</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1,435,611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-844,445.51</w:t>
            </w:r>
            <w:r>
              <w:rPr>
                <w:rFonts w:ascii="Times New Roman"/>
                <w:sz w:val="18"/>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2,280,057.3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1,435,611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32</w:t>
      </w:r>
      <w:r>
        <w:rPr/>
        <w:t>、盈余公积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bookmarkStart w:name="32、盈余公积" w:id="294"/>
            <w:bookmarkEnd w:id="294"/>
            <w:r>
              <w:rPr/>
            </w: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69,736,289.14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469,973,701.88</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400,237,412.74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69,736,289.14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469,973,701.88</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33</w:t>
      </w:r>
      <w:r>
        <w:rPr/>
        <w:t>、未分配利润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2,670,174,408.46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2,241,056,</w:t>
            </w:r>
            <w:bookmarkStart w:name="33、未分配利润" w:id="295"/>
            <w:bookmarkEnd w:id="295"/>
            <w:r>
              <w:rPr>
                <w:rFonts w:ascii="Times New Roman"/>
                <w:spacing w:val="-1"/>
                <w:sz w:val="18"/>
              </w:rPr>
              <w:t>8</w:t>
            </w:r>
            <w:r>
              <w:rPr>
                <w:rFonts w:ascii="Times New Roman"/>
                <w:spacing w:val="-1"/>
                <w:sz w:val="18"/>
              </w:rPr>
              <w:t>86.31</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898,465,097.07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807,445,127.21</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69,736,289.14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79,432,682.86</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538,010,860.20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149,447,461.20</w:t>
            </w:r>
            <w:r>
              <w:rPr>
                <w:rFonts w:ascii="Times New Roman"/>
                <w:sz w:val="18"/>
              </w:rPr>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149,447,461.00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2" w:right="0"/>
              <w:jc w:val="left"/>
              <w:rPr>
                <w:rFonts w:ascii="Times New Roman" w:hAnsi="Times New Roman" w:cs="Times New Roman" w:eastAsia="Times New Roman" w:hint="default"/>
                <w:sz w:val="18"/>
                <w:szCs w:val="18"/>
              </w:rPr>
            </w:pPr>
            <w:r>
              <w:rPr>
                <w:rFonts w:ascii="Times New Roman"/>
                <w:sz w:val="18"/>
              </w:rPr>
              <w:t>2,960,892,356.19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9" w:right="0"/>
              <w:jc w:val="left"/>
              <w:rPr>
                <w:rFonts w:ascii="Times New Roman" w:hAnsi="Times New Roman" w:cs="Times New Roman" w:eastAsia="Times New Roman" w:hint="default"/>
                <w:sz w:val="18"/>
                <w:szCs w:val="18"/>
              </w:rPr>
            </w:pPr>
            <w:r>
              <w:rPr>
                <w:rFonts w:ascii="Times New Roman"/>
                <w:sz w:val="18"/>
              </w:rPr>
              <w:t>2,670,174,408.46</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bookmarkStart w:name="37、管理费用" w:id="296"/>
      <w:bookmarkEnd w:id="296"/>
      <w:r>
        <w:rPr>
          <w:b w:val="0"/>
          <w:bCs w:val="0"/>
        </w:rPr>
      </w:r>
      <w:r>
        <w:rPr>
          <w:rFonts w:ascii="Times New Roman" w:hAnsi="Times New Roman" w:cs="Times New Roman" w:eastAsia="Times New Roman" w:hint="default"/>
        </w:rPr>
        <w:t>34</w:t>
      </w:r>
      <w:bookmarkStart w:name="34、营业收入和营业成本" w:id="297"/>
      <w:bookmarkEnd w:id="297"/>
      <w:r>
        <w:rPr>
          <w:rFonts w:ascii="Times New Roman" w:hAnsi="Times New Roman" w:cs="Times New Roman" w:eastAsia="Times New Roman" w:hint="default"/>
        </w:rPr>
      </w:r>
      <w:r>
        <w:rPr/>
        <w:t>、营业收入和营业成本</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3,972,941,256.17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1,899,362,127.54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3,151,910,135.24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1,424,260,299.04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3,972,941,256.17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1,899,362,127.54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3,151,910,135.24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1,424,260,299.04</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35</w:t>
      </w:r>
      <w:r>
        <w:rPr/>
        <w:t>、营业税金及附加</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35、营业税金及附加" w:id="298"/>
            <w:bookmarkEnd w:id="298"/>
            <w:r>
              <w:rPr/>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15,770,213.26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9,270,369.96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21,980,867.52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21,916,461.29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8,782,479.58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9,401,332.44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6,914,248.59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6,267,555.11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1,257,005.63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840,969.18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54,704,814.58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47,696,687.98</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36</w:t>
      </w:r>
      <w:r>
        <w:rPr/>
        <w:t>、销售费用</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36、销售费用" w:id="299"/>
            <w:bookmarkEnd w:id="299"/>
            <w:r>
              <w:rPr/>
            </w: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298,901,155.72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230,332,389.93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76,998,468.12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61,537,666.60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109,043,414.55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78,775,497.57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70,125,442.27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42,536,188.63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29,757,706.77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25,867,463.55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31,633,334.94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23,856,772.44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31,916,238.86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50,069,548.71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62,977,241.80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67,067,229.70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711,353,003.03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580,042,757.13</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37</w:t>
      </w:r>
      <w:r>
        <w:rPr/>
        <w:t>、管理费用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242,196,586.36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203,310,915.65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194,677,839.59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180,882,619.07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16,808,694.23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12,426,296.17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10,213,109.69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10,755,525.77</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7,739,387.04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6,835,122.23</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54,313,236.59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37,098,018.80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525,948,853.50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451,308,497.69</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38、财务费用" w:id="300"/>
            <w:bookmarkEnd w:id="300"/>
            <w:r>
              <w:rPr/>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79,688.19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15,891,977.48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11,070,377.35</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-89,755.73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5,012,056.61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1,126,485.06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868,477.05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-14,775,559.96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-5,189,843.69</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39、资产减值损失" w:id="301"/>
            <w:bookmarkEnd w:id="301"/>
            <w:r>
              <w:rPr/>
            </w: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5,984,791.85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-3,226,033.37</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9,991,760.25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4,558,160.24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3,195,709.36</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3"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20,534,712.34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-30,324.01</w:t>
            </w:r>
            <w:r>
              <w:rPr>
                <w:rFonts w:ascii="Times New Roman"/>
                <w:sz w:val="18"/>
              </w:rPr>
            </w:r>
          </w:p>
        </w:tc>
      </w:tr>
    </w:tbl>
    <w:p>
      <w:pPr>
        <w:pStyle w:val="Heading4"/>
        <w:spacing w:line="376" w:lineRule="auto" w:before="64"/>
        <w:ind w:left="575" w:right="0" w:hanging="3"/>
        <w:jc w:val="left"/>
      </w:pPr>
      <w:r>
        <w:rPr/>
        <w:t>其他说明：</w:t>
      </w:r>
      <w:r>
        <w:rPr>
          <w:spacing w:val="-102"/>
        </w:rPr>
        <w:t> </w:t>
      </w:r>
      <w:r>
        <w:rPr>
          <w:spacing w:val="-102"/>
        </w:rPr>
      </w:r>
      <w:r>
        <w:rPr/>
        <w:t>可供出售金融资产减值准备本期计提转入</w:t>
      </w:r>
      <w:r>
        <w:rPr>
          <w:rFonts w:ascii="宋体" w:hAnsi="宋体" w:cs="宋体" w:eastAsia="宋体" w:hint="default"/>
        </w:rPr>
        <w:t>4,446,274.96</w:t>
      </w:r>
      <w:r>
        <w:rPr/>
        <w:t>元，与上表可供出售金融资产减值损失差额</w:t>
      </w:r>
    </w:p>
    <w:p>
      <w:pPr>
        <w:pStyle w:val="Heading4"/>
        <w:spacing w:line="269" w:lineRule="exact" w:before="0"/>
        <w:ind w:right="0"/>
        <w:jc w:val="left"/>
      </w:pPr>
      <w:r>
        <w:rPr>
          <w:rFonts w:ascii="宋体" w:hAnsi="宋体" w:cs="宋体" w:eastAsia="宋体" w:hint="default"/>
        </w:rPr>
        <w:t>111,885.28</w:t>
      </w:r>
      <w:r>
        <w:rPr/>
        <w:t>元是汇率折算影响数。</w:t>
      </w:r>
    </w:p>
    <w:p>
      <w:pPr>
        <w:spacing w:after="0" w:line="269" w:lineRule="exact"/>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38" w:lineRule="auto" w:before="36"/>
        <w:ind w:left="212" w:right="101" w:firstLine="422"/>
        <w:jc w:val="left"/>
      </w:pPr>
      <w:bookmarkStart w:name="42、营业外支出" w:id="302"/>
      <w:bookmarkEnd w:id="302"/>
      <w:r>
        <w:rPr/>
      </w:r>
      <w:r>
        <w:rPr>
          <w:spacing w:val="-2"/>
        </w:rPr>
        <w:t>坏账减值准备本期计提转入</w:t>
      </w:r>
      <w:r>
        <w:rPr>
          <w:rFonts w:ascii="宋体" w:hAnsi="宋体" w:cs="宋体" w:eastAsia="宋体" w:hint="default"/>
          <w:spacing w:val="-2"/>
        </w:rPr>
        <w:t>6,552,000.06</w:t>
      </w:r>
      <w:r>
        <w:rPr>
          <w:spacing w:val="-2"/>
        </w:rPr>
        <w:t>元，与上表坏账损失差额</w:t>
      </w:r>
      <w:r>
        <w:rPr>
          <w:rFonts w:ascii="宋体" w:hAnsi="宋体" w:cs="宋体" w:eastAsia="宋体" w:hint="default"/>
          <w:spacing w:val="-2"/>
        </w:rPr>
        <w:t>567,208.21</w:t>
      </w:r>
      <w:r>
        <w:rPr>
          <w:spacing w:val="-2"/>
        </w:rPr>
        <w:t>元是汇率折算、收购公</w:t>
      </w:r>
      <w:r>
        <w:rPr>
          <w:w w:val="100"/>
        </w:rPr>
        <w:t> </w:t>
      </w:r>
      <w:r>
        <w:rPr/>
        <w:t>司合并及坏账核销影响数。</w:t>
      </w:r>
    </w:p>
    <w:p>
      <w:pPr>
        <w:pStyle w:val="Heading4"/>
        <w:spacing w:line="338" w:lineRule="auto" w:before="30"/>
        <w:ind w:left="244" w:right="101" w:firstLine="422"/>
        <w:jc w:val="left"/>
      </w:pPr>
      <w:r>
        <w:rPr/>
        <w:t>存货减值准备本期计提转入 </w:t>
      </w:r>
      <w:r>
        <w:rPr>
          <w:rFonts w:ascii="宋体" w:hAnsi="宋体" w:cs="宋体" w:eastAsia="宋体" w:hint="default"/>
        </w:rPr>
        <w:t>9,995,627.98</w:t>
      </w:r>
      <w:r>
        <w:rPr>
          <w:rFonts w:ascii="宋体" w:hAnsi="宋体" w:cs="宋体" w:eastAsia="宋体" w:hint="default"/>
          <w:spacing w:val="42"/>
        </w:rPr>
        <w:t> </w:t>
      </w:r>
      <w:r>
        <w:rPr>
          <w:spacing w:val="-4"/>
        </w:rPr>
        <w:t>元，与上表存货减值损失差额</w:t>
      </w:r>
      <w:r>
        <w:rPr>
          <w:rFonts w:ascii="宋体" w:hAnsi="宋体" w:cs="宋体" w:eastAsia="宋体" w:hint="default"/>
          <w:spacing w:val="-4"/>
        </w:rPr>
        <w:t>3,867.73</w:t>
      </w:r>
      <w:r>
        <w:rPr>
          <w:spacing w:val="-4"/>
        </w:rPr>
        <w:t>元是本期收购公司</w:t>
      </w:r>
      <w:r>
        <w:rPr>
          <w:spacing w:val="-3"/>
          <w:w w:val="100"/>
        </w:rPr>
        <w:t> </w:t>
      </w:r>
      <w:r>
        <w:rPr/>
        <w:t>合并增加影响。</w:t>
      </w:r>
    </w:p>
    <w:p>
      <w:pPr>
        <w:spacing w:line="240" w:lineRule="auto" w:before="4"/>
        <w:rPr>
          <w:rFonts w:ascii="宋体" w:hAnsi="宋体" w:cs="宋体" w:eastAsia="宋体" w:hint="default"/>
          <w:sz w:val="22"/>
          <w:szCs w:val="22"/>
        </w:rPr>
      </w:pPr>
    </w:p>
    <w:p>
      <w:pPr>
        <w:pStyle w:val="Heading3"/>
        <w:spacing w:line="240" w:lineRule="auto" w:before="0"/>
        <w:ind w:left="632" w:right="101"/>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3461"/>
        <w:gridCol w:w="3190"/>
        <w:gridCol w:w="2918"/>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40、投资收益" w:id="303"/>
            <w:bookmarkEnd w:id="303"/>
            <w:r>
              <w:rPr/>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5,133,220.09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5,852,817.35</w:t>
            </w:r>
            <w:r>
              <w:rPr>
                <w:rFonts w:ascii="Times New Roman"/>
                <w:sz w:val="18"/>
              </w:rPr>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13" w:space="0" w:color="D4D4D4"/>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-612,958.17</w:t>
            </w:r>
            <w:r>
              <w:rPr>
                <w:rFonts w:ascii="Times New Roman"/>
                <w:sz w:val="18"/>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43,259,054.46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48,979,982.55</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48,392,274.55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54,219,841.73</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41</w:t>
      </w:r>
      <w:r>
        <w:rPr/>
        <w:t>、营业外收入</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bookmarkStart w:name="41、营业外收入" w:id="304"/>
            <w:bookmarkEnd w:id="304"/>
            <w:r>
              <w:rPr/>
            </w: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464,388.36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646,983.84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464,388.36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464,388.36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646,983.84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464,388.36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5" w:type="dxa"/>
            <w:tcBorders>
              <w:top w:val="single" w:sz="4" w:space="0" w:color="000000"/>
              <w:left w:val="single" w:sz="10" w:space="0" w:color="D4D4D4"/>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227,636,846.87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209,834,844.79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45,961,623.49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罚款及违约金赔款利得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133,968.52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232,144.31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133,968.52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2,597,589.19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1,872,964.52</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2,597,589.19</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230,832,792.94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212,586,937.46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49,157,569.56</w:t>
            </w:r>
          </w:p>
        </w:tc>
      </w:tr>
    </w:tbl>
    <w:p>
      <w:pPr>
        <w:pStyle w:val="Heading4"/>
        <w:spacing w:line="240" w:lineRule="auto" w:before="28"/>
        <w:ind w:left="632" w:right="101"/>
        <w:jc w:val="left"/>
      </w:pPr>
      <w:r>
        <w:rPr/>
        <w:t>计入当期损益的政府补助：</w:t>
      </w: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34"/>
        <w:gridCol w:w="1418"/>
        <w:gridCol w:w="1985"/>
        <w:gridCol w:w="3262"/>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181,675,223.38</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163,374,559.80</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递延收益摊销转入科技三项费用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22,729,623.27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31,130,791.61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与资产、收益相关</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23,232,000.22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15,329,493.38</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227,636,846.87</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209,834,844.79</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42</w:t>
      </w:r>
      <w:r>
        <w:rPr/>
        <w:t>、营业外支出</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3260"/>
        <w:gridCol w:w="1982"/>
        <w:gridCol w:w="2268"/>
        <w:gridCol w:w="2059"/>
      </w:tblGrid>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sz w:val="18"/>
                <w:szCs w:val="18"/>
              </w:rPr>
              <w:t>计入当期非经常性损益的</w:t>
            </w:r>
          </w:p>
        </w:tc>
      </w:tr>
    </w:tbl>
    <w:p>
      <w:pPr>
        <w:spacing w:after="0" w:line="240" w:lineRule="auto"/>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262"/>
        <w:gridCol w:w="1982"/>
        <w:gridCol w:w="2268"/>
        <w:gridCol w:w="2057"/>
      </w:tblGrid>
      <w:tr>
        <w:trPr>
          <w:trHeight w:val="362"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98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360,162.74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181,494.25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360,162.74</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8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360,162.74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181,494.25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360,162.74</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982" w:type="dxa"/>
            <w:tcBorders>
              <w:top w:val="single" w:sz="4" w:space="0" w:color="000000"/>
              <w:left w:val="single" w:sz="9" w:space="0" w:color="D4D4D4"/>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982" w:type="dxa"/>
            <w:tcBorders>
              <w:top w:val="single" w:sz="4" w:space="0" w:color="000000"/>
              <w:left w:val="single" w:sz="9" w:space="0" w:color="D4D4D4"/>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1982" w:type="dxa"/>
            <w:tcBorders>
              <w:top w:val="single" w:sz="4" w:space="0" w:color="000000"/>
              <w:left w:val="single" w:sz="9" w:space="0" w:color="D4D4D4"/>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8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112,500.00</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112,500.00</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98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253,469.80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11,352.08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253,469.80</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赔款支出</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122,106.04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1,015.00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122,106.04</w:t>
            </w:r>
          </w:p>
        </w:tc>
      </w:tr>
      <w:tr>
        <w:trPr>
          <w:trHeight w:val="40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703,042.29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3,450,770.00</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703,042.29</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1,538,780.87</w:t>
            </w:r>
            <w:r>
              <w:rPr>
                <w:rFonts w:ascii="Times New Roman"/>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3,757,131.33</w:t>
            </w:r>
            <w:r>
              <w:rPr>
                <w:rFonts w:ascii="Times New Roman"/>
                <w:sz w:val="18"/>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1,538,780.87</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所得税费用表</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43、所得税费用" w:id="305"/>
            <w:bookmarkEnd w:id="305"/>
            <w:r>
              <w:rPr/>
            </w:r>
            <w:bookmarkStart w:name="(1)所得税费用表" w:id="306"/>
            <w:bookmarkEnd w:id="306"/>
            <w:r>
              <w:rPr/>
            </w: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174,904,341.43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116,030,804.33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-31,256,547.12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-16,344,733.54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上年企业所得税汇算清缴补计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-7,726,794.17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-235,907.45</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135,921,000.14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99,450,163.34</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会计利润与所得税费用调整过程</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6073"/>
        <w:gridCol w:w="3484"/>
      </w:tblGrid>
      <w:tr>
        <w:trPr>
          <w:trHeight w:val="403"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1,053,49</w:t>
            </w:r>
            <w:bookmarkStart w:name="(2)会计利润与所得税费用调整过程" w:id="307"/>
            <w:bookmarkEnd w:id="307"/>
            <w:r>
              <w:rPr>
                <w:rFonts w:ascii="Times New Roman"/>
                <w:spacing w:val="-1"/>
                <w:sz w:val="18"/>
              </w:rPr>
              <w:t>9</w:t>
            </w:r>
            <w:r>
              <w:rPr>
                <w:rFonts w:ascii="Times New Roman"/>
                <w:spacing w:val="-1"/>
                <w:sz w:val="18"/>
              </w:rPr>
              <w:t>,591.76</w:t>
            </w:r>
          </w:p>
        </w:tc>
      </w:tr>
      <w:tr>
        <w:trPr>
          <w:trHeight w:val="403"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158,024,938.76</w:t>
            </w:r>
            <w:r>
              <w:rPr>
                <w:rFonts w:ascii="Times New Roman"/>
                <w:sz w:val="18"/>
              </w:rPr>
            </w:r>
          </w:p>
        </w:tc>
      </w:tr>
      <w:tr>
        <w:trPr>
          <w:trHeight w:val="401"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2,252,178.54</w:t>
            </w:r>
            <w:r>
              <w:rPr>
                <w:rFonts w:ascii="Times New Roman"/>
                <w:sz w:val="18"/>
              </w:rPr>
            </w:r>
          </w:p>
        </w:tc>
      </w:tr>
      <w:tr>
        <w:trPr>
          <w:trHeight w:val="403"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-7,726,794.17</w:t>
            </w:r>
            <w:r>
              <w:rPr>
                <w:rFonts w:ascii="Times New Roman"/>
                <w:sz w:val="18"/>
              </w:rPr>
            </w:r>
          </w:p>
        </w:tc>
      </w:tr>
      <w:tr>
        <w:trPr>
          <w:trHeight w:val="401"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-746,677.91</w:t>
            </w:r>
            <w:r>
              <w:rPr>
                <w:rFonts w:ascii="Times New Roman"/>
                <w:sz w:val="18"/>
              </w:rPr>
            </w:r>
          </w:p>
        </w:tc>
      </w:tr>
      <w:tr>
        <w:trPr>
          <w:trHeight w:val="403"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14,573,143.98</w:t>
            </w:r>
          </w:p>
        </w:tc>
      </w:tr>
      <w:tr>
        <w:trPr>
          <w:trHeight w:val="401" w:hRule="exact"/>
        </w:trPr>
        <w:tc>
          <w:tcPr>
            <w:tcW w:w="6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48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916,329.80</w:t>
            </w:r>
          </w:p>
        </w:tc>
      </w:tr>
      <w:tr>
        <w:trPr>
          <w:trHeight w:val="403"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-15,391,580.70</w:t>
            </w:r>
          </w:p>
        </w:tc>
      </w:tr>
      <w:tr>
        <w:trPr>
          <w:trHeight w:val="401" w:hRule="exact"/>
        </w:trPr>
        <w:tc>
          <w:tcPr>
            <w:tcW w:w="6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加计扣除的成本、费用的影响</w:t>
            </w:r>
          </w:p>
        </w:tc>
        <w:tc>
          <w:tcPr>
            <w:tcW w:w="3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-15,980,538.16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6095"/>
        <w:gridCol w:w="3473"/>
      </w:tblGrid>
      <w:tr>
        <w:trPr>
          <w:trHeight w:val="402" w:hRule="exact"/>
        </w:trPr>
        <w:tc>
          <w:tcPr>
            <w:tcW w:w="60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135,921,000.14</w:t>
            </w:r>
            <w:r>
              <w:rPr>
                <w:rFonts w:ascii="Times New Roman"/>
                <w:sz w:val="18"/>
              </w:rPr>
            </w:r>
          </w:p>
        </w:tc>
      </w:tr>
    </w:tbl>
    <w:p>
      <w:pPr>
        <w:spacing w:line="240" w:lineRule="auto" w:before="4"/>
        <w:rPr>
          <w:rFonts w:ascii="宋体" w:hAnsi="宋体" w:cs="宋体" w:eastAsia="宋体" w:hint="default"/>
          <w:b/>
          <w:bCs/>
          <w:sz w:val="19"/>
          <w:szCs w:val="19"/>
        </w:rPr>
      </w:pPr>
    </w:p>
    <w:p>
      <w:pPr>
        <w:pStyle w:val="Heading3"/>
        <w:spacing w:line="240" w:lineRule="auto"/>
        <w:ind w:right="0"/>
        <w:jc w:val="left"/>
        <w:rPr>
          <w:b w:val="0"/>
          <w:bCs w:val="0"/>
        </w:rPr>
      </w:pPr>
      <w:bookmarkStart w:name="(1)现金流量表补充资料" w:id="308"/>
      <w:bookmarkEnd w:id="308"/>
      <w:r>
        <w:rPr>
          <w:b w:val="0"/>
          <w:bCs w:val="0"/>
        </w:rPr>
      </w:r>
      <w:r>
        <w:rPr>
          <w:rFonts w:ascii="Times New Roman" w:hAnsi="Times New Roman" w:cs="Times New Roman" w:eastAsia="Times New Roman" w:hint="default"/>
        </w:rPr>
        <w:t>44</w:t>
      </w:r>
      <w:bookmarkStart w:name="44、现金流量表项目" w:id="309"/>
      <w:bookmarkEnd w:id="309"/>
      <w:r>
        <w:rPr>
          <w:rFonts w:ascii="Times New Roman" w:hAnsi="Times New Roman" w:cs="Times New Roman" w:eastAsia="Times New Roman" w:hint="default"/>
        </w:rPr>
      </w:r>
      <w:r>
        <w:rPr/>
        <w:t>、现金流量表项目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bookmarkStart w:name="(1)收到的其他与经营活动有关的现金" w:id="310"/>
      <w:bookmarkEnd w:id="310"/>
      <w:r>
        <w:rPr>
          <w:rFonts w:ascii="宋体" w:hAnsi="宋体" w:cs="宋体" w:eastAsia="宋体" w:hint="default"/>
        </w:rPr>
      </w:r>
      <w:r>
        <w:rPr/>
        <w:t>收到的其他与经营活动有关的现金</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政府补助或专项拨款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73,960,180.22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36,893,762.86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收回员工借款等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6,821,426.88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2,643,103.47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15,927,955.56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9,579,012.96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31,213,123.43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23,005,130.00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209,442,247.74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2,627,699.70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337,364,933.83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74,748,708.99</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支付的其他与经营活动有关的现金</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2)支付的其他与经营活动有关的现金" w:id="311"/>
            <w:bookmarkEnd w:id="311"/>
            <w:r>
              <w:rPr/>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510,035,916.94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409,421,526.90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27,005,435.88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17,979,760.42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36,880,159.93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24,258,187.40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308,691,381.77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7,257,809.13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882,712,894.52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459,029,783.85</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现金流量表补充资料</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655"/>
        <w:gridCol w:w="2420"/>
        <w:gridCol w:w="2482"/>
      </w:tblGrid>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4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917,578,591.62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w:t>
            </w:r>
            <w:bookmarkStart w:name="45、现金流量表补充资料" w:id="312"/>
            <w:bookmarkEnd w:id="312"/>
            <w:r>
              <w:rPr>
                <w:rFonts w:ascii="Times New Roman"/>
                <w:spacing w:val="-1"/>
                <w:sz w:val="18"/>
              </w:rPr>
              <w:t>4</w:t>
            </w:r>
            <w:r>
              <w:rPr>
                <w:rFonts w:ascii="Times New Roman"/>
                <w:spacing w:val="-1"/>
                <w:sz w:val="18"/>
              </w:rPr>
              <w:t>21,545.62</w:t>
            </w:r>
            <w:r>
              <w:rPr>
                <w:rFonts w:ascii="Times New Roman"/>
                <w:sz w:val="18"/>
              </w:rPr>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20,534,712.34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-30,324.01</w:t>
            </w:r>
            <w:r>
              <w:rPr>
                <w:rFonts w:ascii="Times New Roman"/>
                <w:sz w:val="18"/>
              </w:rPr>
            </w:r>
          </w:p>
        </w:tc>
      </w:tr>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63,542,039.41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55,254,822.06</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3,943,516.49</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1,955,402.97</w:t>
            </w:r>
            <w:r>
              <w:rPr>
                <w:rFonts w:ascii="Times New Roman"/>
                <w:sz w:val="18"/>
              </w:rPr>
            </w:r>
          </w:p>
        </w:tc>
      </w:tr>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2,637,348.61</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1,525,937.32</w:t>
            </w:r>
            <w:r>
              <w:rPr>
                <w:rFonts w:ascii="Times New Roman"/>
                <w:sz w:val="18"/>
              </w:rPr>
            </w:r>
          </w:p>
        </w:tc>
      </w:tr>
      <w:tr>
        <w:trPr>
          <w:trHeight w:val="715"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-104,225.62</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-465,489.59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655"/>
        <w:gridCol w:w="2420"/>
        <w:gridCol w:w="2482"/>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-214,093.38</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2,221,753.41</w:t>
            </w:r>
            <w:r>
              <w:rPr>
                <w:rFonts w:ascii="Times New Roman"/>
                <w:sz w:val="18"/>
              </w:rPr>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-48,392,274.55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-54,219,841.73</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-30,666,461.79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-16,635,480.29</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-590,085.33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-357,085,614.76</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-613,378,069.73</w:t>
            </w:r>
            <w:r>
              <w:rPr>
                <w:rFonts w:ascii="Times New Roman"/>
                <w:sz w:val="18"/>
              </w:rPr>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69,592,135.94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17,548,583.08</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216,799,228.95</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897,440,289.86</w:t>
            </w:r>
            <w:r>
              <w:rPr>
                <w:rFonts w:ascii="Times New Roman"/>
                <w:sz w:val="18"/>
              </w:rPr>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857,574,817.93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1,108,639,128.97</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4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50" w:right="0"/>
              <w:jc w:val="left"/>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7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4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50" w:right="0"/>
              <w:jc w:val="left"/>
              <w:rPr>
                <w:rFonts w:ascii="Times New Roman" w:hAnsi="Times New Roman" w:cs="Times New Roman" w:eastAsia="Times New Roman" w:hint="default"/>
                <w:sz w:val="18"/>
                <w:szCs w:val="18"/>
              </w:rPr>
            </w:pPr>
            <w:r>
              <w:rPr>
                <w:rFonts w:ascii="Times New Roman"/>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7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2,490,705,654.29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2,491,694,633.92</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2,491,694,633.92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1,644,875,412.34</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20" w:type="dxa"/>
            <w:tcBorders>
              <w:top w:val="single" w:sz="4" w:space="0" w:color="000000"/>
              <w:left w:val="single" w:sz="10" w:space="0" w:color="D4D4D4"/>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-988,979.63</w:t>
            </w:r>
            <w:r>
              <w:rPr>
                <w:rFonts w:ascii="Times New Roman"/>
                <w:sz w:val="18"/>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846,819,221.58</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本期支付的取得子公司的现金净额</w:t>
      </w:r>
      <w:r>
        <w:rPr>
          <w:b w:val="0"/>
          <w:bCs w:val="0"/>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w:t>
            </w:r>
            <w:bookmarkStart w:name="(2)本期支付的取得子公司的现金净额" w:id="313"/>
            <w:bookmarkEnd w:id="313"/>
            <w:r>
              <w:rPr>
                <w:rFonts w:ascii="Times New Roman"/>
                <w:spacing w:val="-1"/>
                <w:sz w:val="18"/>
              </w:rPr>
              <w:t>9</w:t>
            </w:r>
            <w:r>
              <w:rPr>
                <w:rFonts w:ascii="Times New Roman"/>
                <w:spacing w:val="-1"/>
                <w:sz w:val="18"/>
              </w:rPr>
              <w:t>78,800.00</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深圳创自技术有限公司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109,200,000.00</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r>
              <w:rPr>
                <w:rFonts w:ascii="Times New Roman"/>
                <w:sz w:val="18"/>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22,695,000.00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35,083,800.00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192,998,462.77</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深圳创自技术有限公司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143,687,239.47</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606,846.25</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6,000,644.69</w:t>
            </w:r>
            <w:r>
              <w:rPr>
                <w:rFonts w:ascii="Times New Roman"/>
                <w:sz w:val="18"/>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39,380,502.53</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3,323,229.83</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103,980,337.23</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537" w:lineRule="auto"/>
        <w:ind w:left="678" w:right="5347"/>
        <w:jc w:val="left"/>
        <w:rPr>
          <w:b w:val="0"/>
          <w:bCs w:val="0"/>
        </w:rPr>
      </w:pPr>
      <w:bookmarkStart w:name="46、所有者权益变动表项目注释" w:id="314"/>
      <w:bookmarkEnd w:id="314"/>
      <w:r>
        <w:rPr>
          <w:b w:val="0"/>
          <w:bCs w:val="0"/>
        </w:rPr>
      </w:r>
      <w:bookmarkStart w:name="47、所有权或使用权受到限制的资产" w:id="315"/>
      <w:bookmarkEnd w:id="315"/>
      <w:r>
        <w:rPr>
          <w:b w:val="0"/>
          <w:bCs w:val="0"/>
        </w:rPr>
      </w:r>
      <w:r>
        <w:rPr>
          <w:rFonts w:ascii="宋体" w:hAnsi="宋体" w:cs="宋体" w:eastAsia="宋体" w:hint="default"/>
        </w:rPr>
        <w:t>(3)</w:t>
      </w:r>
      <w:r>
        <w:rPr/>
        <w:t>本期没有收到的处置</w:t>
      </w:r>
      <w:bookmarkStart w:name="(3)本期没有收到的处置子公司的现金净额" w:id="316"/>
      <w:bookmarkEnd w:id="316"/>
      <w:r>
        <w:rPr/>
        <w:t>子公司的现金净额</w:t>
      </w:r>
      <w:r>
        <w:rPr>
          <w:spacing w:val="-104"/>
        </w:rPr>
        <w:t> </w:t>
      </w:r>
      <w:r>
        <w:rPr>
          <w:spacing w:val="-104"/>
        </w:rPr>
      </w:r>
      <w:r>
        <w:rPr>
          <w:rFonts w:ascii="宋体" w:hAnsi="宋体" w:cs="宋体" w:eastAsia="宋体" w:hint="default"/>
        </w:rPr>
        <w:t>(4)</w:t>
      </w:r>
      <w:r>
        <w:rPr/>
        <w:t>现金和现金等价物的构成</w:t>
      </w:r>
      <w:r>
        <w:rPr>
          <w:b w:val="0"/>
          <w:bCs w:val="0"/>
        </w:rPr>
      </w:r>
    </w:p>
    <w:p>
      <w:pPr>
        <w:spacing w:line="240" w:lineRule="auto" w:before="11"/>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5647"/>
        <w:gridCol w:w="1997"/>
        <w:gridCol w:w="1913"/>
      </w:tblGrid>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0" w:right="0"/>
              <w:jc w:val="left"/>
              <w:rPr>
                <w:rFonts w:ascii="宋体" w:hAnsi="宋体" w:cs="宋体" w:eastAsia="宋体" w:hint="default"/>
                <w:sz w:val="18"/>
                <w:szCs w:val="18"/>
              </w:rPr>
            </w:pPr>
            <w:bookmarkStart w:name="(4)现金和现金等价物的构成" w:id="317"/>
            <w:bookmarkEnd w:id="317"/>
            <w:r>
              <w:rPr/>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9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2,490,705,654.29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2,491,694,633.92</w:t>
            </w:r>
          </w:p>
        </w:tc>
      </w:tr>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2,649,600.14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5,324,480.35</w:t>
            </w:r>
            <w:r>
              <w:rPr>
                <w:rFonts w:ascii="Times New Roman"/>
                <w:sz w:val="18"/>
              </w:rPr>
            </w: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2,488,056,054.15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2,486,370,153.57</w:t>
            </w:r>
          </w:p>
        </w:tc>
      </w:tr>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97" w:type="dxa"/>
            <w:tcBorders>
              <w:top w:val="single" w:sz="4" w:space="0" w:color="000000"/>
              <w:left w:val="single" w:sz="10"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9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2,490,705,654.29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2,491,694,633.92</w:t>
            </w:r>
          </w:p>
        </w:tc>
      </w:tr>
      <w:tr>
        <w:trPr>
          <w:trHeight w:val="401" w:hRule="exact"/>
        </w:trPr>
        <w:tc>
          <w:tcPr>
            <w:tcW w:w="56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9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3"/>
        <w:rPr>
          <w:rFonts w:ascii="宋体" w:hAnsi="宋体" w:cs="宋体" w:eastAsia="宋体" w:hint="default"/>
          <w:b/>
          <w:bCs/>
          <w:sz w:val="19"/>
          <w:szCs w:val="19"/>
        </w:rPr>
      </w:pPr>
    </w:p>
    <w:p>
      <w:pPr>
        <w:spacing w:line="506" w:lineRule="auto" w:before="36"/>
        <w:ind w:left="572" w:right="47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21"/>
          <w:szCs w:val="21"/>
        </w:rPr>
        <w:t>本期没有对上年期末余额进行调整的</w:t>
      </w: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r>
        <w:rPr>
          <w:rFonts w:ascii="Times New Roman" w:hAnsi="Times New Roman" w:cs="Times New Roman" w:eastAsia="Times New Roman" w:hint="default"/>
          <w:sz w:val="21"/>
          <w:szCs w:val="21"/>
        </w:rPr>
        <w:t>”</w:t>
      </w:r>
      <w:r>
        <w:rPr>
          <w:rFonts w:ascii="宋体" w:hAnsi="宋体" w:cs="宋体" w:eastAsia="宋体" w:hint="default"/>
          <w:sz w:val="21"/>
          <w:szCs w:val="21"/>
        </w:rPr>
        <w:t>项目。</w:t>
      </w:r>
      <w:r>
        <w:rPr>
          <w:rFonts w:ascii="宋体" w:hAnsi="宋体" w:cs="宋体" w:eastAsia="宋体" w:hint="default"/>
          <w:spacing w:val="-3"/>
          <w:w w:val="100"/>
          <w:sz w:val="21"/>
          <w:szCs w:val="21"/>
        </w:rPr>
        <w:t> </w: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0"/>
        <w:rPr>
          <w:rFonts w:ascii="宋体" w:hAnsi="宋体" w:cs="宋体" w:eastAsia="宋体" w:hint="default"/>
          <w:b/>
          <w:bCs/>
          <w:sz w:val="5"/>
          <w:szCs w:val="5"/>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银行承兑汇票质押保证</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3,969,097.09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376" w:lineRule="auto" w:before="64"/>
        <w:ind w:left="572" w:right="0"/>
        <w:jc w:val="left"/>
      </w:pPr>
      <w:r>
        <w:rPr/>
        <w:t>其他说明：</w:t>
      </w:r>
      <w:r>
        <w:rPr>
          <w:spacing w:val="-102"/>
        </w:rPr>
        <w:t> </w:t>
      </w:r>
      <w:r>
        <w:rPr>
          <w:spacing w:val="-102"/>
        </w:rPr>
      </w:r>
      <w:r>
        <w:rPr>
          <w:spacing w:val="2"/>
        </w:rPr>
        <w:t>本公司的子公司巴彦淖尔天力保押有限责任公司向中国工商银行股份有限公司巴彦淖尔临河支行借</w:t>
      </w:r>
      <w:r>
        <w:rPr/>
      </w:r>
    </w:p>
    <w:p>
      <w:pPr>
        <w:spacing w:after="0" w:line="376"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40" w:lineRule="auto" w:before="36"/>
        <w:ind w:left="213" w:right="0" w:hanging="1"/>
        <w:jc w:val="left"/>
      </w:pPr>
      <w:r>
        <w:rPr>
          <w:spacing w:val="-4"/>
        </w:rPr>
        <w:t>入</w:t>
      </w:r>
      <w:r>
        <w:rPr>
          <w:rFonts w:ascii="宋体" w:hAnsi="宋体" w:cs="宋体" w:eastAsia="宋体" w:hint="default"/>
          <w:spacing w:val="-4"/>
        </w:rPr>
        <w:t>500</w:t>
      </w:r>
      <w:r>
        <w:rPr>
          <w:spacing w:val="-4"/>
        </w:rPr>
        <w:t>万元，借款期：</w:t>
      </w:r>
      <w:r>
        <w:rPr>
          <w:rFonts w:ascii="宋体" w:hAnsi="宋体" w:cs="宋体" w:eastAsia="宋体" w:hint="default"/>
          <w:spacing w:val="-4"/>
        </w:rPr>
        <w:t>2015</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16</w:t>
      </w:r>
      <w:r>
        <w:rPr>
          <w:spacing w:val="-4"/>
        </w:rPr>
        <w:t>日至</w:t>
      </w:r>
      <w:r>
        <w:rPr>
          <w:rFonts w:ascii="宋体" w:hAnsi="宋体" w:cs="宋体" w:eastAsia="宋体" w:hint="default"/>
          <w:spacing w:val="-4"/>
        </w:rPr>
        <w:t>2016</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16</w:t>
      </w:r>
      <w:r>
        <w:rPr>
          <w:spacing w:val="-4"/>
        </w:rPr>
        <w:t>日，借款利率为基准利润上浮</w:t>
      </w:r>
      <w:r>
        <w:rPr>
          <w:rFonts w:ascii="宋体" w:hAnsi="宋体" w:cs="宋体" w:eastAsia="宋体" w:hint="default"/>
          <w:spacing w:val="-4"/>
        </w:rPr>
        <w:t>30%</w:t>
      </w:r>
      <w:r>
        <w:rPr>
          <w:spacing w:val="-4"/>
        </w:rPr>
        <w:t>，每</w:t>
      </w:r>
      <w:r>
        <w:rPr>
          <w:rFonts w:ascii="宋体" w:hAnsi="宋体" w:cs="宋体" w:eastAsia="宋体" w:hint="default"/>
          <w:spacing w:val="-4"/>
        </w:rPr>
        <w:t>12</w:t>
      </w:r>
      <w:r>
        <w:rPr>
          <w:spacing w:val="-4"/>
        </w:rPr>
        <w:t>个月调整一次；</w:t>
      </w:r>
      <w:r>
        <w:rPr>
          <w:spacing w:val="-19"/>
        </w:rPr>
        <w:t> </w:t>
      </w:r>
      <w:r>
        <w:rPr>
          <w:spacing w:val="-19"/>
        </w:rPr>
      </w:r>
      <w:r>
        <w:rPr/>
        <w:t>巴彦淖尔天力保押有限责任公司用临河区解放办解放街南侧房权证巴房字第</w:t>
      </w:r>
      <w:r>
        <w:rPr>
          <w:rFonts w:ascii="宋体" w:hAnsi="宋体" w:cs="宋体" w:eastAsia="宋体" w:hint="default"/>
        </w:rPr>
        <w:t>03026373</w:t>
      </w:r>
      <w:r>
        <w:rPr/>
        <w:t>号和临河区解放街</w:t>
      </w:r>
      <w:r>
        <w:rPr>
          <w:spacing w:val="62"/>
        </w:rPr>
        <w:t> </w:t>
      </w:r>
      <w:r>
        <w:rPr>
          <w:spacing w:val="62"/>
        </w:rPr>
      </w:r>
      <w:r>
        <w:rPr>
          <w:rFonts w:ascii="宋体" w:hAnsi="宋体" w:cs="宋体" w:eastAsia="宋体" w:hint="default"/>
        </w:rPr>
        <w:t>157</w:t>
      </w:r>
      <w:r>
        <w:rPr/>
        <w:t>号巴国用（</w:t>
      </w:r>
      <w:r>
        <w:rPr>
          <w:rFonts w:ascii="宋体" w:hAnsi="宋体" w:cs="宋体" w:eastAsia="宋体" w:hint="default"/>
        </w:rPr>
        <w:t>2006</w:t>
      </w:r>
      <w:r>
        <w:rPr/>
        <w:t>）第</w:t>
      </w:r>
      <w:r>
        <w:rPr>
          <w:rFonts w:ascii="宋体" w:hAnsi="宋体" w:cs="宋体" w:eastAsia="宋体" w:hint="default"/>
        </w:rPr>
        <w:t>1128</w:t>
      </w:r>
      <w:r>
        <w:rPr/>
        <w:t>号房产作为该项借款的抵押。</w:t>
      </w:r>
    </w:p>
    <w:p>
      <w:pPr>
        <w:spacing w:line="240" w:lineRule="auto" w:before="13"/>
        <w:rPr>
          <w:rFonts w:ascii="宋体" w:hAnsi="宋体" w:cs="宋体" w:eastAsia="宋体" w:hint="default"/>
          <w:sz w:val="21"/>
          <w:szCs w:val="21"/>
        </w:rPr>
      </w:pPr>
    </w:p>
    <w:p>
      <w:pPr>
        <w:pStyle w:val="Heading3"/>
        <w:spacing w:line="240" w:lineRule="auto" w:before="0"/>
        <w:ind w:left="632" w:right="0"/>
        <w:jc w:val="left"/>
        <w:rPr>
          <w:b w:val="0"/>
          <w:bCs w:val="0"/>
        </w:rPr>
      </w:pPr>
      <w:r>
        <w:rPr>
          <w:rFonts w:ascii="Times New Roman" w:hAnsi="Times New Roman" w:cs="Times New Roman" w:eastAsia="Times New Roman" w:hint="default"/>
        </w:rPr>
        <w:t>48</w:t>
      </w:r>
      <w:bookmarkStart w:name="48、外币货币性项目" w:id="318"/>
      <w:bookmarkEnd w:id="318"/>
      <w:r>
        <w:rPr>
          <w:rFonts w:ascii="Times New Roman" w:hAnsi="Times New Roman" w:cs="Times New Roman" w:eastAsia="Times New Roman" w:hint="default"/>
        </w:rPr>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632" w:right="0"/>
        <w:jc w:val="left"/>
        <w:rPr>
          <w:b w:val="0"/>
          <w:bCs w:val="0"/>
        </w:rPr>
      </w:pPr>
      <w:r>
        <w:rPr>
          <w:rFonts w:ascii="宋体" w:hAnsi="宋体" w:cs="宋体" w:eastAsia="宋体" w:hint="default"/>
        </w:rPr>
        <w:t>(1)</w:t>
      </w:r>
      <w:r>
        <w:rPr/>
        <w:t>外币货币性项目</w:t>
      </w:r>
      <w:r>
        <w:rPr>
          <w:b w:val="0"/>
          <w:bCs w:val="0"/>
        </w:rPr>
      </w:r>
    </w:p>
    <w:p>
      <w:pPr>
        <w:spacing w:line="240" w:lineRule="auto" w:before="12"/>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2484"/>
        <w:gridCol w:w="2304"/>
        <w:gridCol w:w="2390"/>
        <w:gridCol w:w="2390"/>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1" w:right="0"/>
              <w:jc w:val="left"/>
              <w:rPr>
                <w:rFonts w:ascii="宋体" w:hAnsi="宋体" w:cs="宋体" w:eastAsia="宋体" w:hint="default"/>
                <w:sz w:val="18"/>
                <w:szCs w:val="18"/>
              </w:rPr>
            </w:pPr>
            <w:bookmarkStart w:name="(1)外币货币性项目" w:id="319"/>
            <w:bookmarkEnd w:id="319"/>
            <w:r>
              <w:rPr/>
            </w: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12,170,953.23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79,033,301.89</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1,248,799.38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8,860,481.36</w:t>
            </w:r>
            <w:r>
              <w:rPr>
                <w:rFonts w:ascii="Times New Roman"/>
                <w:sz w:val="18"/>
              </w:rPr>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12,181,416.45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10,205,590.70</w:t>
            </w:r>
            <w:r>
              <w:rPr>
                <w:rFonts w:ascii="Times New Roman"/>
                <w:sz w:val="18"/>
              </w:rPr>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墨西哥比索</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91,763.34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34,347.02</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93.19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427.51</w:t>
            </w:r>
            <w:r>
              <w:rPr>
                <w:rFonts w:ascii="Times New Roman"/>
                <w:sz w:val="18"/>
              </w:rPr>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47,906.20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106,505.06</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12,191,114.32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79,164,219.95</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3,555,470.70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25,226,775.71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30,605,928.50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25,641,646.90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345,364.64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767,814.67</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38,835.08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252,179.48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40,164.52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260,812.33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16,227.54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115,137.64</w:t>
            </w:r>
            <w:r>
              <w:rPr>
                <w:rFonts w:ascii="Times New Roman"/>
                <w:sz w:val="18"/>
              </w:rPr>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159,050.55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133,252.55</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墨西哥比索</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185,982.20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69,613.14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29"/>
              <w:jc w:val="right"/>
              <w:rPr>
                <w:rFonts w:ascii="宋体" w:hAnsi="宋体" w:cs="宋体" w:eastAsia="宋体" w:hint="default"/>
                <w:sz w:val="18"/>
                <w:szCs w:val="18"/>
              </w:rPr>
            </w:pPr>
            <w:r>
              <w:rPr>
                <w:rFonts w:ascii="宋体" w:hAnsi="宋体" w:cs="宋体" w:eastAsia="宋体" w:hint="default"/>
                <w:sz w:val="18"/>
                <w:szCs w:val="18"/>
              </w:rPr>
              <w:t>土耳其里拉</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68,339.92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151,933.31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2,201,711,380.00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660,513.41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里亚尔</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215,999,845.00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43,199.97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2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2495"/>
        <w:gridCol w:w="2292"/>
        <w:gridCol w:w="2390"/>
        <w:gridCol w:w="2390"/>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61"/>
              <w:jc w:val="right"/>
              <w:rPr>
                <w:rFonts w:ascii="宋体" w:hAnsi="宋体" w:cs="宋体" w:eastAsia="宋体" w:hint="default"/>
                <w:sz w:val="18"/>
                <w:szCs w:val="18"/>
              </w:rPr>
            </w:pPr>
            <w:r>
              <w:rPr>
                <w:rFonts w:ascii="宋体" w:hAnsi="宋体" w:cs="宋体" w:eastAsia="宋体" w:hint="default"/>
                <w:sz w:val="18"/>
                <w:szCs w:val="18"/>
              </w:rPr>
              <w:t>马来西亚令吉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9,964.00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1.5071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15,016.74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518.00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2,376.33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14,423.85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87,910.41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623,741.94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171,149.45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143,389.01</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2,253,733.67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843,572.51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270,285.86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600,899.52</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10,528,271.17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68,366,381.67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818,223.07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5,805,456.33</w:t>
            </w:r>
            <w:r>
              <w:rPr>
                <w:rFonts w:ascii="Times New Roman"/>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6,239,582.02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5,227,521.82</w:t>
            </w:r>
            <w:r>
              <w:rPr>
                <w:rFonts w:ascii="Times New Roman"/>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35,617.68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231,286.97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5,357.01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38,009.06</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246,055.35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206,145.17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244,268.84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91,429.83</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190,701.91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423,968.49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4,679.00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44,992.80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3,319.43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15,227.89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214,172.24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1,390,748.86</w:t>
            </w:r>
            <w:r>
              <w:rPr>
                <w:rFonts w:ascii="Times New Roman"/>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45,807.52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325,013.52</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306,550.06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0.8378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256,827.64</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墨西哥比索</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296,285.88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0.3743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110,899.80</w:t>
            </w:r>
            <w:r>
              <w:rPr>
                <w:rFonts w:ascii="Times New Roman"/>
                <w:sz w:val="18"/>
              </w:rPr>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土耳其里拉</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809,198.68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2.2232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1,799,010.51</w:t>
            </w:r>
            <w:r>
              <w:rPr>
                <w:rFonts w:ascii="Times New Roman"/>
                <w:sz w:val="18"/>
              </w:rPr>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21,579.56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9.6159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207,506.89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3,262.00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4.5875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14,964.43</w:t>
            </w:r>
          </w:p>
        </w:tc>
      </w:tr>
    </w:tbl>
    <w:p>
      <w:pPr>
        <w:spacing w:line="240" w:lineRule="auto" w:before="3"/>
        <w:rPr>
          <w:rFonts w:ascii="宋体" w:hAnsi="宋体" w:cs="宋体" w:eastAsia="宋体" w:hint="default"/>
          <w:b/>
          <w:bCs/>
          <w:sz w:val="19"/>
          <w:szCs w:val="19"/>
        </w:rPr>
      </w:pPr>
    </w:p>
    <w:p>
      <w:pPr>
        <w:pStyle w:val="Heading3"/>
        <w:spacing w:line="273" w:lineRule="auto"/>
        <w:ind w:left="212" w:right="101" w:firstLine="420"/>
        <w:jc w:val="left"/>
        <w:rPr>
          <w:b w:val="0"/>
          <w:bCs w:val="0"/>
        </w:rPr>
      </w:pPr>
      <w:bookmarkStart w:name="(2)境外经营实体说明，包括对于重要的境外经营实体，应披露其境外主要经营地、记账" w:id="320"/>
      <w:bookmarkEnd w:id="320"/>
      <w:r>
        <w:rPr>
          <w:b w:val="0"/>
          <w:bCs w:val="0"/>
        </w:rPr>
      </w:r>
      <w:r>
        <w:rPr>
          <w:rFonts w:ascii="宋体" w:hAnsi="宋体" w:cs="宋体" w:eastAsia="宋体" w:hint="default"/>
        </w:rPr>
        <w:t>(2)</w:t>
      </w:r>
      <w:r>
        <w:rPr/>
        <w:t>境外经营实体说明，包括对于重要的境外经营实体，应披露其境外主要经营地、记账本位币及选</w:t>
      </w:r>
      <w:r>
        <w:rPr>
          <w:w w:val="100"/>
        </w:rPr>
        <w:t> </w:t>
      </w:r>
      <w:r>
        <w:rPr/>
        <w:t>择依据，记账本位币发生变化的还应披露原因。</w:t>
      </w:r>
      <w:r>
        <w:rPr>
          <w:b w:val="0"/>
          <w:bCs w:val="0"/>
        </w:rPr>
      </w:r>
    </w:p>
    <w:p>
      <w:pPr>
        <w:spacing w:line="240" w:lineRule="auto" w:before="6"/>
        <w:rPr>
          <w:rFonts w:ascii="宋体" w:hAnsi="宋体" w:cs="宋体" w:eastAsia="宋体" w:hint="default"/>
          <w:b/>
          <w:bCs/>
          <w:sz w:val="26"/>
          <w:szCs w:val="26"/>
        </w:rPr>
      </w:pPr>
    </w:p>
    <w:p>
      <w:pPr>
        <w:pStyle w:val="Heading4"/>
        <w:spacing w:line="340" w:lineRule="auto" w:before="0"/>
        <w:ind w:left="212" w:right="101" w:firstLine="420"/>
        <w:jc w:val="left"/>
      </w:pPr>
      <w:r>
        <w:rPr/>
        <w:t>本公司的重要境外经营实体是全资子公司</w:t>
      </w:r>
      <w:r>
        <w:rPr>
          <w:rFonts w:ascii="宋体" w:hAnsi="宋体" w:cs="宋体" w:eastAsia="宋体" w:hint="default"/>
        </w:rPr>
        <w:t>GRG Banking</w:t>
      </w:r>
      <w:r>
        <w:rPr>
          <w:rFonts w:ascii="宋体" w:hAnsi="宋体" w:cs="宋体" w:eastAsia="宋体" w:hint="default"/>
          <w:spacing w:val="68"/>
        </w:rPr>
        <w:t> </w:t>
      </w:r>
      <w:r>
        <w:rPr>
          <w:rFonts w:ascii="宋体" w:hAnsi="宋体" w:cs="宋体" w:eastAsia="宋体" w:hint="default"/>
        </w:rPr>
        <w:t>Equipment(HK)Co.Limited</w:t>
      </w:r>
      <w:r>
        <w:rPr/>
        <w:t>，主要经营地是香</w:t>
      </w:r>
      <w:r>
        <w:rPr>
          <w:spacing w:val="2"/>
          <w:w w:val="100"/>
        </w:rPr>
        <w:t> </w:t>
      </w:r>
      <w:r>
        <w:rPr/>
        <w:t>港，记账本位币是港元。</w:t>
      </w:r>
    </w:p>
    <w:p>
      <w:pPr>
        <w:spacing w:after="0" w:line="340" w:lineRule="auto"/>
        <w:jc w:val="left"/>
        <w:sectPr>
          <w:pgSz w:w="11910" w:h="16840"/>
          <w:pgMar w:header="877" w:footer="982" w:top="1100" w:bottom="1180" w:left="920" w:right="980"/>
        </w:sectPr>
      </w:pPr>
    </w:p>
    <w:p>
      <w:pPr>
        <w:spacing w:line="240" w:lineRule="auto" w:before="9"/>
        <w:rPr>
          <w:rFonts w:ascii="宋体" w:hAnsi="宋体" w:cs="宋体" w:eastAsia="宋体" w:hint="default"/>
          <w:sz w:val="19"/>
          <w:szCs w:val="19"/>
        </w:rPr>
      </w:pPr>
    </w:p>
    <w:p>
      <w:pPr>
        <w:pStyle w:val="Heading2"/>
        <w:spacing w:line="240" w:lineRule="auto" w:before="26"/>
        <w:ind w:left="632" w:right="101"/>
        <w:jc w:val="left"/>
        <w:rPr>
          <w:b w:val="0"/>
          <w:bCs w:val="0"/>
        </w:rPr>
      </w:pPr>
      <w:bookmarkStart w:name="(2)合并成本及商誉" w:id="321"/>
      <w:bookmarkEnd w:id="321"/>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632" w:right="101"/>
        <w:jc w:val="left"/>
      </w:pPr>
      <w:bookmarkStart w:name="八、合并范围的变更" w:id="322"/>
      <w:bookmarkEnd w:id="322"/>
      <w:r>
        <w:rPr/>
      </w:r>
      <w:r>
        <w:rPr/>
        <w:t>（以下金额单位若未特别注明者均为人民币元）</w:t>
      </w:r>
    </w:p>
    <w:p>
      <w:pPr>
        <w:pStyle w:val="Heading3"/>
        <w:spacing w:line="535" w:lineRule="auto" w:before="37"/>
        <w:ind w:left="738" w:right="5768" w:hanging="106"/>
        <w:jc w:val="left"/>
        <w:rPr>
          <w:b w:val="0"/>
          <w:bCs w:val="0"/>
        </w:rPr>
      </w:pPr>
      <w:r>
        <w:rPr>
          <w:rFonts w:ascii="宋体" w:hAnsi="宋体" w:cs="宋体" w:eastAsia="宋体" w:hint="default"/>
        </w:rPr>
        <w:t>1</w:t>
      </w:r>
      <w:r>
        <w:rPr/>
        <w:t>、非同一控制下企业合并</w:t>
      </w:r>
      <w:r>
        <w:rPr>
          <w:w w:val="100"/>
        </w:rPr>
        <w:t> </w:t>
      </w:r>
      <w:r>
        <w:rPr>
          <w:rFonts w:ascii="宋体" w:hAnsi="宋体" w:cs="宋体" w:eastAsia="宋体" w:hint="default"/>
        </w:rPr>
        <w:t>(1)</w:t>
      </w:r>
      <w:bookmarkStart w:name="(1)本期发生的非同一控制下企业合并" w:id="323"/>
      <w:bookmarkEnd w:id="323"/>
      <w:r>
        <w:rPr>
          <w:rFonts w:ascii="宋体" w:hAnsi="宋体" w:cs="宋体" w:eastAsia="宋体" w:hint="default"/>
        </w:rPr>
      </w:r>
      <w:r>
        <w:rPr/>
        <w:t>本期发生的非同一控制下企业合并</w:t>
      </w:r>
      <w:r>
        <w:rPr>
          <w:b w:val="0"/>
          <w:bCs w:val="0"/>
        </w:rPr>
      </w:r>
    </w:p>
    <w:p>
      <w:pPr>
        <w:spacing w:line="240" w:lineRule="auto" w:before="13"/>
        <w:rPr>
          <w:rFonts w:ascii="宋体" w:hAnsi="宋体" w:cs="宋体" w:eastAsia="宋体" w:hint="default"/>
          <w:b/>
          <w:bCs/>
          <w:sz w:val="6"/>
          <w:szCs w:val="6"/>
        </w:rPr>
      </w:pPr>
    </w:p>
    <w:tbl>
      <w:tblPr>
        <w:tblW w:w="0" w:type="auto"/>
        <w:jc w:val="left"/>
        <w:tblInd w:w="207"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商洛市金盾 押运有限责 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13,737,390.6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2,328,967.24</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武威市神威 保安守押有 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4,154,500.53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770,666.76</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邵阳市保安 服务有限责 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35,621,446.5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5,160,824.10</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兴安盟威信 保安守押服 务有限责任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22,695,000.0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13,330,946.1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2,884,345.85</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巴彦淖尔天 力保押有限 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35,083,800.0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11,833,284.0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797,655.54</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深圳市创自 技术有限公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136,500,000.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股权变更登 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30,920,812.1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7,484,864.58</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宋体" w:hAnsi="宋体" w:cs="宋体" w:eastAsia="宋体" w:hint="default"/>
        </w:rPr>
        <w:t>(2)</w:t>
      </w:r>
      <w:r>
        <w:rPr/>
        <w:t>合并成本及商誉</w:t>
      </w:r>
      <w:r>
        <w:rPr>
          <w:b w:val="0"/>
          <w:bCs w:val="0"/>
        </w:rPr>
      </w:r>
    </w:p>
    <w:p>
      <w:pPr>
        <w:spacing w:line="240" w:lineRule="auto" w:before="9"/>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1843"/>
        <w:gridCol w:w="1277"/>
        <w:gridCol w:w="1274"/>
        <w:gridCol w:w="1277"/>
        <w:gridCol w:w="1274"/>
        <w:gridCol w:w="1258"/>
        <w:gridCol w:w="1366"/>
      </w:tblGrid>
      <w:tr>
        <w:trPr>
          <w:trHeight w:val="133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182"/>
              <w:jc w:val="center"/>
              <w:rPr>
                <w:rFonts w:ascii="宋体" w:hAnsi="宋体" w:cs="宋体" w:eastAsia="宋体" w:hint="default"/>
                <w:sz w:val="18"/>
                <w:szCs w:val="18"/>
              </w:rPr>
            </w:pPr>
            <w:r>
              <w:rPr>
                <w:rFonts w:ascii="宋体" w:hAnsi="宋体" w:cs="宋体" w:eastAsia="宋体" w:hint="default"/>
                <w:sz w:val="18"/>
                <w:szCs w:val="18"/>
              </w:rPr>
              <w:t>商洛市金盾 押运有限公 司</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武威市神威 保安守押有 限责任公司</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4" w:right="180"/>
              <w:jc w:val="center"/>
              <w:rPr>
                <w:rFonts w:ascii="宋体" w:hAnsi="宋体" w:cs="宋体" w:eastAsia="宋体" w:hint="default"/>
                <w:sz w:val="18"/>
                <w:szCs w:val="18"/>
              </w:rPr>
            </w:pPr>
            <w:r>
              <w:rPr>
                <w:rFonts w:ascii="宋体" w:hAnsi="宋体" w:cs="宋体" w:eastAsia="宋体" w:hint="default"/>
                <w:sz w:val="18"/>
                <w:szCs w:val="18"/>
              </w:rPr>
              <w:t>邵阳市保安 服务有限责 任公司</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180"/>
              <w:jc w:val="center"/>
              <w:rPr>
                <w:rFonts w:ascii="宋体" w:hAnsi="宋体" w:cs="宋体" w:eastAsia="宋体" w:hint="default"/>
                <w:sz w:val="18"/>
                <w:szCs w:val="18"/>
              </w:rPr>
            </w:pPr>
            <w:r>
              <w:rPr>
                <w:rFonts w:ascii="宋体" w:hAnsi="宋体" w:cs="宋体" w:eastAsia="宋体" w:hint="default"/>
                <w:sz w:val="18"/>
                <w:szCs w:val="18"/>
              </w:rPr>
              <w:t>兴安盟威信 保安守押服 务有限责任 公司</w:t>
            </w:r>
          </w:p>
        </w:tc>
        <w:tc>
          <w:tcPr>
            <w:tcW w:w="1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75" w:right="170"/>
              <w:jc w:val="both"/>
              <w:rPr>
                <w:rFonts w:ascii="宋体" w:hAnsi="宋体" w:cs="宋体" w:eastAsia="宋体" w:hint="default"/>
                <w:sz w:val="18"/>
                <w:szCs w:val="18"/>
              </w:rPr>
            </w:pPr>
            <w:r>
              <w:rPr>
                <w:rFonts w:ascii="宋体" w:hAnsi="宋体" w:cs="宋体" w:eastAsia="宋体" w:hint="default"/>
                <w:sz w:val="18"/>
                <w:szCs w:val="18"/>
              </w:rPr>
              <w:t>巴彦淖尔天 力保押有限 责任公司</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134" w:hanging="89"/>
              <w:jc w:val="left"/>
              <w:rPr>
                <w:rFonts w:ascii="宋体" w:hAnsi="宋体" w:cs="宋体" w:eastAsia="宋体" w:hint="default"/>
                <w:sz w:val="18"/>
                <w:szCs w:val="18"/>
              </w:rPr>
            </w:pPr>
            <w:r>
              <w:rPr>
                <w:rFonts w:ascii="宋体" w:hAnsi="宋体" w:cs="宋体" w:eastAsia="宋体" w:hint="default"/>
                <w:sz w:val="18"/>
                <w:szCs w:val="18"/>
              </w:rPr>
              <w:t>深圳市创自技 术有限公司</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27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22,695,000.00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35,083,800.00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136,500,000.00</w:t>
            </w:r>
            <w:r>
              <w:rPr>
                <w:rFonts w:ascii="Times New Roman"/>
                <w:sz w:val="18"/>
              </w:rPr>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27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22,695,000.00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35,083,800.00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136,500,000.00</w:t>
            </w:r>
            <w:r>
              <w:rPr>
                <w:rFonts w:ascii="Times New Roman"/>
                <w:sz w:val="18"/>
              </w:rPr>
            </w:r>
          </w:p>
        </w:tc>
      </w:tr>
      <w:tr>
        <w:trPr>
          <w:trHeight w:val="71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减：取得的可辨认净资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产公允价值份额</w:t>
            </w:r>
          </w:p>
        </w:tc>
        <w:tc>
          <w:tcPr>
            <w:tcW w:w="127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4,150,371.30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8,139,082.07</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10,483,873.63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21,987,500.09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15,063,202.20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32,049,605.24</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w:t>
            </w:r>
          </w:p>
        </w:tc>
        <w:tc>
          <w:tcPr>
            <w:tcW w:w="127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7,349,628.70</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13,860,917.93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86,016,126.37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707,499.91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20,020,597.80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104,450,394.76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1842"/>
        <w:gridCol w:w="1277"/>
        <w:gridCol w:w="1274"/>
        <w:gridCol w:w="1277"/>
        <w:gridCol w:w="1274"/>
        <w:gridCol w:w="1258"/>
        <w:gridCol w:w="1366"/>
      </w:tblGrid>
      <w:tr>
        <w:trPr>
          <w:trHeight w:val="674" w:hRule="exact"/>
        </w:trPr>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22" w:right="187"/>
              <w:jc w:val="left"/>
              <w:rPr>
                <w:rFonts w:ascii="宋体" w:hAnsi="宋体" w:cs="宋体" w:eastAsia="宋体" w:hint="default"/>
                <w:sz w:val="18"/>
                <w:szCs w:val="18"/>
              </w:rPr>
            </w:pPr>
            <w:r>
              <w:rPr>
                <w:rFonts w:ascii="宋体" w:hAnsi="宋体" w:cs="宋体" w:eastAsia="宋体" w:hint="default"/>
                <w:sz w:val="18"/>
                <w:szCs w:val="18"/>
              </w:rPr>
              <w:t>得的可辨认净资产公 允价值份额的金额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宋体" w:hAnsi="宋体" w:cs="宋体" w:eastAsia="宋体" w:hint="default"/>
        </w:rPr>
        <w:t>(3)</w:t>
      </w:r>
      <w:bookmarkStart w:name="(3)被购买方于购买日可辨认资产、负债" w:id="324"/>
      <w:bookmarkEnd w:id="324"/>
      <w:r>
        <w:rPr>
          <w:rFonts w:ascii="宋体" w:hAnsi="宋体" w:cs="宋体" w:eastAsia="宋体" w:hint="default"/>
        </w:rPr>
      </w:r>
      <w:r>
        <w:rPr/>
        <w:t>被购买方于购买日可辨认资产、负债</w:t>
      </w:r>
      <w:r>
        <w:rPr>
          <w:b w:val="0"/>
          <w:bCs w:val="0"/>
        </w:rPr>
      </w:r>
    </w:p>
    <w:p>
      <w:pPr>
        <w:spacing w:line="240" w:lineRule="auto" w:before="12"/>
        <w:rPr>
          <w:rFonts w:ascii="宋体" w:hAnsi="宋体" w:cs="宋体" w:eastAsia="宋体" w:hint="default"/>
          <w:b/>
          <w:bCs/>
          <w:sz w:val="26"/>
          <w:szCs w:val="26"/>
        </w:rPr>
      </w:pPr>
    </w:p>
    <w:tbl>
      <w:tblPr>
        <w:tblW w:w="0" w:type="auto"/>
        <w:jc w:val="left"/>
        <w:tblInd w:w="100" w:type="dxa"/>
        <w:tblLayout w:type="fixed"/>
        <w:tblCellMar>
          <w:top w:w="0" w:type="dxa"/>
          <w:left w:w="0" w:type="dxa"/>
          <w:bottom w:w="0" w:type="dxa"/>
          <w:right w:w="0" w:type="dxa"/>
        </w:tblCellMar>
        <w:tblLook w:val="01E0"/>
      </w:tblPr>
      <w:tblGrid>
        <w:gridCol w:w="737"/>
        <w:gridCol w:w="734"/>
        <w:gridCol w:w="737"/>
        <w:gridCol w:w="737"/>
        <w:gridCol w:w="734"/>
        <w:gridCol w:w="737"/>
        <w:gridCol w:w="737"/>
        <w:gridCol w:w="734"/>
        <w:gridCol w:w="737"/>
        <w:gridCol w:w="737"/>
        <w:gridCol w:w="734"/>
        <w:gridCol w:w="737"/>
        <w:gridCol w:w="737"/>
      </w:tblGrid>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0" w:right="191" w:hanging="92"/>
              <w:jc w:val="left"/>
              <w:rPr>
                <w:rFonts w:ascii="宋体" w:hAnsi="宋体" w:cs="宋体" w:eastAsia="宋体" w:hint="default"/>
                <w:sz w:val="18"/>
                <w:szCs w:val="18"/>
              </w:rPr>
            </w:pPr>
            <w:r>
              <w:rPr>
                <w:rFonts w:ascii="宋体" w:hAnsi="宋体" w:cs="宋体" w:eastAsia="宋体" w:hint="default"/>
                <w:sz w:val="18"/>
                <w:szCs w:val="18"/>
              </w:rPr>
              <w:t>商洛市金盾押 运有限公司</w:t>
            </w: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9" w:right="191"/>
              <w:jc w:val="center"/>
              <w:rPr>
                <w:rFonts w:ascii="宋体" w:hAnsi="宋体" w:cs="宋体" w:eastAsia="宋体" w:hint="default"/>
                <w:sz w:val="18"/>
                <w:szCs w:val="18"/>
              </w:rPr>
            </w:pPr>
            <w:r>
              <w:rPr>
                <w:rFonts w:ascii="宋体" w:hAnsi="宋体" w:cs="宋体" w:eastAsia="宋体" w:hint="default"/>
                <w:sz w:val="18"/>
                <w:szCs w:val="18"/>
              </w:rPr>
              <w:t>武威市神威保 安守押有限责 任公司</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1" w:right="191"/>
              <w:jc w:val="center"/>
              <w:rPr>
                <w:rFonts w:ascii="宋体" w:hAnsi="宋体" w:cs="宋体" w:eastAsia="宋体" w:hint="default"/>
                <w:sz w:val="18"/>
                <w:szCs w:val="18"/>
              </w:rPr>
            </w:pPr>
            <w:r>
              <w:rPr>
                <w:rFonts w:ascii="宋体" w:hAnsi="宋体" w:cs="宋体" w:eastAsia="宋体" w:hint="default"/>
                <w:sz w:val="18"/>
                <w:szCs w:val="18"/>
              </w:rPr>
              <w:t>邵阳市保安服 务有限责任公 司</w:t>
            </w: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9" w:right="191"/>
              <w:jc w:val="both"/>
              <w:rPr>
                <w:rFonts w:ascii="宋体" w:hAnsi="宋体" w:cs="宋体" w:eastAsia="宋体" w:hint="default"/>
                <w:sz w:val="18"/>
                <w:szCs w:val="18"/>
              </w:rPr>
            </w:pPr>
            <w:r>
              <w:rPr>
                <w:rFonts w:ascii="宋体" w:hAnsi="宋体" w:cs="宋体" w:eastAsia="宋体" w:hint="default"/>
                <w:sz w:val="18"/>
                <w:szCs w:val="18"/>
              </w:rPr>
              <w:t>兴安盟威信保 安守押服务有 限责任公司</w:t>
            </w:r>
          </w:p>
        </w:tc>
        <w:tc>
          <w:tcPr>
            <w:tcW w:w="14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9" w:right="191"/>
              <w:jc w:val="center"/>
              <w:rPr>
                <w:rFonts w:ascii="宋体" w:hAnsi="宋体" w:cs="宋体" w:eastAsia="宋体" w:hint="default"/>
                <w:sz w:val="18"/>
                <w:szCs w:val="18"/>
              </w:rPr>
            </w:pPr>
            <w:r>
              <w:rPr>
                <w:rFonts w:ascii="宋体" w:hAnsi="宋体" w:cs="宋体" w:eastAsia="宋体" w:hint="default"/>
                <w:sz w:val="18"/>
                <w:szCs w:val="18"/>
              </w:rPr>
              <w:t>巴彦淖尔天力 保押有限责任 公司</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83" w:right="191" w:hanging="92"/>
              <w:jc w:val="left"/>
              <w:rPr>
                <w:rFonts w:ascii="宋体" w:hAnsi="宋体" w:cs="宋体" w:eastAsia="宋体" w:hint="default"/>
                <w:sz w:val="18"/>
                <w:szCs w:val="18"/>
              </w:rPr>
            </w:pPr>
            <w:r>
              <w:rPr>
                <w:rFonts w:ascii="宋体" w:hAnsi="宋体" w:cs="宋体" w:eastAsia="宋体" w:hint="default"/>
                <w:sz w:val="18"/>
                <w:szCs w:val="18"/>
              </w:rPr>
              <w:t>深圳市创自技 术有限公司</w:t>
            </w:r>
          </w:p>
        </w:tc>
      </w:tr>
      <w:tr>
        <w:trPr>
          <w:trHeight w:val="317" w:hRule="exact"/>
        </w:trPr>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3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购买日 账面价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公允价 值</w:t>
            </w:r>
          </w:p>
        </w:tc>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购买日 账面价 值</w:t>
            </w:r>
          </w:p>
        </w:tc>
      </w:tr>
      <w:tr>
        <w:trPr>
          <w:trHeight w:val="394" w:hRule="exact"/>
        </w:trPr>
        <w:tc>
          <w:tcPr>
            <w:tcW w:w="737" w:type="dxa"/>
            <w:tcBorders>
              <w:top w:val="nil" w:sz="6" w:space="0" w:color="auto"/>
              <w:left w:val="single" w:sz="4" w:space="0" w:color="000000"/>
              <w:bottom w:val="nil" w:sz="6" w:space="0" w:color="auto"/>
              <w:right w:val="single" w:sz="4" w:space="0" w:color="000000"/>
            </w:tcBorders>
            <w:shd w:val="clear" w:color="auto" w:fill="D4D4D4"/>
          </w:tcPr>
          <w:p>
            <w:pPr/>
          </w:p>
        </w:tc>
        <w:tc>
          <w:tcPr>
            <w:tcW w:w="734"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4"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4"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4"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c>
          <w:tcPr>
            <w:tcW w:w="737" w:type="dxa"/>
            <w:vMerge/>
            <w:tcBorders>
              <w:left w:val="single" w:sz="4" w:space="0" w:color="000000"/>
              <w:right w:val="single" w:sz="4" w:space="0" w:color="000000"/>
            </w:tcBorders>
            <w:shd w:val="clear" w:color="auto" w:fill="D4D4D4"/>
          </w:tcPr>
          <w:p>
            <w:pPr/>
          </w:p>
        </w:tc>
      </w:tr>
      <w:tr>
        <w:trPr>
          <w:trHeight w:val="317" w:hRule="exact"/>
        </w:trPr>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34"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c>
          <w:tcPr>
            <w:tcW w:w="737"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34" w:type="dxa"/>
            <w:vMerge w:val="restart"/>
            <w:tcBorders>
              <w:top w:val="single" w:sz="4" w:space="0" w:color="000000"/>
              <w:left w:val="single" w:sz="10" w:space="0" w:color="D4D4D4"/>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10,097,5</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39.44</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9,295,19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1.13</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12,746,1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77.43</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11,954,4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05.18</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11,573,6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23.51</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7,214,62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4.01</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46,271,3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79.37</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45,408,3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53.75</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55,424,7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51.04</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44,689,6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88.50</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175,482,</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724.66</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174,071,</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091.49</w:t>
            </w:r>
          </w:p>
        </w:tc>
      </w:tr>
      <w:tr>
        <w:trPr>
          <w:trHeight w:val="391" w:hRule="exact"/>
        </w:trPr>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4" w:type="dxa"/>
            <w:vMerge/>
            <w:tcBorders>
              <w:left w:val="single" w:sz="10" w:space="0" w:color="D4D4D4"/>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161" w:hRule="exact"/>
        </w:trPr>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34" w:type="dxa"/>
            <w:vMerge/>
            <w:tcBorders>
              <w:left w:val="single" w:sz="10" w:space="0" w:color="D4D4D4"/>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7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606,846.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606,846.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6,000,64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39,380,5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39,380,5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3,323,22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3,323,22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145,658,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145,658,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454.57</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应收款 项</w:t>
            </w:r>
          </w:p>
        </w:tc>
        <w:tc>
          <w:tcPr>
            <w:tcW w:w="7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2,964,47</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7.18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2,964,47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3,372,89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3,372,89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4,717,19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4,717,19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14,845,6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81.95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14,845,6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81.95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13,150,3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13,150,3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30.58</w:t>
            </w:r>
          </w:p>
        </w:tc>
      </w:tr>
      <w:tr>
        <w:trPr>
          <w:trHeight w:val="161" w:hRule="exact"/>
        </w:trPr>
        <w:tc>
          <w:tcPr>
            <w:tcW w:w="737" w:type="dxa"/>
            <w:tcBorders>
              <w:top w:val="single" w:sz="4" w:space="0" w:color="000000"/>
              <w:left w:val="single" w:sz="4" w:space="0" w:color="000000"/>
              <w:bottom w:val="nil" w:sz="6" w:space="0" w:color="auto"/>
              <w:right w:val="single" w:sz="4" w:space="0" w:color="000000"/>
            </w:tcBorders>
            <w:shd w:val="clear" w:color="auto" w:fill="D4D4D4"/>
          </w:tcPr>
          <w:p>
            <w:pPr/>
          </w:p>
        </w:tc>
        <w:tc>
          <w:tcPr>
            <w:tcW w:w="734" w:type="dxa"/>
            <w:vMerge w:val="restart"/>
            <w:tcBorders>
              <w:top w:val="single" w:sz="4" w:space="0" w:color="000000"/>
              <w:left w:val="single" w:sz="10" w:space="0" w:color="D4D4D4"/>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3,780.00</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3,780.00</w:t>
            </w: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117,285.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10,745,0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81.38</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10,199,1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30.48</w:t>
            </w:r>
          </w:p>
        </w:tc>
      </w:tr>
      <w:tr>
        <w:trPr>
          <w:trHeight w:val="394" w:hRule="exact"/>
        </w:trPr>
        <w:tc>
          <w:tcPr>
            <w:tcW w:w="7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4" w:type="dxa"/>
            <w:vMerge/>
            <w:tcBorders>
              <w:left w:val="single" w:sz="10" w:space="0" w:color="D4D4D4"/>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r>
      <w:tr>
        <w:trPr>
          <w:trHeight w:val="161" w:hRule="exact"/>
        </w:trPr>
        <w:tc>
          <w:tcPr>
            <w:tcW w:w="737" w:type="dxa"/>
            <w:tcBorders>
              <w:top w:val="nil" w:sz="6" w:space="0" w:color="auto"/>
              <w:left w:val="single" w:sz="4" w:space="0" w:color="000000"/>
              <w:bottom w:val="single" w:sz="4" w:space="0" w:color="000000"/>
              <w:right w:val="single" w:sz="4" w:space="0" w:color="000000"/>
            </w:tcBorders>
            <w:shd w:val="clear" w:color="auto" w:fill="D4D4D4"/>
          </w:tcPr>
          <w:p>
            <w:pPr/>
          </w:p>
        </w:tc>
        <w:tc>
          <w:tcPr>
            <w:tcW w:w="734" w:type="dxa"/>
            <w:vMerge/>
            <w:tcBorders>
              <w:left w:val="single" w:sz="10" w:space="0" w:color="D4D4D4"/>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7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3,895,53</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3,093,18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3,365,38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2,573,61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10,936,1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6,577,17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1,668,25</w:t>
            </w:r>
          </w:p>
          <w:p>
            <w:pPr>
              <w:pStyle w:val="TableParagraph"/>
              <w:spacing w:line="240" w:lineRule="auto" w:before="102"/>
              <w:ind w:left="396" w:right="0"/>
              <w:jc w:val="left"/>
              <w:rPr>
                <w:rFonts w:ascii="Times New Roman" w:hAnsi="Times New Roman" w:cs="Times New Roman" w:eastAsia="Times New Roman" w:hint="default"/>
                <w:sz w:val="18"/>
                <w:szCs w:val="18"/>
              </w:rPr>
            </w:pPr>
            <w:r>
              <w:rPr>
                <w:rFonts w:ascii="Times New Roman"/>
                <w:spacing w:val="-5"/>
                <w:sz w:val="18"/>
              </w:rPr>
              <w:t>0.11</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847,489.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23,575,4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37.29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16,888,5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3,733,19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2,867,51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6.54</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3"/>
              <w:jc w:val="left"/>
              <w:rPr>
                <w:rFonts w:ascii="宋体" w:hAnsi="宋体" w:cs="宋体" w:eastAsia="宋体" w:hint="default"/>
                <w:sz w:val="18"/>
                <w:szCs w:val="18"/>
              </w:rPr>
            </w:pPr>
            <w:r>
              <w:rPr>
                <w:rFonts w:ascii="宋体" w:hAnsi="宋体" w:cs="宋体" w:eastAsia="宋体" w:hint="default"/>
                <w:sz w:val="18"/>
                <w:szCs w:val="18"/>
              </w:rPr>
              <w:t>无形 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7,884,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574.77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3,836,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426.06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203,71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203,71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6.70</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03" w:right="263"/>
              <w:jc w:val="left"/>
              <w:rPr>
                <w:rFonts w:ascii="宋体" w:hAnsi="宋体" w:cs="宋体" w:eastAsia="宋体" w:hint="default"/>
                <w:sz w:val="18"/>
                <w:szCs w:val="18"/>
              </w:rPr>
            </w:pPr>
            <w:r>
              <w:rPr>
                <w:rFonts w:ascii="宋体" w:hAnsi="宋体" w:cs="宋体" w:eastAsia="宋体" w:hint="default"/>
                <w:sz w:val="18"/>
                <w:szCs w:val="18"/>
              </w:rPr>
              <w:t>预付 账款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1,039,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855.67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1,039,</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855.67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637,44</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4.98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637,44</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4.98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98,773</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98,773</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878,35</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8.07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878,35</w:t>
            </w:r>
          </w:p>
          <w:p>
            <w:pPr>
              <w:pStyle w:val="TableParagraph"/>
              <w:spacing w:line="240" w:lineRule="auto" w:before="102"/>
              <w:ind w:left="205" w:right="0"/>
              <w:jc w:val="center"/>
              <w:rPr>
                <w:rFonts w:ascii="Times New Roman" w:hAnsi="Times New Roman" w:cs="Times New Roman" w:eastAsia="Times New Roman" w:hint="default"/>
                <w:sz w:val="18"/>
                <w:szCs w:val="18"/>
              </w:rPr>
            </w:pPr>
            <w:r>
              <w:rPr>
                <w:rFonts w:ascii="Times New Roman"/>
                <w:sz w:val="18"/>
              </w:rPr>
              <w:t>8.07</w:t>
            </w: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263"/>
              <w:jc w:val="both"/>
              <w:rPr>
                <w:rFonts w:ascii="宋体" w:hAnsi="宋体" w:cs="宋体" w:eastAsia="宋体" w:hint="default"/>
                <w:sz w:val="18"/>
                <w:szCs w:val="18"/>
              </w:rPr>
            </w:pPr>
            <w:r>
              <w:rPr>
                <w:rFonts w:ascii="宋体" w:hAnsi="宋体" w:cs="宋体" w:eastAsia="宋体" w:hint="default"/>
                <w:sz w:val="18"/>
                <w:szCs w:val="18"/>
              </w:rPr>
              <w:t>其他 流动 资产</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898,95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898,95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03" w:right="263"/>
              <w:jc w:val="left"/>
              <w:rPr>
                <w:rFonts w:ascii="宋体" w:hAnsi="宋体" w:cs="宋体" w:eastAsia="宋体" w:hint="default"/>
                <w:sz w:val="18"/>
                <w:szCs w:val="18"/>
              </w:rPr>
            </w:pPr>
            <w:r>
              <w:rPr>
                <w:rFonts w:ascii="宋体" w:hAnsi="宋体" w:cs="宋体" w:eastAsia="宋体" w:hint="default"/>
                <w:sz w:val="18"/>
                <w:szCs w:val="18"/>
              </w:rPr>
              <w:t>在建 工程</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263"/>
              <w:jc w:val="both"/>
              <w:rPr>
                <w:rFonts w:ascii="宋体" w:hAnsi="宋体" w:cs="宋体" w:eastAsia="宋体" w:hint="default"/>
                <w:sz w:val="18"/>
                <w:szCs w:val="18"/>
              </w:rPr>
            </w:pPr>
            <w:r>
              <w:rPr>
                <w:rFonts w:ascii="宋体" w:hAnsi="宋体" w:cs="宋体" w:eastAsia="宋体" w:hint="default"/>
                <w:sz w:val="18"/>
                <w:szCs w:val="18"/>
              </w:rPr>
              <w:t>长期 待摊 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1,105,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553.35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1,105,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553.35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27,169</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27,169</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448,65</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448,65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981,40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7.88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981,40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7.88</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3" w:right="263"/>
              <w:jc w:val="both"/>
              <w:rPr>
                <w:rFonts w:ascii="宋体" w:hAnsi="宋体" w:cs="宋体" w:eastAsia="宋体" w:hint="default"/>
                <w:sz w:val="18"/>
                <w:szCs w:val="18"/>
              </w:rPr>
            </w:pPr>
            <w:r>
              <w:rPr>
                <w:rFonts w:ascii="宋体" w:hAnsi="宋体" w:cs="宋体" w:eastAsia="宋体" w:hint="default"/>
                <w:sz w:val="18"/>
                <w:szCs w:val="18"/>
              </w:rPr>
              <w:t>递延 所得 税资 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485,27</w:t>
            </w:r>
          </w:p>
          <w:p>
            <w:pPr>
              <w:pStyle w:val="TableParagraph"/>
              <w:spacing w:line="240" w:lineRule="auto" w:before="102"/>
              <w:ind w:left="208" w:right="0"/>
              <w:jc w:val="center"/>
              <w:rPr>
                <w:rFonts w:ascii="Times New Roman" w:hAnsi="Times New Roman" w:cs="Times New Roman" w:eastAsia="Times New Roman" w:hint="default"/>
                <w:sz w:val="18"/>
                <w:szCs w:val="18"/>
              </w:rPr>
            </w:pPr>
            <w:r>
              <w:rPr>
                <w:rFonts w:ascii="Times New Roman"/>
                <w:sz w:val="18"/>
              </w:rPr>
              <w:t>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485,27</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5.74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3,472.</w:t>
            </w:r>
          </w:p>
          <w:p>
            <w:pPr>
              <w:pStyle w:val="TableParagraph"/>
              <w:spacing w:line="240" w:lineRule="auto" w:before="102"/>
              <w:ind w:left="443" w:right="0"/>
              <w:jc w:val="left"/>
              <w:rPr>
                <w:rFonts w:ascii="Times New Roman" w:hAnsi="Times New Roman" w:cs="Times New Roman" w:eastAsia="Times New Roman" w:hint="default"/>
                <w:sz w:val="18"/>
                <w:szCs w:val="18"/>
              </w:rPr>
            </w:pPr>
            <w:r>
              <w:rPr>
                <w:rFonts w:ascii="Times New Roman"/>
                <w:sz w:val="18"/>
              </w:rPr>
              <w:t>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3,472.</w:t>
            </w:r>
          </w:p>
          <w:p>
            <w:pPr>
              <w:pStyle w:val="TableParagraph"/>
              <w:spacing w:line="240" w:lineRule="auto" w:before="102"/>
              <w:ind w:left="444" w:right="0"/>
              <w:jc w:val="left"/>
              <w:rPr>
                <w:rFonts w:ascii="Times New Roman" w:hAnsi="Times New Roman" w:cs="Times New Roman" w:eastAsia="Times New Roman" w:hint="default"/>
                <w:sz w:val="18"/>
                <w:szCs w:val="18"/>
              </w:rPr>
            </w:pPr>
            <w:r>
              <w:rPr>
                <w:rFonts w:ascii="Times New Roman"/>
                <w:sz w:val="18"/>
              </w:rPr>
              <w:t>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262,20</w:t>
            </w:r>
          </w:p>
          <w:p>
            <w:pPr>
              <w:pStyle w:val="TableParagraph"/>
              <w:spacing w:line="240" w:lineRule="auto" w:before="102"/>
              <w:ind w:left="208" w:right="0"/>
              <w:jc w:val="center"/>
              <w:rPr>
                <w:rFonts w:ascii="Times New Roman" w:hAnsi="Times New Roman" w:cs="Times New Roman" w:eastAsia="Times New Roman" w:hint="default"/>
                <w:sz w:val="18"/>
                <w:szCs w:val="18"/>
              </w:rPr>
            </w:pPr>
            <w:r>
              <w:rPr>
                <w:rFonts w:ascii="Times New Roman"/>
                <w:sz w:val="18"/>
              </w:rPr>
              <w:t>7.70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262,20</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7.70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363,21</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2.53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363,21</w:t>
            </w:r>
          </w:p>
          <w:p>
            <w:pPr>
              <w:pStyle w:val="TableParagraph"/>
              <w:spacing w:line="240" w:lineRule="auto" w:before="102"/>
              <w:ind w:left="208" w:right="0"/>
              <w:jc w:val="center"/>
              <w:rPr>
                <w:rFonts w:ascii="Times New Roman" w:hAnsi="Times New Roman" w:cs="Times New Roman" w:eastAsia="Times New Roman" w:hint="default"/>
                <w:sz w:val="18"/>
                <w:szCs w:val="18"/>
              </w:rPr>
            </w:pPr>
            <w:r>
              <w:rPr>
                <w:rFonts w:ascii="Times New Roman"/>
                <w:sz w:val="18"/>
              </w:rPr>
              <w:t>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6.67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132,17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6.67</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1,959,55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1,758,96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4,607,09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4,409,15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1,089,74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3,158,63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2,942,87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25,889,0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60.46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23,205,2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129,697,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574.32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129,485,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829.34</w:t>
            </w:r>
          </w:p>
        </w:tc>
      </w:tr>
      <w:tr>
        <w:trPr>
          <w:trHeight w:val="403" w:hRule="exact"/>
        </w:trPr>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8"/>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736"/>
        <w:gridCol w:w="734"/>
        <w:gridCol w:w="737"/>
        <w:gridCol w:w="737"/>
        <w:gridCol w:w="734"/>
        <w:gridCol w:w="737"/>
        <w:gridCol w:w="737"/>
        <w:gridCol w:w="734"/>
        <w:gridCol w:w="737"/>
        <w:gridCol w:w="737"/>
        <w:gridCol w:w="734"/>
        <w:gridCol w:w="737"/>
        <w:gridCol w:w="737"/>
      </w:tblGrid>
      <w:tr>
        <w:trPr>
          <w:trHeight w:val="102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63"/>
              <w:jc w:val="left"/>
              <w:rPr>
                <w:rFonts w:ascii="宋体" w:hAnsi="宋体" w:cs="宋体" w:eastAsia="宋体" w:hint="default"/>
                <w:sz w:val="18"/>
                <w:szCs w:val="18"/>
              </w:rPr>
            </w:pPr>
            <w:r>
              <w:rPr>
                <w:rFonts w:ascii="宋体" w:hAnsi="宋体" w:cs="宋体" w:eastAsia="宋体" w:hint="default"/>
                <w:sz w:val="18"/>
                <w:szCs w:val="18"/>
              </w:rPr>
              <w:t>应付 款项</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969.41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1,758,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969.41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4,409,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152.30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4,409,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152.30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877.69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2,942,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877.69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21,571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,032.8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21,571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,032.8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129,28</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5,829.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18"/>
                <w:szCs w:val="18"/>
              </w:rPr>
            </w:pPr>
            <w:r>
              <w:rPr>
                <w:rFonts w:ascii="Times New Roman"/>
                <w:sz w:val="18"/>
              </w:rPr>
              <w:t>129,28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5,829.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34</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递延所 得税负 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200,587.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197,943.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1,089,74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215,756.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2,683,76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211,744.</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2" w:right="263"/>
              <w:jc w:val="left"/>
              <w:rPr>
                <w:rFonts w:ascii="宋体" w:hAnsi="宋体" w:cs="宋体" w:eastAsia="宋体" w:hint="default"/>
                <w:sz w:val="18"/>
                <w:szCs w:val="18"/>
              </w:rPr>
            </w:pPr>
            <w:r>
              <w:rPr>
                <w:rFonts w:ascii="宋体" w:hAnsi="宋体" w:cs="宋体" w:eastAsia="宋体" w:hint="default"/>
                <w:sz w:val="18"/>
                <w:szCs w:val="18"/>
              </w:rPr>
              <w:t>递延 收益</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261.98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1,634,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261.98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8,137,98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7,536,22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8,139,08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7,545,25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10,483,8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7,214,62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43,112,7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42,465,4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29,535,6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90.58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21,484,3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45,785,1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50.34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44,585,2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62.15</w:t>
            </w:r>
          </w:p>
        </w:tc>
      </w:tr>
      <w:tr>
        <w:trPr>
          <w:trHeight w:val="1025"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11"/>
                <w:sz w:val="18"/>
                <w:szCs w:val="18"/>
              </w:rPr>
              <w:t>减：少数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股东权 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3,987,61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3,692,74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21,125,2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20,808,0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14,472,4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10,527,3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13,735,5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13,375,5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78.65</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4,150,37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3,843,47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8,139,08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7,545,25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10,483,8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7,214,62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21,987,5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21,657,3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15,063,2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10,957,0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32,049,6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05.24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31,209,6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83.50</w:t>
            </w:r>
          </w:p>
        </w:tc>
      </w:tr>
    </w:tbl>
    <w:p>
      <w:pPr>
        <w:spacing w:line="240" w:lineRule="auto" w:before="3"/>
        <w:rPr>
          <w:rFonts w:ascii="宋体" w:hAnsi="宋体" w:cs="宋体" w:eastAsia="宋体" w:hint="default"/>
          <w:b/>
          <w:bCs/>
          <w:sz w:val="19"/>
          <w:szCs w:val="19"/>
        </w:rPr>
      </w:pPr>
    </w:p>
    <w:p>
      <w:pPr>
        <w:pStyle w:val="Heading3"/>
        <w:spacing w:line="240" w:lineRule="auto"/>
        <w:ind w:left="632" w:right="0"/>
        <w:jc w:val="left"/>
        <w:rPr>
          <w:b w:val="0"/>
          <w:bCs w:val="0"/>
        </w:rPr>
      </w:pPr>
      <w:bookmarkStart w:name="5、其他原因的合并范围变动" w:id="325"/>
      <w:bookmarkEnd w:id="325"/>
      <w:r>
        <w:rPr>
          <w:b w:val="0"/>
          <w:bCs w:val="0"/>
        </w:rPr>
      </w:r>
      <w:r>
        <w:rPr>
          <w:rFonts w:ascii="宋体" w:hAnsi="宋体" w:cs="宋体" w:eastAsia="宋体" w:hint="default"/>
        </w:rPr>
        <w:t>(4)</w:t>
      </w:r>
      <w:r>
        <w:rPr/>
        <w:t>购买日之前本公司没有持有的股权按照公允价值</w:t>
      </w:r>
      <w:bookmarkStart w:name="(4)购买日之前本公司没有持有的股权按照公允价值重新计量产生的利得或损失" w:id="326"/>
      <w:bookmarkEnd w:id="326"/>
      <w:r>
        <w:rPr/>
        <w:t>重新计量产生的利</w:t>
      </w:r>
      <w:r>
        <w:rPr/>
        <w:t>得或损失</w:t>
      </w:r>
      <w:r>
        <w:rPr>
          <w:b w:val="0"/>
          <w:bCs w:val="0"/>
        </w:rPr>
      </w:r>
    </w:p>
    <w:p>
      <w:pPr>
        <w:spacing w:line="240" w:lineRule="auto" w:before="12"/>
        <w:rPr>
          <w:rFonts w:ascii="宋体" w:hAnsi="宋体" w:cs="宋体" w:eastAsia="宋体" w:hint="default"/>
          <w:b/>
          <w:bCs/>
          <w:sz w:val="25"/>
          <w:szCs w:val="25"/>
        </w:rPr>
      </w:pPr>
    </w:p>
    <w:p>
      <w:pPr>
        <w:spacing w:line="528" w:lineRule="auto" w:before="0"/>
        <w:ind w:left="632" w:right="57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公司本期未发生同一控制下企业合并。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b/>
          <w:bCs/>
          <w:w w:val="100"/>
          <w:sz w:val="21"/>
          <w:szCs w:val="21"/>
        </w:rPr>
        <w:t> </w:t>
      </w:r>
      <w:r>
        <w:rPr>
          <w:rFonts w:ascii="宋体" w:hAnsi="宋体" w:cs="宋体" w:eastAsia="宋体" w:hint="default"/>
          <w:sz w:val="21"/>
          <w:szCs w:val="21"/>
        </w:rPr>
        <w:t>公司本期未发生反向购买。</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spacing w:val="-104"/>
          <w:sz w:val="21"/>
          <w:szCs w:val="21"/>
        </w:rPr>
        <w:t> </w:t>
      </w:r>
      <w:r>
        <w:rPr>
          <w:rFonts w:ascii="宋体" w:hAnsi="宋体" w:cs="宋体" w:eastAsia="宋体" w:hint="default"/>
          <w:sz w:val="21"/>
          <w:szCs w:val="21"/>
        </w:rPr>
        <w:t>公司本期未发生处置子公司。</w:t>
      </w:r>
    </w:p>
    <w:p>
      <w:pPr>
        <w:pStyle w:val="Heading3"/>
        <w:spacing w:line="240" w:lineRule="auto" w:before="85"/>
        <w:ind w:left="632"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7"/>
          <w:szCs w:val="27"/>
        </w:rPr>
      </w:pPr>
    </w:p>
    <w:p>
      <w:pPr>
        <w:pStyle w:val="Heading4"/>
        <w:spacing w:line="338" w:lineRule="auto" w:before="0"/>
        <w:ind w:left="632" w:right="0"/>
        <w:jc w:val="left"/>
      </w:pPr>
      <w:r>
        <w:rPr/>
        <w:t>新设一家子公司广东榕通科技服务有限公司</w:t>
      </w:r>
      <w:r>
        <w:rPr>
          <w:w w:val="100"/>
        </w:rPr>
        <w:t> </w:t>
      </w:r>
      <w:r>
        <w:rPr>
          <w:spacing w:val="-2"/>
        </w:rPr>
        <w:t>广东榕通科技服务有限公司成立于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日，注册资本及</w:t>
      </w:r>
      <w:bookmarkStart w:name="2、同一控制下企业合并" w:id="327"/>
      <w:bookmarkEnd w:id="327"/>
      <w:r>
        <w:rPr>
          <w:spacing w:val="-2"/>
        </w:rPr>
        <w:t>投</w:t>
      </w:r>
      <w:r>
        <w:rPr>
          <w:spacing w:val="-2"/>
        </w:rPr>
        <w:t>资总额</w:t>
      </w:r>
      <w:bookmarkStart w:name="3、反向购买" w:id="328"/>
      <w:bookmarkEnd w:id="328"/>
      <w:r>
        <w:rPr>
          <w:spacing w:val="-2"/>
        </w:rPr>
        <w:t>为</w:t>
      </w:r>
      <w:r>
        <w:rPr>
          <w:spacing w:val="-2"/>
        </w:rPr>
        <w:t>人民币</w:t>
      </w:r>
      <w:r>
        <w:rPr>
          <w:rFonts w:ascii="宋体" w:hAnsi="宋体" w:cs="宋体" w:eastAsia="宋体" w:hint="default"/>
          <w:spacing w:val="-2"/>
        </w:rPr>
        <w:t>3,000</w:t>
      </w:r>
      <w:bookmarkStart w:name="4、处置子公司" w:id="329"/>
      <w:bookmarkEnd w:id="329"/>
      <w:r>
        <w:rPr>
          <w:rFonts w:ascii="宋体" w:hAnsi="宋体" w:cs="宋体" w:eastAsia="宋体" w:hint="default"/>
          <w:spacing w:val="-2"/>
        </w:rPr>
      </w:r>
      <w:r>
        <w:rPr>
          <w:spacing w:val="-2"/>
        </w:rPr>
        <w:t>万元，由深圳</w:t>
      </w:r>
    </w:p>
    <w:p>
      <w:pPr>
        <w:pStyle w:val="Heading4"/>
        <w:spacing w:line="340" w:lineRule="auto" w:before="30"/>
        <w:ind w:left="212" w:right="0"/>
        <w:jc w:val="left"/>
      </w:pPr>
      <w:r>
        <w:rPr>
          <w:spacing w:val="-2"/>
        </w:rPr>
        <w:t>广电银通金融电子科技有限公司和广东雄狮金融投资管理有限公司出资设立，其中深圳广电银通金融电子</w:t>
      </w:r>
      <w:r>
        <w:rPr>
          <w:spacing w:val="-43"/>
        </w:rPr>
        <w:t> </w:t>
      </w:r>
      <w:r>
        <w:rPr>
          <w:spacing w:val="-43"/>
        </w:rPr>
      </w:r>
      <w:r>
        <w:rPr/>
        <w:t>科技有限公司出资人民币</w:t>
      </w:r>
      <w:r>
        <w:rPr>
          <w:rFonts w:ascii="宋体" w:hAnsi="宋体" w:cs="宋体" w:eastAsia="宋体" w:hint="default"/>
        </w:rPr>
        <w:t>1,530</w:t>
      </w:r>
      <w:r>
        <w:rPr/>
        <w:t>万元，占股比</w:t>
      </w:r>
      <w:r>
        <w:rPr>
          <w:rFonts w:ascii="宋体" w:hAnsi="宋体" w:cs="宋体" w:eastAsia="宋体" w:hint="default"/>
        </w:rPr>
        <w:t>51%</w:t>
      </w:r>
      <w:r>
        <w:rPr/>
        <w:t>，广东雄狮金融投资管理有限公司出资</w:t>
      </w:r>
      <w:r>
        <w:rPr>
          <w:rFonts w:ascii="宋体" w:hAnsi="宋体" w:cs="宋体" w:eastAsia="宋体" w:hint="default"/>
        </w:rPr>
        <w:t>1,470</w:t>
      </w:r>
      <w:r>
        <w:rPr/>
        <w:t>万元，占股</w:t>
      </w:r>
      <w:r>
        <w:rPr>
          <w:w w:val="100"/>
        </w:rPr>
        <w:t> </w:t>
      </w:r>
      <w:r>
        <w:rPr/>
        <w:t>比</w:t>
      </w:r>
      <w:r>
        <w:rPr>
          <w:rFonts w:ascii="宋体" w:hAnsi="宋体" w:cs="宋体" w:eastAsia="宋体" w:hint="default"/>
        </w:rPr>
        <w:t>49%</w:t>
      </w:r>
      <w:r>
        <w:rPr/>
        <w:t>。注册地址广东省揭阳市榕城区东山建阳路以南仁义路以西。取得揭阳市工商行政管理局签发注册</w:t>
      </w:r>
      <w:r>
        <w:rPr>
          <w:w w:val="100"/>
        </w:rPr>
        <w:t> </w:t>
      </w:r>
      <w:r>
        <w:rPr>
          <w:spacing w:val="-2"/>
        </w:rPr>
        <w:t>号为</w:t>
      </w:r>
      <w:r>
        <w:rPr>
          <w:rFonts w:ascii="宋体" w:hAnsi="宋体" w:cs="宋体" w:eastAsia="宋体" w:hint="default"/>
          <w:spacing w:val="-2"/>
        </w:rPr>
        <w:t>445200000077510</w:t>
      </w:r>
      <w:r>
        <w:rPr>
          <w:spacing w:val="-2"/>
        </w:rPr>
        <w:t>的营业执照，经营范围为接受各金融机构委托从事自动柜员机清机加钞，清分整点，</w:t>
      </w:r>
      <w:r>
        <w:rPr>
          <w:spacing w:val="-31"/>
        </w:rPr>
        <w:t> </w:t>
      </w:r>
      <w:r>
        <w:rPr>
          <w:spacing w:val="-31"/>
        </w:rPr>
      </w:r>
      <w:r>
        <w:rPr>
          <w:spacing w:val="-5"/>
        </w:rPr>
        <w:t>现金调缴，票据录入，数据处理，安全监控，贵重物品保管管理以及涉及银行及其它外包服务业务和设备、</w:t>
      </w:r>
      <w:r>
        <w:rPr>
          <w:spacing w:val="-6"/>
        </w:rPr>
        <w:t> </w:t>
      </w:r>
      <w:r>
        <w:rPr>
          <w:spacing w:val="-6"/>
        </w:rPr>
      </w:r>
      <w:r>
        <w:rPr>
          <w:spacing w:val="-5"/>
        </w:rPr>
        <w:t>技术的销售、服务；从事金融业、房地产、实业的投资与资产管理业务；研发、生产、销售金融电子设备；</w:t>
      </w:r>
      <w:r>
        <w:rPr>
          <w:spacing w:val="-12"/>
        </w:rPr>
        <w:t> </w:t>
      </w:r>
      <w:r>
        <w:rPr>
          <w:spacing w:val="-12"/>
        </w:rPr>
      </w:r>
      <w:r>
        <w:rPr>
          <w:spacing w:val="-2"/>
        </w:rPr>
        <w:t>计算机软件开发，计算机系统集成，计算机设备、金融电子设备、办公设备、税控设备的技术开发、技术</w:t>
      </w:r>
    </w:p>
    <w:p>
      <w:pPr>
        <w:spacing w:after="0" w:line="340" w:lineRule="auto"/>
        <w:jc w:val="left"/>
        <w:sectPr>
          <w:pgSz w:w="11910" w:h="16840"/>
          <w:pgMar w:header="877" w:footer="982" w:top="1100" w:bottom="1180" w:left="920" w:right="920"/>
        </w:sectPr>
      </w:pPr>
    </w:p>
    <w:p>
      <w:pPr>
        <w:spacing w:line="240" w:lineRule="auto" w:before="10"/>
        <w:rPr>
          <w:rFonts w:ascii="宋体" w:hAnsi="宋体" w:cs="宋体" w:eastAsia="宋体" w:hint="default"/>
          <w:sz w:val="23"/>
          <w:szCs w:val="23"/>
        </w:rPr>
      </w:pPr>
    </w:p>
    <w:p>
      <w:pPr>
        <w:pStyle w:val="Heading4"/>
        <w:spacing w:line="338" w:lineRule="auto" w:before="36"/>
        <w:ind w:right="0"/>
        <w:jc w:val="left"/>
      </w:pPr>
      <w:r>
        <w:rPr>
          <w:spacing w:val="-2"/>
        </w:rPr>
        <w:t>咨询、技术服务及租赁；以服务外包方式从事银行等金融机构的后台业务服务。目前，深圳广电银通金融</w:t>
      </w:r>
      <w:r>
        <w:rPr>
          <w:spacing w:val="-44"/>
        </w:rPr>
        <w:t> </w:t>
      </w:r>
      <w:r>
        <w:rPr>
          <w:spacing w:val="-44"/>
        </w:rPr>
      </w:r>
      <w:r>
        <w:rPr/>
        <w:t>电子科技有限公司尚未实际出资，公司尚未正式营运。</w:t>
      </w:r>
    </w:p>
    <w:p>
      <w:pPr>
        <w:spacing w:line="240" w:lineRule="auto" w:before="5"/>
        <w:rPr>
          <w:rFonts w:ascii="宋体" w:hAnsi="宋体" w:cs="宋体" w:eastAsia="宋体" w:hint="default"/>
          <w:sz w:val="20"/>
          <w:szCs w:val="20"/>
        </w:rPr>
      </w:pPr>
    </w:p>
    <w:p>
      <w:pPr>
        <w:spacing w:line="496" w:lineRule="auto" w:before="0"/>
        <w:ind w:left="572" w:right="6704" w:firstLine="0"/>
        <w:jc w:val="left"/>
        <w:rPr>
          <w:rFonts w:ascii="宋体" w:hAnsi="宋体" w:cs="宋体" w:eastAsia="宋体" w:hint="default"/>
          <w:sz w:val="21"/>
          <w:szCs w:val="21"/>
        </w:rPr>
      </w:pPr>
      <w:r>
        <w:rPr>
          <w:rFonts w:ascii="宋体" w:hAnsi="宋体" w:cs="宋体" w:eastAsia="宋体" w:hint="default"/>
          <w:b/>
          <w:bCs/>
          <w:sz w:val="24"/>
          <w:szCs w:val="24"/>
        </w:rPr>
        <w:t>九</w:t>
      </w:r>
      <w:bookmarkStart w:name="九、在其他主体中的权益" w:id="330"/>
      <w:bookmarkEnd w:id="330"/>
      <w:r>
        <w:rPr>
          <w:rFonts w:ascii="宋体" w:hAnsi="宋体" w:cs="宋体" w:eastAsia="宋体" w:hint="default"/>
          <w:b/>
          <w:bCs/>
          <w:sz w:val="24"/>
          <w:szCs w:val="24"/>
        </w:rPr>
        <w:t>、</w:t>
      </w:r>
      <w:r>
        <w:rPr>
          <w:rFonts w:ascii="宋体" w:hAnsi="宋体" w:cs="宋体" w:eastAsia="宋体" w:hint="default"/>
          <w:b/>
          <w:bCs/>
          <w:sz w:val="24"/>
          <w:szCs w:val="24"/>
        </w:rPr>
        <w:t>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bookmarkStart w:name="1、在子公司中的权益" w:id="331"/>
      <w:bookmarkEnd w:id="331"/>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、在子公司中的权益</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695"/>
        <w:gridCol w:w="850"/>
        <w:gridCol w:w="850"/>
        <w:gridCol w:w="2126"/>
        <w:gridCol w:w="991"/>
        <w:gridCol w:w="994"/>
        <w:gridCol w:w="1066"/>
      </w:tblGrid>
      <w:tr>
        <w:trPr>
          <w:trHeight w:val="401" w:hRule="exact"/>
        </w:trPr>
        <w:tc>
          <w:tcPr>
            <w:tcW w:w="26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94"/>
              <w:ind w:left="331" w:right="59" w:hanging="272"/>
              <w:jc w:val="left"/>
              <w:rPr>
                <w:rFonts w:ascii="宋体" w:hAnsi="宋体" w:cs="宋体" w:eastAsia="宋体" w:hint="default"/>
                <w:sz w:val="18"/>
                <w:szCs w:val="18"/>
              </w:rPr>
            </w:pPr>
            <w:bookmarkStart w:name="(1)企业集团的构成" w:id="332"/>
            <w:bookmarkEnd w:id="332"/>
            <w:r>
              <w:rPr/>
            </w:r>
            <w:r>
              <w:rPr>
                <w:rFonts w:ascii="宋体" w:hAnsi="宋体" w:cs="宋体" w:eastAsia="宋体" w:hint="default"/>
                <w:sz w:val="18"/>
                <w:szCs w:val="18"/>
              </w:rPr>
              <w:t>主要经营 地</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2695"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2126" w:type="dxa"/>
            <w:vMerge/>
            <w:tcBorders>
              <w:left w:val="single" w:sz="4" w:space="0" w:color="000000"/>
              <w:bottom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广州支点创业投资有限公司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广州广电汇通金融服务有限公司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广州广电运通信息科技有限公司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广州中智融通金融科技有限公司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北京广电运通科技有限公司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环保处理及房地产开发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赣州中联环保科技开发有限公司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环保处理及房地产开发</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赣州中联电镀原料配送经营服务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环保处理及房地产开发</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赣州龙源环保产业经营管理有限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环保处理及房地产开发</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广州广电银通金融电子科技有限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深圳广电银通金融电子科技有限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深圳鹏通金融服务有限公司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石家庄市银通金融服务有限公司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上海欣辰通金融电子科技有限公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宜昌宜通金融服务有限公司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云南云通金融外包服务有限公司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南宁盈通金融电子科技有限公司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695"/>
        <w:gridCol w:w="850"/>
        <w:gridCol w:w="850"/>
        <w:gridCol w:w="2126"/>
        <w:gridCol w:w="991"/>
        <w:gridCol w:w="994"/>
        <w:gridCol w:w="1066"/>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河南商通金融服务外包有限公司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河北晨通金融电子科技有限公司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河北邢台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南阳宛通金融电子科技有限公司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山西尚通金融外包服务有限公司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山西太原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广州广电银通安保投资有限公司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9"/>
              <w:jc w:val="left"/>
              <w:rPr>
                <w:rFonts w:ascii="宋体" w:hAnsi="宋体" w:cs="宋体" w:eastAsia="宋体" w:hint="default"/>
                <w:sz w:val="18"/>
                <w:szCs w:val="18"/>
              </w:rPr>
            </w:pPr>
            <w:r>
              <w:rPr>
                <w:rFonts w:ascii="宋体" w:hAnsi="宋体" w:cs="宋体" w:eastAsia="宋体" w:hint="default"/>
                <w:sz w:val="18"/>
                <w:szCs w:val="18"/>
              </w:rPr>
              <w:t>内蒙古广电银通安保投资有限公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5"/>
              <w:jc w:val="left"/>
              <w:rPr>
                <w:rFonts w:ascii="宋体" w:hAnsi="宋体" w:cs="宋体" w:eastAsia="宋体" w:hint="default"/>
                <w:sz w:val="18"/>
                <w:szCs w:val="18"/>
              </w:rPr>
            </w:pPr>
            <w:r>
              <w:rPr>
                <w:rFonts w:ascii="宋体" w:hAnsi="宋体" w:cs="宋体" w:eastAsia="宋体" w:hint="default"/>
                <w:sz w:val="18"/>
                <w:szCs w:val="18"/>
              </w:rPr>
              <w:t>内蒙古呼 和浩特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内蒙古呼 和浩特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宜昌市金牛押运护卫保安服务有 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商洛市金盾押运有限责任公司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武威市神威保安守押有限责任公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邵阳市保安服务有限责任公司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兴安盟威信保安守押服务有限责 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巴彦淖尔天力保押有限责任公司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巴彦淖尔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广东榕通科技服务有限公司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揭阳市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揭阳市</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10"/>
              <w:jc w:val="left"/>
              <w:rPr>
                <w:rFonts w:ascii="Times New Roman" w:hAnsi="Times New Roman" w:cs="Times New Roman" w:eastAsia="Times New Roman" w:hint="default"/>
                <w:sz w:val="18"/>
                <w:szCs w:val="18"/>
              </w:rPr>
            </w:pPr>
            <w:r>
              <w:rPr>
                <w:rFonts w:ascii="Times New Roman"/>
                <w:sz w:val="18"/>
              </w:rPr>
              <w:t>GRG Banking</w:t>
            </w:r>
            <w:r>
              <w:rPr>
                <w:rFonts w:ascii="Times New Roman"/>
                <w:spacing w:val="-9"/>
                <w:sz w:val="18"/>
              </w:rPr>
              <w:t> </w:t>
            </w:r>
            <w:r>
              <w:rPr>
                <w:rFonts w:ascii="Times New Roman"/>
                <w:sz w:val="18"/>
              </w:rPr>
              <w:t>Equipment(HK)</w:t>
            </w:r>
            <w:r>
              <w:rPr>
                <w:rFonts w:ascii="Times New Roman"/>
                <w:w w:val="99"/>
                <w:sz w:val="18"/>
              </w:rPr>
              <w:t> </w:t>
            </w:r>
            <w:r>
              <w:rPr>
                <w:rFonts w:ascii="Times New Roman"/>
                <w:sz w:val="18"/>
              </w:rPr>
              <w:t>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Global </w:t>
            </w:r>
            <w:r>
              <w:rPr>
                <w:rFonts w:ascii="Times New Roman"/>
                <w:spacing w:val="-8"/>
                <w:sz w:val="18"/>
              </w:rPr>
              <w:t>ATM </w:t>
            </w:r>
            <w:r>
              <w:rPr>
                <w:rFonts w:ascii="Times New Roman"/>
                <w:sz w:val="18"/>
              </w:rPr>
              <w:t>Parts  </w:t>
            </w:r>
            <w:r>
              <w:rPr>
                <w:rFonts w:ascii="Times New Roman"/>
                <w:spacing w:val="37"/>
                <w:sz w:val="18"/>
              </w:rPr>
              <w:t> </w:t>
            </w:r>
            <w:r>
              <w:rPr>
                <w:rFonts w:ascii="Times New Roman"/>
                <w:sz w:val="18"/>
              </w:rPr>
              <w:t>Co.,Limited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GRG Hongkong Mexico, S.A.</w:t>
            </w:r>
            <w:r>
              <w:rPr>
                <w:rFonts w:ascii="Times New Roman"/>
                <w:spacing w:val="-12"/>
                <w:sz w:val="18"/>
              </w:rPr>
              <w:t> </w:t>
            </w:r>
            <w:r>
              <w:rPr>
                <w:rFonts w:ascii="Times New Roman"/>
                <w:sz w:val="18"/>
              </w:rPr>
              <w:t>DE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墨西哥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51"/>
              <w:jc w:val="left"/>
              <w:rPr>
                <w:rFonts w:ascii="Times New Roman" w:hAnsi="Times New Roman" w:cs="Times New Roman" w:eastAsia="Times New Roman" w:hint="default"/>
                <w:sz w:val="18"/>
                <w:szCs w:val="18"/>
              </w:rPr>
            </w:pPr>
            <w:r>
              <w:rPr>
                <w:rFonts w:ascii="Times New Roman"/>
                <w:sz w:val="18"/>
              </w:rPr>
              <w:t>GRG Turkiye</w:t>
            </w:r>
            <w:r>
              <w:rPr>
                <w:rFonts w:ascii="Times New Roman"/>
                <w:spacing w:val="-17"/>
                <w:sz w:val="18"/>
              </w:rPr>
              <w:t> </w:t>
            </w:r>
            <w:r>
              <w:rPr>
                <w:rFonts w:ascii="Times New Roman"/>
                <w:sz w:val="18"/>
              </w:rPr>
              <w:t>Bankacilik</w:t>
            </w:r>
            <w:r>
              <w:rPr>
                <w:rFonts w:ascii="Times New Roman"/>
                <w:sz w:val="18"/>
              </w:rPr>
              <w:t> Ekipmanlari</w:t>
            </w:r>
            <w:r>
              <w:rPr>
                <w:rFonts w:ascii="Times New Roman"/>
                <w:spacing w:val="-8"/>
                <w:sz w:val="18"/>
              </w:rPr>
              <w:t> </w:t>
            </w:r>
            <w:r>
              <w:rPr>
                <w:rFonts w:ascii="Times New Roman"/>
                <w:sz w:val="18"/>
              </w:rPr>
              <w:t>Ltd</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土耳其</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65"/>
              <w:jc w:val="left"/>
              <w:rPr>
                <w:rFonts w:ascii="Times New Roman" w:hAnsi="Times New Roman" w:cs="Times New Roman" w:eastAsia="Times New Roman" w:hint="default"/>
                <w:sz w:val="18"/>
                <w:szCs w:val="18"/>
              </w:rPr>
            </w:pPr>
            <w:r>
              <w:rPr>
                <w:rFonts w:ascii="Times New Roman"/>
                <w:sz w:val="18"/>
              </w:rPr>
              <w:t>GRG Banking Equipment</w:t>
            </w:r>
            <w:r>
              <w:rPr>
                <w:rFonts w:ascii="Times New Roman"/>
                <w:spacing w:val="-9"/>
                <w:sz w:val="18"/>
              </w:rPr>
              <w:t> </w:t>
            </w:r>
            <w:r>
              <w:rPr>
                <w:rFonts w:ascii="Times New Roman"/>
                <w:sz w:val="18"/>
              </w:rPr>
              <w:t>(HK)</w:t>
            </w:r>
            <w:r>
              <w:rPr>
                <w:rFonts w:ascii="Times New Roman"/>
                <w:w w:val="99"/>
                <w:sz w:val="18"/>
              </w:rPr>
              <w:t> </w:t>
            </w:r>
            <w:r>
              <w:rPr>
                <w:rFonts w:ascii="Times New Roman"/>
                <w:sz w:val="18"/>
              </w:rPr>
              <w:t>Europe</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立陶宛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GRG Deutschland</w:t>
            </w:r>
            <w:r>
              <w:rPr>
                <w:rFonts w:ascii="Times New Roman"/>
                <w:spacing w:val="-8"/>
                <w:sz w:val="18"/>
              </w:rPr>
              <w:t> </w:t>
            </w:r>
            <w:r>
              <w:rPr>
                <w:rFonts w:ascii="Times New Roman"/>
                <w:sz w:val="18"/>
              </w:rPr>
              <w:t>GmbH</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商业及服务业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r>
        <w:trPr>
          <w:trHeight w:val="715"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深圳市创自软件有限公司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下合并</w:t>
            </w:r>
          </w:p>
        </w:tc>
      </w:tr>
    </w:tbl>
    <w:p>
      <w:pPr>
        <w:pStyle w:val="BodyText"/>
        <w:spacing w:line="240" w:lineRule="auto" w:before="49"/>
        <w:ind w:left="664" w:right="0"/>
        <w:jc w:val="left"/>
      </w:pPr>
      <w:r>
        <w:rPr>
          <w:rFonts w:ascii="Times New Roman" w:hAnsi="Times New Roman" w:cs="Times New Roman" w:eastAsia="Times New Roman" w:hint="default"/>
        </w:rPr>
        <w:t>(2)</w:t>
      </w:r>
      <w:r>
        <w:rPr/>
        <w:t>重要的非全资子公司</w:t>
      </w:r>
    </w:p>
    <w:p>
      <w:pPr>
        <w:pStyle w:val="BodyText"/>
        <w:spacing w:line="240" w:lineRule="auto" w:before="101"/>
        <w:ind w:left="0" w:right="153"/>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416"/>
        <w:gridCol w:w="1632"/>
        <w:gridCol w:w="1913"/>
        <w:gridCol w:w="1918"/>
      </w:tblGrid>
      <w:tr>
        <w:trPr>
          <w:trHeight w:val="754"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614" w:right="71"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95"/>
        <w:gridCol w:w="1416"/>
        <w:gridCol w:w="1632"/>
        <w:gridCol w:w="1913"/>
        <w:gridCol w:w="1915"/>
      </w:tblGrid>
      <w:tr>
        <w:trPr>
          <w:trHeight w:val="40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广州穗通金融服务有限公司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49.00%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9,074,395.36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50,194,991.05</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广州市龙源环保科技有限公司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39.90%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-1,759,430.97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92,864,443.85</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深圳市创自技术有限公司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2,245,459.37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15,981,004.47</w:t>
            </w: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4)使用企业集团资产和清偿企业集团债务的重大限制" w:id="333"/>
      <w:bookmarkEnd w:id="333"/>
      <w:r>
        <w:rPr>
          <w:b w:val="0"/>
          <w:bCs w:val="0"/>
        </w:rPr>
      </w:r>
      <w:r>
        <w:rPr>
          <w:rFonts w:ascii="宋体" w:hAnsi="宋体" w:cs="宋体" w:eastAsia="宋体" w:hint="default"/>
        </w:rPr>
        <w:t>(3)</w:t>
      </w:r>
      <w:bookmarkStart w:name="(3)重要非全资子公司的主要财务信息" w:id="334"/>
      <w:bookmarkEnd w:id="334"/>
      <w:r>
        <w:rPr>
          <w:rFonts w:ascii="宋体" w:hAnsi="宋体" w:cs="宋体" w:eastAsia="宋体" w:hint="default"/>
        </w:rPr>
      </w:r>
      <w:r>
        <w:rPr/>
        <w:t>重要非全资子公司的主要财务信息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广州穗 通金融 服务有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87,978,4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47,732,2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135,710,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625.30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24,841,0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8,430,86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33,271,8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64,434,5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35,982,3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100,416,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837.00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13,185,9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62.28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3,311,29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16,497,2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53.95</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广州市 龙源环 保科技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131,878,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174.62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109,937,</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808.07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241,815,</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982.69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9,073,01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9,073,01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135,073,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002.34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108,105,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719.61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243,178,</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721.95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6,026,15</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3.49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6,026,15</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3.49</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创自技 术有限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71,260,9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5,363,59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76,624,5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23,001,6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352,972.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广州穗通金 融服务有限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121,528,370.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18,519,174.2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18,519,174.2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27,201,840.8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102,718,787.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19,038,729.8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19,038,729.8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26,447,344.5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广州市龙源 环保科技有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22,221,003.6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-4,409,601.41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-4,409,601.41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2,284,063.86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3,599,027.07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-9,806,175.04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-9,806,175.04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1,437,413.41</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深圳市创自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30,920,812.1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7,484,864.58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7,484,864.58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-104,196,253.</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37" w:lineRule="auto" w:before="36"/>
        <w:ind w:left="572" w:right="0" w:hanging="1"/>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本公司不存在使用企业集团资产和清偿企业集团债务的重大限制。</w:t>
      </w:r>
    </w:p>
    <w:p>
      <w:pPr>
        <w:spacing w:after="0" w:line="537"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spacing w:line="516" w:lineRule="auto" w:before="36"/>
        <w:ind w:left="632" w:right="101" w:firstLine="0"/>
        <w:jc w:val="left"/>
        <w:rPr>
          <w:rFonts w:ascii="宋体" w:hAnsi="宋体" w:cs="宋体" w:eastAsia="宋体" w:hint="default"/>
          <w:sz w:val="21"/>
          <w:szCs w:val="21"/>
        </w:rPr>
      </w:pPr>
      <w:bookmarkStart w:name="(1)重要的合营企业或联营企业" w:id="335"/>
      <w:bookmarkEnd w:id="335"/>
      <w:r>
        <w:rPr/>
      </w:r>
      <w:bookmarkStart w:name="(2)重要合营企业的主要财务信息" w:id="336"/>
      <w:bookmarkEnd w:id="336"/>
      <w:r>
        <w:rPr/>
      </w:r>
      <w:r>
        <w:rPr>
          <w:rFonts w:ascii="宋体" w:hAnsi="宋体" w:cs="宋体" w:eastAsia="宋体"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b/>
          <w:bCs/>
          <w:w w:val="100"/>
          <w:sz w:val="21"/>
          <w:szCs w:val="21"/>
        </w:rPr>
        <w:t> </w:t>
      </w:r>
      <w:bookmarkStart w:name="(5)向纳入合并财务报表范围的结构化主体提供的财务支持或其他支持" w:id="337"/>
      <w:bookmarkEnd w:id="337"/>
      <w:r>
        <w:rPr>
          <w:rFonts w:ascii="宋体" w:hAnsi="宋体" w:cs="宋体" w:eastAsia="宋体" w:hint="default"/>
          <w:b/>
          <w:bCs/>
          <w:w w:val="100"/>
          <w:sz w:val="21"/>
          <w:szCs w:val="21"/>
        </w:rPr>
      </w:r>
      <w:r>
        <w:rPr>
          <w:rFonts w:ascii="宋体" w:hAnsi="宋体" w:cs="宋体" w:eastAsia="宋体" w:hint="default"/>
          <w:spacing w:val="-2"/>
          <w:sz w:val="21"/>
          <w:szCs w:val="21"/>
        </w:rPr>
        <w:t>截至报告期末，公司已向广州安保投资公司提供财务资助</w:t>
      </w:r>
      <w:r>
        <w:rPr>
          <w:rFonts w:ascii="Times New Roman" w:hAnsi="Times New Roman" w:cs="Times New Roman" w:eastAsia="Times New Roman" w:hint="default"/>
          <w:spacing w:val="-2"/>
          <w:sz w:val="21"/>
          <w:szCs w:val="21"/>
        </w:rPr>
        <w:t>24,960.00</w:t>
      </w:r>
      <w:r>
        <w:rPr>
          <w:rFonts w:ascii="宋体" w:hAnsi="宋体" w:cs="宋体" w:eastAsia="宋体" w:hint="default"/>
          <w:spacing w:val="-2"/>
          <w:sz w:val="21"/>
          <w:szCs w:val="21"/>
        </w:rPr>
        <w:t>万元，应收利息</w:t>
      </w:r>
      <w:r>
        <w:rPr>
          <w:rFonts w:ascii="Times New Roman" w:hAnsi="Times New Roman" w:cs="Times New Roman" w:eastAsia="Times New Roman" w:hint="default"/>
          <w:spacing w:val="-2"/>
          <w:sz w:val="21"/>
          <w:szCs w:val="21"/>
        </w:rPr>
        <w:t>517.42</w:t>
      </w:r>
      <w:r>
        <w:rPr>
          <w:rFonts w:ascii="宋体" w:hAnsi="宋体" w:cs="宋体" w:eastAsia="宋体" w:hint="default"/>
          <w:spacing w:val="-2"/>
          <w:sz w:val="21"/>
          <w:szCs w:val="21"/>
        </w:rPr>
        <w:t>万元。</w:t>
      </w:r>
      <w:r>
        <w:rPr>
          <w:rFonts w:ascii="宋体" w:hAnsi="宋体" w:cs="宋体" w:eastAsia="宋体" w:hint="default"/>
          <w:spacing w:val="-16"/>
          <w:sz w:val="21"/>
          <w:szCs w:val="21"/>
        </w:rPr>
        <w:t> </w:t>
      </w:r>
      <w:r>
        <w:rPr>
          <w:rFonts w:ascii="Times New Roman" w:hAnsi="Times New Roman" w:cs="Times New Roman" w:eastAsia="Times New Roman" w:hint="default"/>
          <w:b/>
          <w:bCs/>
          <w:sz w:val="21"/>
          <w:szCs w:val="21"/>
        </w:rPr>
        <w:t>2</w:t>
      </w:r>
      <w:bookmarkStart w:name="2、在子公司的所有者权益份额发生变化且仍控制子公司的交易" w:id="338"/>
      <w:bookmarkEnd w:id="33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b/>
          <w:bCs/>
          <w:w w:val="100"/>
          <w:sz w:val="21"/>
          <w:szCs w:val="21"/>
        </w:rPr>
        <w:t> </w:t>
      </w:r>
      <w:r>
        <w:rPr>
          <w:rFonts w:ascii="宋体" w:hAnsi="宋体" w:cs="宋体" w:eastAsia="宋体" w:hint="default"/>
          <w:b/>
          <w:bCs/>
          <w:sz w:val="21"/>
          <w:szCs w:val="21"/>
        </w:rPr>
        <w:t>(1)</w:t>
      </w:r>
      <w:bookmarkStart w:name="(1)在子公司所有者权益份额发生变化的情况说明" w:id="339"/>
      <w:bookmarkEnd w:id="339"/>
      <w:r>
        <w:rPr>
          <w:rFonts w:ascii="宋体" w:hAnsi="宋体" w:cs="宋体" w:eastAsia="宋体" w:hint="default"/>
          <w:b/>
          <w:bCs/>
          <w:sz w:val="21"/>
          <w:szCs w:val="21"/>
        </w:rPr>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pStyle w:val="Heading4"/>
        <w:spacing w:line="338" w:lineRule="auto" w:before="136"/>
        <w:ind w:left="664" w:right="101" w:hanging="32"/>
        <w:jc w:val="left"/>
      </w:pPr>
      <w:r>
        <w:rPr>
          <w:rFonts w:ascii="宋体" w:hAnsi="宋体" w:cs="宋体" w:eastAsia="宋体" w:hint="default"/>
          <w:b/>
          <w:bCs/>
        </w:rPr>
        <w:t>①收购股权</w:t>
      </w:r>
      <w:r>
        <w:rPr>
          <w:rFonts w:ascii="宋体" w:hAnsi="宋体" w:cs="宋体" w:eastAsia="宋体" w:hint="default"/>
          <w:b/>
          <w:bCs/>
          <w:w w:val="100"/>
        </w:rPr>
        <w:t> </w:t>
      </w:r>
      <w:r>
        <w:rPr/>
        <w:t>本公司的子公司深圳广电银通金融电子科技有限公司</w:t>
      </w:r>
      <w:r>
        <w:rPr>
          <w:rFonts w:ascii="宋体" w:hAnsi="宋体" w:cs="宋体" w:eastAsia="宋体" w:hint="default"/>
        </w:rPr>
        <w:t>2015</w:t>
      </w:r>
      <w:r>
        <w:rPr/>
        <w:t>年</w:t>
      </w:r>
      <w:r>
        <w:rPr>
          <w:rFonts w:ascii="宋体" w:hAnsi="宋体" w:cs="宋体" w:eastAsia="宋体" w:hint="default"/>
        </w:rPr>
        <w:t>1</w:t>
      </w:r>
      <w:r>
        <w:rPr/>
        <w:t>月出资</w:t>
      </w:r>
      <w:r>
        <w:rPr>
          <w:rFonts w:ascii="宋体" w:hAnsi="宋体" w:cs="宋体" w:eastAsia="宋体" w:hint="default"/>
        </w:rPr>
        <w:t>46.15</w:t>
      </w:r>
      <w:r>
        <w:rPr/>
        <w:t>万元购买辽宁辽通金融电</w:t>
      </w:r>
    </w:p>
    <w:p>
      <w:pPr>
        <w:pStyle w:val="Heading4"/>
        <w:spacing w:line="340" w:lineRule="auto" w:before="30"/>
        <w:ind w:left="243" w:right="150"/>
        <w:jc w:val="both"/>
      </w:pPr>
      <w:r>
        <w:rPr>
          <w:spacing w:val="-3"/>
        </w:rPr>
        <w:t>子科技有限公司少数股东</w:t>
      </w:r>
      <w:r>
        <w:rPr>
          <w:rFonts w:ascii="宋体" w:hAnsi="宋体" w:cs="宋体" w:eastAsia="宋体" w:hint="default"/>
          <w:spacing w:val="-3"/>
        </w:rPr>
        <w:t>49%</w:t>
      </w:r>
      <w:r>
        <w:rPr>
          <w:spacing w:val="-3"/>
        </w:rPr>
        <w:t>股份，购买日辽宁辽通金融电子科技有限公司净资产</w:t>
      </w:r>
      <w:r>
        <w:rPr>
          <w:rFonts w:ascii="宋体" w:hAnsi="宋体" w:cs="宋体" w:eastAsia="宋体" w:hint="default"/>
          <w:spacing w:val="-3"/>
        </w:rPr>
        <w:t>810,748.27</w:t>
      </w:r>
      <w:r>
        <w:rPr>
          <w:spacing w:val="-3"/>
        </w:rPr>
        <w:t>元，对应</w:t>
      </w:r>
      <w:r>
        <w:rPr>
          <w:rFonts w:ascii="宋体" w:hAnsi="宋体" w:cs="宋体" w:eastAsia="宋体" w:hint="default"/>
          <w:spacing w:val="-3"/>
        </w:rPr>
        <w:t>49%</w:t>
      </w:r>
      <w:r>
        <w:rPr>
          <w:rFonts w:ascii="宋体" w:hAnsi="宋体" w:cs="宋体" w:eastAsia="宋体" w:hint="default"/>
          <w:spacing w:val="-15"/>
        </w:rPr>
        <w:t> </w:t>
      </w:r>
      <w:r>
        <w:rPr>
          <w:spacing w:val="-3"/>
        </w:rPr>
        <w:t>股份的权益价值</w:t>
      </w:r>
      <w:r>
        <w:rPr>
          <w:rFonts w:ascii="宋体" w:hAnsi="宋体" w:cs="宋体" w:eastAsia="宋体" w:hint="default"/>
          <w:spacing w:val="-3"/>
        </w:rPr>
        <w:t>397,266.65</w:t>
      </w:r>
      <w:r>
        <w:rPr>
          <w:spacing w:val="-3"/>
        </w:rPr>
        <w:t>元，溢价</w:t>
      </w:r>
      <w:r>
        <w:rPr>
          <w:rFonts w:ascii="宋体" w:hAnsi="宋体" w:cs="宋体" w:eastAsia="宋体" w:hint="default"/>
          <w:spacing w:val="-3"/>
        </w:rPr>
        <w:t>64,233.35</w:t>
      </w:r>
      <w:r>
        <w:rPr>
          <w:spacing w:val="-3"/>
        </w:rPr>
        <w:t>元冲减资本公积的股本溢价</w:t>
      </w:r>
      <w:r>
        <w:rPr>
          <w:rFonts w:ascii="宋体" w:hAnsi="宋体" w:cs="宋体" w:eastAsia="宋体" w:hint="default"/>
          <w:spacing w:val="-3"/>
        </w:rPr>
        <w:t>,</w:t>
      </w:r>
      <w:r>
        <w:rPr>
          <w:spacing w:val="-3"/>
        </w:rPr>
        <w:t>股权转让后，深圳广电银通金</w:t>
      </w:r>
      <w:r>
        <w:rPr>
          <w:spacing w:val="-1"/>
        </w:rPr>
        <w:t> </w:t>
      </w:r>
      <w:r>
        <w:rPr>
          <w:spacing w:val="-1"/>
        </w:rPr>
      </w:r>
      <w:r>
        <w:rPr/>
        <w:t>融电子科技有限公司持有</w:t>
      </w:r>
      <w:r>
        <w:rPr>
          <w:rFonts w:ascii="宋体" w:hAnsi="宋体" w:cs="宋体" w:eastAsia="宋体" w:hint="default"/>
        </w:rPr>
        <w:t>100.00%</w:t>
      </w:r>
      <w:r>
        <w:rPr/>
        <w:t>股权。</w:t>
      </w:r>
    </w:p>
    <w:p>
      <w:pPr>
        <w:spacing w:line="340" w:lineRule="auto" w:before="26"/>
        <w:ind w:left="635" w:right="5814" w:hanging="3"/>
        <w:jc w:val="left"/>
        <w:rPr>
          <w:rFonts w:ascii="宋体" w:hAnsi="宋体" w:cs="宋体" w:eastAsia="宋体" w:hint="default"/>
          <w:sz w:val="21"/>
          <w:szCs w:val="21"/>
        </w:rPr>
      </w:pPr>
      <w:r>
        <w:rPr>
          <w:rFonts w:ascii="宋体" w:hAnsi="宋体" w:cs="宋体" w:eastAsia="宋体" w:hint="default"/>
          <w:b/>
          <w:bCs/>
          <w:sz w:val="21"/>
          <w:szCs w:val="21"/>
        </w:rPr>
        <w:t>②处置股权</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本公司本期未发生股权处置。</w:t>
      </w:r>
    </w:p>
    <w:p>
      <w:pPr>
        <w:spacing w:line="240" w:lineRule="auto" w:before="13"/>
        <w:rPr>
          <w:rFonts w:ascii="宋体" w:hAnsi="宋体" w:cs="宋体" w:eastAsia="宋体" w:hint="default"/>
          <w:sz w:val="21"/>
          <w:szCs w:val="21"/>
        </w:rPr>
      </w:pPr>
    </w:p>
    <w:p>
      <w:pPr>
        <w:pStyle w:val="Heading3"/>
        <w:spacing w:line="240" w:lineRule="auto" w:before="0"/>
        <w:ind w:left="632" w:right="101"/>
        <w:jc w:val="left"/>
        <w:rPr>
          <w:b w:val="0"/>
          <w:bCs w:val="0"/>
        </w:rPr>
      </w:pPr>
      <w:r>
        <w:rPr>
          <w:rFonts w:ascii="宋体" w:hAnsi="宋体" w:cs="宋体" w:eastAsia="宋体" w:hint="default"/>
        </w:rPr>
        <w:t>(2)</w:t>
      </w:r>
      <w:r>
        <w:rPr/>
        <w:t>交易对于少数股东权益及归属于母公司所有者权</w:t>
      </w:r>
      <w:bookmarkStart w:name="(2)交易对于少数股东权益及归属于母公司所有者权益的影响" w:id="340"/>
      <w:bookmarkEnd w:id="340"/>
      <w:r>
        <w:rPr/>
        <w:t>益的影响</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760"/>
        <w:gridCol w:w="4796"/>
      </w:tblGrid>
      <w:tr>
        <w:trPr>
          <w:trHeight w:val="403" w:hRule="exact"/>
        </w:trPr>
        <w:tc>
          <w:tcPr>
            <w:tcW w:w="4760" w:type="dxa"/>
            <w:tcBorders>
              <w:top w:val="single" w:sz="4" w:space="0" w:color="000000"/>
              <w:left w:val="single" w:sz="4" w:space="0" w:color="000000"/>
              <w:bottom w:val="single" w:sz="4" w:space="0" w:color="000000"/>
              <w:right w:val="single" w:sz="4" w:space="0" w:color="000000"/>
            </w:tcBorders>
          </w:tcPr>
          <w:p>
            <w:pPr/>
          </w:p>
        </w:tc>
        <w:tc>
          <w:tcPr>
            <w:tcW w:w="4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38" w:right="0"/>
              <w:jc w:val="left"/>
              <w:rPr>
                <w:rFonts w:ascii="宋体" w:hAnsi="宋体" w:cs="宋体" w:eastAsia="宋体" w:hint="default"/>
                <w:sz w:val="18"/>
                <w:szCs w:val="18"/>
              </w:rPr>
            </w:pPr>
            <w:r>
              <w:rPr>
                <w:rFonts w:ascii="宋体" w:hAnsi="宋体" w:cs="宋体" w:eastAsia="宋体" w:hint="default"/>
                <w:sz w:val="18"/>
                <w:szCs w:val="18"/>
              </w:rPr>
              <w:t>辽宁辽通金融电子科技有限公司</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461,500.00</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461,500.00</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461,500.00</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397,266.65</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64,233.35</w:t>
            </w:r>
            <w:r>
              <w:rPr>
                <w:rFonts w:ascii="Times New Roman"/>
                <w:sz w:val="18"/>
              </w:rPr>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64,233.35</w:t>
            </w:r>
          </w:p>
        </w:tc>
      </w:tr>
    </w:tbl>
    <w:p>
      <w:pPr>
        <w:spacing w:line="240" w:lineRule="auto" w:before="3"/>
        <w:rPr>
          <w:rFonts w:ascii="宋体" w:hAnsi="宋体" w:cs="宋体" w:eastAsia="宋体" w:hint="default"/>
          <w:sz w:val="19"/>
          <w:szCs w:val="19"/>
        </w:rPr>
      </w:pPr>
    </w:p>
    <w:p>
      <w:pPr>
        <w:pStyle w:val="Heading3"/>
        <w:spacing w:line="240" w:lineRule="auto"/>
        <w:ind w:left="632" w:right="101"/>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632" w:right="101"/>
        <w:jc w:val="left"/>
        <w:rPr>
          <w:b w:val="0"/>
          <w:bCs w:val="0"/>
        </w:rPr>
      </w:pPr>
      <w:r>
        <w:rPr>
          <w:rFonts w:ascii="宋体" w:hAnsi="宋体" w:cs="宋体" w:eastAsia="宋体" w:hint="default"/>
        </w:rPr>
        <w:t>(1)</w:t>
      </w:r>
      <w:r>
        <w:rPr/>
        <w:t>重要的合营企业或联营企业</w:t>
      </w:r>
      <w:r>
        <w:rPr>
          <w:b w:val="0"/>
          <w:bCs w:val="0"/>
        </w:rPr>
      </w:r>
    </w:p>
    <w:p>
      <w:pPr>
        <w:spacing w:line="240" w:lineRule="auto" w:before="9"/>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3403"/>
        <w:gridCol w:w="850"/>
        <w:gridCol w:w="991"/>
        <w:gridCol w:w="994"/>
        <w:gridCol w:w="994"/>
        <w:gridCol w:w="974"/>
        <w:gridCol w:w="1366"/>
      </w:tblGrid>
      <w:tr>
        <w:trPr>
          <w:trHeight w:val="403" w:hRule="exact"/>
        </w:trPr>
        <w:tc>
          <w:tcPr>
            <w:tcW w:w="34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0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3403"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广州市广百小额贷款有限公司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广州市力沛企业管理咨询有限公司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ind w:left="632" w:right="101"/>
        <w:jc w:val="left"/>
        <w:rPr>
          <w:b w:val="0"/>
          <w:bCs w:val="0"/>
        </w:rPr>
      </w:pPr>
      <w:r>
        <w:rPr>
          <w:rFonts w:ascii="宋体" w:hAnsi="宋体" w:cs="宋体" w:eastAsia="宋体" w:hint="default"/>
        </w:rPr>
        <w:t>(2)</w:t>
      </w:r>
      <w:r>
        <w:rPr/>
        <w:t>重要合营企业的主要财务信息</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before="44"/>
        <w:ind w:left="0" w:right="153"/>
        <w:jc w:val="right"/>
      </w:pPr>
      <w:r>
        <w:rPr/>
        <w:t>单位：</w:t>
      </w:r>
      <w:r>
        <w:rPr>
          <w:spacing w:val="1"/>
        </w:rPr>
        <w:t> </w:t>
      </w:r>
      <w:bookmarkStart w:name="3、在合营安排或联营企业中的权益" w:id="341"/>
      <w:bookmarkEnd w:id="341"/>
      <w:r>
        <w:rPr/>
        <w:t>元</w:t>
      </w:r>
    </w:p>
    <w:p>
      <w:pPr>
        <w:spacing w:after="0" w:line="240" w:lineRule="auto"/>
        <w:jc w:val="right"/>
        <w:sectPr>
          <w:pgSz w:w="11910" w:h="16840"/>
          <w:pgMar w:header="877" w:footer="982" w:top="1100" w:bottom="1180" w:left="920" w:right="98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953"/>
        <w:gridCol w:w="1712"/>
        <w:gridCol w:w="1560"/>
        <w:gridCol w:w="1560"/>
        <w:gridCol w:w="1774"/>
      </w:tblGrid>
      <w:tr>
        <w:trPr>
          <w:trHeight w:val="402" w:hRule="exact"/>
        </w:trPr>
        <w:tc>
          <w:tcPr>
            <w:tcW w:w="2953" w:type="dxa"/>
            <w:vMerge w:val="restart"/>
            <w:tcBorders>
              <w:top w:val="single" w:sz="4" w:space="0" w:color="000000"/>
              <w:left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2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6" w:hRule="exact"/>
        </w:trPr>
        <w:tc>
          <w:tcPr>
            <w:tcW w:w="2953"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409" w:right="122" w:hanging="272"/>
              <w:jc w:val="left"/>
              <w:rPr>
                <w:rFonts w:ascii="宋体" w:hAnsi="宋体" w:cs="宋体" w:eastAsia="宋体" w:hint="default"/>
                <w:sz w:val="18"/>
                <w:szCs w:val="18"/>
              </w:rPr>
            </w:pPr>
            <w:r>
              <w:rPr>
                <w:rFonts w:ascii="宋体" w:hAnsi="宋体" w:cs="宋体" w:eastAsia="宋体" w:hint="default"/>
                <w:sz w:val="18"/>
                <w:szCs w:val="18"/>
              </w:rPr>
              <w:t>广州市广百小额贷 款有限公司</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146" w:right="143"/>
              <w:jc w:val="center"/>
              <w:rPr>
                <w:rFonts w:ascii="宋体" w:hAnsi="宋体" w:cs="宋体" w:eastAsia="宋体" w:hint="default"/>
                <w:sz w:val="18"/>
                <w:szCs w:val="18"/>
              </w:rPr>
            </w:pPr>
            <w:r>
              <w:rPr>
                <w:rFonts w:ascii="宋体" w:hAnsi="宋体" w:cs="宋体" w:eastAsia="宋体" w:hint="default"/>
                <w:sz w:val="18"/>
                <w:szCs w:val="18"/>
              </w:rPr>
              <w:t>广州市力沛企业 管理咨询有限公 司</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35" w:right="144" w:hanging="92"/>
              <w:jc w:val="left"/>
              <w:rPr>
                <w:rFonts w:ascii="宋体" w:hAnsi="宋体" w:cs="宋体" w:eastAsia="宋体" w:hint="default"/>
                <w:sz w:val="18"/>
                <w:szCs w:val="18"/>
              </w:rPr>
            </w:pPr>
            <w:r>
              <w:rPr>
                <w:rFonts w:ascii="宋体" w:hAnsi="宋体" w:cs="宋体" w:eastAsia="宋体" w:hint="default"/>
                <w:sz w:val="18"/>
                <w:szCs w:val="18"/>
              </w:rPr>
              <w:t>广州市广百小额 贷款有限公司</w:t>
            </w:r>
          </w:p>
        </w:tc>
        <w:tc>
          <w:tcPr>
            <w:tcW w:w="1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251" w:right="161" w:hanging="92"/>
              <w:jc w:val="left"/>
              <w:rPr>
                <w:rFonts w:ascii="宋体" w:hAnsi="宋体" w:cs="宋体" w:eastAsia="宋体" w:hint="default"/>
                <w:sz w:val="18"/>
                <w:szCs w:val="18"/>
              </w:rPr>
            </w:pPr>
            <w:r>
              <w:rPr>
                <w:rFonts w:ascii="宋体" w:hAnsi="宋体" w:cs="宋体" w:eastAsia="宋体" w:hint="default"/>
                <w:sz w:val="18"/>
                <w:szCs w:val="18"/>
              </w:rPr>
              <w:t>广州市力沛企业管 理咨询有限公司</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379,465,053.65</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12,595,128.06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346,677,316.99</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5,524,156.03</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34,046,404.10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12,591,968.23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20,552,440.98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5,524,156.03</w:t>
            </w:r>
            <w:r>
              <w:rPr>
                <w:rFonts w:ascii="Times New Roman"/>
                <w:sz w:val="18"/>
              </w:rPr>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4,834,904.22</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4,039,408.37</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25,815.00</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384,299,957.87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12,613,613.71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350,716,725.36</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5,549,971.03</w:t>
            </w:r>
            <w:r>
              <w:rPr>
                <w:rFonts w:ascii="Times New Roman"/>
                <w:sz w:val="18"/>
              </w:rPr>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65,644,566.78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1,548,810.60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25,862,712.77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1,006,457.53</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20,995.71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4,119.13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28,599.99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5,261.50</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65,665,562.49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1,552,929.73</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25,891,312.76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1,011,719.03</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2" w:type="dxa"/>
            <w:tcBorders>
              <w:top w:val="single" w:sz="4" w:space="0" w:color="000000"/>
              <w:left w:val="single" w:sz="10" w:space="0" w:color="D4D4D4"/>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318,634,395.38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11,060,683.98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324,825,412.60</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4,538,252.00</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63,726,879.08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2,212,136.80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64,965,082.52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907,650.40</w:t>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63,726,879.08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2,212,136.80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64,965,082.52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907,650.40</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34,553,950.79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14,033,729.84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54,229,940.19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5,464,341.41</w:t>
            </w:r>
            <w:r>
              <w:rPr>
                <w:rFonts w:ascii="Times New Roman"/>
                <w:sz w:val="18"/>
              </w:rPr>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2" w:type="dxa"/>
            <w:tcBorders>
              <w:top w:val="single" w:sz="4" w:space="0" w:color="000000"/>
              <w:left w:val="single" w:sz="10" w:space="0" w:color="D4D4D4"/>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-3,306.65</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9,424.50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-757.02</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5,732,044.48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3,242,551.10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8,243,456.96</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1,182,421.39</w:t>
            </w:r>
            <w:r>
              <w:rPr>
                <w:rFonts w:ascii="Times New Roman"/>
                <w:sz w:val="18"/>
              </w:rPr>
            </w:r>
          </w:p>
        </w:tc>
      </w:tr>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15,959,241.65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9,706,858.78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24,611,398.75</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3,538,252.00</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15,959,241.65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9,706,858.78</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24,611,398.75</w:t>
            </w:r>
            <w:r>
              <w:rPr>
                <w:rFonts w:ascii="Times New Roman"/>
                <w:sz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3,538,252.00</w:t>
            </w:r>
            <w:r>
              <w:rPr>
                <w:rFonts w:ascii="Times New Roman"/>
                <w:sz w:val="18"/>
              </w:rPr>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71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4,430,051.77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636,885.36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385,224.92</w:t>
            </w: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35" w:lineRule="auto" w:before="36"/>
        <w:ind w:left="632" w:right="4820" w:firstLine="0"/>
        <w:jc w:val="left"/>
        <w:rPr>
          <w:rFonts w:ascii="宋体" w:hAnsi="宋体" w:cs="宋体" w:eastAsia="宋体" w:hint="default"/>
          <w:sz w:val="21"/>
          <w:szCs w:val="21"/>
        </w:rPr>
      </w:pPr>
      <w:bookmarkStart w:name="(3)重要联营企业的主要财务信息" w:id="342"/>
      <w:bookmarkEnd w:id="342"/>
      <w:r>
        <w:rPr/>
      </w:r>
      <w:bookmarkStart w:name="公司本期没有重要联营企业。" w:id="343"/>
      <w:bookmarkEnd w:id="343"/>
      <w:r>
        <w:rPr/>
      </w:r>
      <w:bookmarkStart w:name="(4)不重要的合营企业和联营企业的汇总财务信息" w:id="344"/>
      <w:bookmarkEnd w:id="344"/>
      <w:r>
        <w:rPr/>
      </w:r>
      <w:bookmarkStart w:name="(5)合营企业或联营企业向本公司转移资金的能力存在重大限制的说明" w:id="345"/>
      <w:bookmarkEnd w:id="345"/>
      <w:r>
        <w:rPr/>
      </w:r>
      <w:bookmarkStart w:name="(6)合营企业或联营企业发生的超额亏损" w:id="346"/>
      <w:bookmarkEnd w:id="346"/>
      <w:r>
        <w:rPr/>
      </w:r>
      <w:r>
        <w:rPr>
          <w:rFonts w:ascii="宋体" w:hAnsi="宋体" w:cs="宋体" w:eastAsia="宋体"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b/>
          <w:bCs/>
          <w:w w:val="100"/>
          <w:sz w:val="21"/>
          <w:szCs w:val="21"/>
        </w:rPr>
        <w:t> </w:t>
      </w:r>
      <w:r>
        <w:rPr>
          <w:rFonts w:ascii="宋体" w:hAnsi="宋体" w:cs="宋体" w:eastAsia="宋体" w:hint="default"/>
          <w:sz w:val="21"/>
          <w:szCs w:val="21"/>
        </w:rPr>
        <w:t>公司本期没有重要联营企业。</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b/>
          <w:bCs/>
          <w:w w:val="100"/>
          <w:sz w:val="21"/>
          <w:szCs w:val="21"/>
        </w:rPr>
        <w:t> </w:t>
      </w:r>
      <w:r>
        <w:rPr>
          <w:rFonts w:ascii="宋体" w:hAnsi="宋体" w:cs="宋体" w:eastAsia="宋体" w:hint="default"/>
          <w:sz w:val="21"/>
          <w:szCs w:val="21"/>
        </w:rPr>
        <w:t>公司本期没有不重要的合营企业和联营企业。</w:t>
      </w:r>
    </w:p>
    <w:p>
      <w:pPr>
        <w:spacing w:line="535" w:lineRule="auto" w:before="79"/>
        <w:ind w:left="632" w:right="171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公司本期没有合营企业或联营企业向本公司转移资金的能力存在重大限制的情况。</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公司的合营企业本期没有发生的超额亏损。</w:t>
      </w:r>
    </w:p>
    <w:p>
      <w:pPr>
        <w:spacing w:after="0" w:line="535" w:lineRule="auto"/>
        <w:jc w:val="left"/>
        <w:rPr>
          <w:rFonts w:ascii="宋体" w:hAnsi="宋体" w:cs="宋体" w:eastAsia="宋体" w:hint="default"/>
          <w:sz w:val="21"/>
          <w:szCs w:val="21"/>
        </w:rPr>
        <w:sectPr>
          <w:pgSz w:w="11910" w:h="16840"/>
          <w:pgMar w:header="877" w:footer="982" w:top="1100" w:bottom="1180" w:left="920" w:right="980"/>
        </w:sectPr>
      </w:pPr>
    </w:p>
    <w:p>
      <w:pPr>
        <w:spacing w:line="240" w:lineRule="auto" w:before="11"/>
        <w:rPr>
          <w:rFonts w:ascii="宋体" w:hAnsi="宋体" w:cs="宋体" w:eastAsia="宋体" w:hint="default"/>
          <w:sz w:val="20"/>
          <w:szCs w:val="20"/>
        </w:rPr>
      </w:pPr>
    </w:p>
    <w:p>
      <w:pPr>
        <w:spacing w:line="535" w:lineRule="auto" w:before="36"/>
        <w:ind w:left="572" w:right="3654"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bookmarkStart w:name="(7)与合营企业投资相关的未确认承诺" w:id="347"/>
      <w:bookmarkEnd w:id="347"/>
      <w:r>
        <w:rPr>
          <w:rFonts w:ascii="宋体" w:hAnsi="宋体" w:cs="宋体" w:eastAsia="宋体" w:hint="default"/>
          <w:b/>
          <w:bCs/>
          <w:spacing w:val="-104"/>
          <w:sz w:val="21"/>
          <w:szCs w:val="21"/>
        </w:rPr>
      </w:r>
      <w:r>
        <w:rPr>
          <w:rFonts w:ascii="宋体" w:hAnsi="宋体" w:cs="宋体" w:eastAsia="宋体" w:hint="default"/>
          <w:sz w:val="21"/>
          <w:szCs w:val="21"/>
        </w:rPr>
        <w:t>公司本期没有与合营企业投资相关的未确认承诺。</w:t>
      </w:r>
      <w:r>
        <w:rPr>
          <w:rFonts w:ascii="宋体" w:hAnsi="宋体" w:cs="宋体" w:eastAsia="宋体" w:hint="default"/>
          <w:w w:val="100"/>
          <w:sz w:val="21"/>
          <w:szCs w:val="21"/>
        </w:rPr>
        <w:t> </w:t>
      </w:r>
      <w:r>
        <w:rPr>
          <w:rFonts w:ascii="宋体" w:hAnsi="宋体" w:cs="宋体" w:eastAsia="宋体" w:hint="default"/>
          <w:b/>
          <w:bCs/>
          <w:sz w:val="21"/>
          <w:szCs w:val="21"/>
        </w:rPr>
        <w:t>(8)</w:t>
      </w:r>
      <w:bookmarkStart w:name="(8)与合营企业或联营企业投资相关的或有负债" w:id="348"/>
      <w:bookmarkEnd w:id="348"/>
      <w:r>
        <w:rPr>
          <w:rFonts w:ascii="宋体" w:hAnsi="宋体" w:cs="宋体" w:eastAsia="宋体" w:hint="default"/>
          <w:b/>
          <w:bCs/>
          <w:sz w:val="21"/>
          <w:szCs w:val="21"/>
        </w:rPr>
      </w:r>
      <w:r>
        <w:rPr>
          <w:rFonts w:ascii="宋体" w:hAnsi="宋体" w:cs="宋体" w:eastAsia="宋体" w:hint="default"/>
          <w:b/>
          <w:bCs/>
          <w:sz w:val="21"/>
          <w:szCs w:val="21"/>
        </w:rPr>
        <w:t>与合营企业或联营企业投资相关的或有负债</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公司本期没有与合营企业或联营企业投资相关的或有负债。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528" w:lineRule="auto" w:before="81"/>
        <w:ind w:left="572" w:right="3654" w:firstLine="0"/>
        <w:jc w:val="left"/>
        <w:rPr>
          <w:rFonts w:ascii="宋体" w:hAnsi="宋体" w:cs="宋体" w:eastAsia="宋体" w:hint="default"/>
          <w:sz w:val="24"/>
          <w:szCs w:val="24"/>
        </w:rPr>
      </w:pPr>
      <w:r>
        <w:rPr>
          <w:rFonts w:ascii="宋体" w:hAnsi="宋体" w:cs="宋体" w:eastAsia="宋体" w:hint="default"/>
          <w:sz w:val="21"/>
          <w:szCs w:val="21"/>
        </w:rPr>
        <w:t>公司本期没有重要的</w:t>
      </w:r>
      <w:bookmarkStart w:name="4、重要的共同经营" w:id="349"/>
      <w:bookmarkEnd w:id="349"/>
      <w:r>
        <w:rPr>
          <w:rFonts w:ascii="宋体" w:hAnsi="宋体" w:cs="宋体" w:eastAsia="宋体" w:hint="default"/>
          <w:sz w:val="21"/>
          <w:szCs w:val="21"/>
        </w:rPr>
        <w:t>共</w:t>
      </w:r>
      <w:r>
        <w:rPr>
          <w:rFonts w:ascii="宋体" w:hAnsi="宋体" w:cs="宋体" w:eastAsia="宋体" w:hint="default"/>
          <w:sz w:val="21"/>
          <w:szCs w:val="21"/>
        </w:rPr>
        <w:t>同经营。</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w:t>
      </w:r>
      <w:bookmarkStart w:name="5、在未纳入合并财务报表范围的结构化主体中的权益" w:id="350"/>
      <w:bookmarkEnd w:id="350"/>
      <w:r>
        <w:rPr>
          <w:rFonts w:ascii="宋体" w:hAnsi="宋体" w:cs="宋体" w:eastAsia="宋体" w:hint="default"/>
          <w:b/>
          <w:bCs/>
          <w:sz w:val="21"/>
          <w:szCs w:val="21"/>
        </w:rPr>
        <w:t>范围的结构化主体</w:t>
      </w:r>
      <w:r>
        <w:rPr>
          <w:rFonts w:ascii="宋体" w:hAnsi="宋体" w:cs="宋体" w:eastAsia="宋体" w:hint="default"/>
          <w:b/>
          <w:bCs/>
          <w:sz w:val="21"/>
          <w:szCs w:val="21"/>
        </w:rPr>
        <w:t>中的权益</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公司本期没有未纳入合并财务报表范围的结构化主体。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4"/>
          <w:szCs w:val="24"/>
        </w:rPr>
        <w:t>十、与金融工具相关的风险</w:t>
      </w:r>
      <w:r>
        <w:rPr>
          <w:rFonts w:ascii="宋体" w:hAnsi="宋体" w:cs="宋体" w:eastAsia="宋体" w:hint="default"/>
          <w:sz w:val="24"/>
          <w:szCs w:val="24"/>
        </w:rPr>
      </w:r>
    </w:p>
    <w:p>
      <w:pPr>
        <w:pStyle w:val="Heading4"/>
        <w:spacing w:line="340" w:lineRule="auto" w:before="76"/>
        <w:ind w:right="146" w:firstLine="420"/>
        <w:jc w:val="both"/>
      </w:pPr>
      <w:r>
        <w:rPr>
          <w:spacing w:val="-3"/>
        </w:rPr>
        <w:t>本公司在经营过程中面临各种金融风险：信用</w:t>
      </w:r>
      <w:bookmarkStart w:name="十、与金融工具相关的风险" w:id="351"/>
      <w:bookmarkEnd w:id="351"/>
      <w:r>
        <w:rPr>
          <w:spacing w:val="-3"/>
        </w:rPr>
        <w:t>风</w:t>
      </w:r>
      <w:r>
        <w:rPr>
          <w:spacing w:val="-3"/>
        </w:rPr>
        <w:t>险、市场风险和流动性风险。公司董事会全面负责风</w:t>
      </w:r>
      <w:r>
        <w:rPr>
          <w:spacing w:val="-3"/>
          <w:w w:val="100"/>
        </w:rPr>
        <w:t> </w:t>
      </w:r>
      <w:r>
        <w:rPr>
          <w:spacing w:val="-2"/>
        </w:rPr>
        <w:t>险管理目标和政策的确定，并对风险管理目标和政策承担最终责任，但是董事会已授权本公司经营管理层</w:t>
      </w:r>
      <w:r>
        <w:rPr>
          <w:spacing w:val="-44"/>
        </w:rPr>
        <w:t> </w:t>
      </w:r>
      <w:r>
        <w:rPr>
          <w:spacing w:val="-44"/>
        </w:rPr>
      </w:r>
      <w:r>
        <w:rPr>
          <w:spacing w:val="-2"/>
        </w:rPr>
        <w:t>设计和实施能确保风险管理目标和政策得以有效执行的程序。董事会通过职能部门递交的月度报告来审查</w:t>
      </w:r>
      <w:r>
        <w:rPr>
          <w:spacing w:val="-43"/>
        </w:rPr>
        <w:t> </w:t>
      </w:r>
      <w:r>
        <w:rPr>
          <w:spacing w:val="-43"/>
        </w:rPr>
      </w:r>
      <w:r>
        <w:rPr>
          <w:spacing w:val="-2"/>
        </w:rPr>
        <w:t>已执行程序的有效性以及风险管理目标和政策的合理性。本公司的内部审计师也会审计风险管理的政策和</w:t>
      </w:r>
      <w:r>
        <w:rPr>
          <w:spacing w:val="-50"/>
        </w:rPr>
        <w:t> </w:t>
      </w:r>
      <w:r>
        <w:rPr>
          <w:spacing w:val="-50"/>
        </w:rPr>
      </w:r>
      <w:r>
        <w:rPr/>
        <w:t>程序，并且将有关发现汇报给审计委员会。</w:t>
      </w:r>
    </w:p>
    <w:p>
      <w:pPr>
        <w:pStyle w:val="Heading4"/>
        <w:spacing w:line="340" w:lineRule="auto"/>
        <w:ind w:right="146" w:firstLine="420"/>
        <w:jc w:val="both"/>
      </w:pPr>
      <w:r>
        <w:rPr>
          <w:spacing w:val="-2"/>
        </w:rPr>
        <w:t>本公司风险管理的总体目标是在不过度影响公司竞争力和应变力的情况下，制定尽可能降低风险的风</w:t>
      </w:r>
      <w:r>
        <w:rPr>
          <w:w w:val="100"/>
        </w:rPr>
        <w:t> </w:t>
      </w:r>
      <w:r>
        <w:rPr/>
        <w:t>险管理政策。</w:t>
      </w:r>
    </w:p>
    <w:p>
      <w:pPr>
        <w:pStyle w:val="Heading4"/>
        <w:spacing w:line="340" w:lineRule="auto"/>
        <w:ind w:left="575" w:right="0" w:hanging="3"/>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w:t>
      </w:r>
    </w:p>
    <w:p>
      <w:pPr>
        <w:pStyle w:val="Heading4"/>
        <w:spacing w:line="340" w:lineRule="auto"/>
        <w:ind w:right="146"/>
        <w:jc w:val="both"/>
      </w:pPr>
      <w:r>
        <w:rPr>
          <w:spacing w:val="-2"/>
        </w:rPr>
        <w:t>致的客户信用风险。在签订新合同之前，本公司会对新客户的信用风险进行评估，包括外部信用评级和在</w:t>
      </w:r>
      <w:r>
        <w:rPr>
          <w:spacing w:val="-44"/>
        </w:rPr>
        <w:t> </w:t>
      </w:r>
      <w:r>
        <w:rPr>
          <w:spacing w:val="-44"/>
        </w:rPr>
      </w:r>
      <w:r>
        <w:rPr>
          <w:spacing w:val="-3"/>
        </w:rPr>
        <w:t>某些情况下的银行资信证明（当此信息可获取时）。公司对每一客户均设置了赊销限额，该限额为无需获</w:t>
      </w:r>
      <w:r>
        <w:rPr>
          <w:spacing w:val="-9"/>
        </w:rPr>
        <w:t> </w:t>
      </w:r>
      <w:r>
        <w:rPr>
          <w:spacing w:val="-9"/>
        </w:rPr>
      </w:r>
      <w:r>
        <w:rPr/>
        <w:t>得额外批准的最大额度。</w:t>
      </w:r>
    </w:p>
    <w:p>
      <w:pPr>
        <w:pStyle w:val="Heading4"/>
        <w:spacing w:line="340" w:lineRule="auto" w:before="28"/>
        <w:ind w:right="146" w:firstLine="420"/>
        <w:jc w:val="both"/>
      </w:pPr>
      <w:r>
        <w:rPr>
          <w:spacing w:val="2"/>
        </w:rPr>
        <w:t>公司通过对已有客户信用评级的季度监控以及应收账款账龄分析的月度审核来确保公司的整体信用</w:t>
      </w:r>
      <w:r>
        <w:rPr>
          <w:w w:val="100"/>
        </w:rPr>
        <w:t> </w:t>
      </w:r>
      <w:r>
        <w:rPr>
          <w:spacing w:val="-2"/>
        </w:rPr>
        <w:t>风险在可控的范围内。在监控客户的信用风险时，按照客户的信用特征对其分组。被评为</w:t>
      </w:r>
      <w:r>
        <w:rPr>
          <w:rFonts w:ascii="宋体" w:hAnsi="宋体" w:cs="宋体" w:eastAsia="宋体" w:hint="default"/>
          <w:spacing w:val="-2"/>
        </w:rPr>
        <w:t>“</w:t>
      </w:r>
      <w:r>
        <w:rPr>
          <w:spacing w:val="-2"/>
        </w:rPr>
        <w:t>高风险</w:t>
      </w:r>
      <w:r>
        <w:rPr>
          <w:rFonts w:ascii="宋体" w:hAnsi="宋体" w:cs="宋体" w:eastAsia="宋体" w:hint="default"/>
          <w:spacing w:val="-2"/>
        </w:rPr>
        <w:t>”</w:t>
      </w:r>
      <w:r>
        <w:rPr>
          <w:spacing w:val="-2"/>
        </w:rPr>
        <w:t>级别</w:t>
      </w:r>
      <w:r>
        <w:rPr>
          <w:spacing w:val="-44"/>
        </w:rPr>
        <w:t> </w:t>
      </w:r>
      <w:r>
        <w:rPr>
          <w:spacing w:val="-2"/>
        </w:rPr>
        <w:t>的客户会放在受限制客户名单里，并且只有在额外批准的前提下，公司才可在未来期间内对其赊销，否则</w:t>
      </w:r>
      <w:r>
        <w:rPr>
          <w:spacing w:val="-43"/>
        </w:rPr>
        <w:t> </w:t>
      </w:r>
      <w:r>
        <w:rPr>
          <w:spacing w:val="-43"/>
        </w:rPr>
      </w:r>
      <w:r>
        <w:rPr/>
        <w:t>必须要求其提前支付相应款项。</w:t>
      </w:r>
    </w:p>
    <w:p>
      <w:pPr>
        <w:pStyle w:val="Heading4"/>
        <w:spacing w:line="338" w:lineRule="auto" w:before="28"/>
        <w:ind w:left="572" w:right="0" w:hanging="1"/>
        <w:jc w:val="left"/>
      </w:pP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w:t>
      </w:r>
    </w:p>
    <w:p>
      <w:pPr>
        <w:pStyle w:val="Heading4"/>
        <w:spacing w:line="240" w:lineRule="auto" w:before="30"/>
        <w:ind w:right="0"/>
        <w:jc w:val="both"/>
      </w:pPr>
      <w:r>
        <w:rPr/>
        <w:t>包括汇率风险和其他价格风险。</w:t>
      </w:r>
    </w:p>
    <w:p>
      <w:pPr>
        <w:pStyle w:val="Heading4"/>
        <w:spacing w:line="340" w:lineRule="auto" w:before="114"/>
        <w:ind w:left="575" w:right="0"/>
        <w:jc w:val="left"/>
      </w:pPr>
      <w:r>
        <w:rPr>
          <w:spacing w:val="-3"/>
        </w:rPr>
        <w:t>①汇率风险</w:t>
      </w:r>
      <w:r>
        <w:rPr>
          <w:spacing w:val="-96"/>
        </w:rPr>
        <w:t> </w:t>
      </w:r>
      <w:r>
        <w:rPr>
          <w:spacing w:val="-96"/>
        </w:rPr>
      </w:r>
      <w:r>
        <w:rPr>
          <w:spacing w:val="-2"/>
        </w:rPr>
        <w:t>汇率风险，是指金融工具的公允价值或未来现金流量因外汇汇率变动而发生波动的风险。本公司尽可</w:t>
      </w:r>
    </w:p>
    <w:p>
      <w:pPr>
        <w:spacing w:after="0" w:line="3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338" w:lineRule="auto" w:before="36"/>
        <w:ind w:right="0"/>
        <w:jc w:val="left"/>
      </w:pPr>
      <w:bookmarkStart w:name="十一、公允价值的披露" w:id="352"/>
      <w:bookmarkEnd w:id="352"/>
      <w:r>
        <w:rPr/>
      </w:r>
      <w:bookmarkStart w:name="1、以公允价值计量的资产和负债的期末公允价值" w:id="353"/>
      <w:bookmarkEnd w:id="353"/>
      <w:r>
        <w:rPr/>
      </w:r>
      <w:r>
        <w:rPr>
          <w:spacing w:val="-2"/>
        </w:rPr>
        <w:t>能将外币收入与外币支出相匹配以降低汇率风险。由于外币金融资产和负债占总资产比重较小，</w:t>
      </w:r>
      <w:r>
        <w:rPr>
          <w:rFonts w:ascii="宋体" w:hAnsi="宋体" w:cs="宋体" w:eastAsia="宋体" w:hint="default"/>
          <w:spacing w:val="-2"/>
        </w:rPr>
        <w:t>2015</w:t>
      </w:r>
      <w:r>
        <w:rPr>
          <w:spacing w:val="-2"/>
        </w:rPr>
        <w:t>年度</w:t>
      </w:r>
      <w:r>
        <w:rPr>
          <w:spacing w:val="-40"/>
        </w:rPr>
        <w:t> </w:t>
      </w:r>
      <w:r>
        <w:rPr/>
        <w:t>及</w:t>
      </w:r>
      <w:r>
        <w:rPr>
          <w:rFonts w:ascii="宋体" w:hAnsi="宋体" w:cs="宋体" w:eastAsia="宋体" w:hint="default"/>
        </w:rPr>
        <w:t>2014</w:t>
      </w:r>
      <w:r>
        <w:rPr/>
        <w:t>年度，本公司未签署任何远期外汇合约或货币互换合约。</w:t>
      </w:r>
    </w:p>
    <w:p>
      <w:pPr>
        <w:pStyle w:val="Heading4"/>
        <w:spacing w:line="338" w:lineRule="auto" w:before="30"/>
        <w:ind w:left="153" w:right="0" w:firstLine="420"/>
        <w:jc w:val="left"/>
      </w:pPr>
      <w:r>
        <w:rPr>
          <w:spacing w:val="-2"/>
        </w:rPr>
        <w:t>本公司面临的汇率风险主要来源于以美元、港元、欧元等计价的金融资产和金融负债，外币金融资产</w:t>
      </w:r>
      <w:r>
        <w:rPr>
          <w:w w:val="100"/>
        </w:rPr>
        <w:t> </w:t>
      </w:r>
      <w:r>
        <w:rPr/>
        <w:t>和外币金融负债折算成人民币的金额列示如下：</w:t>
      </w:r>
    </w:p>
    <w:tbl>
      <w:tblPr>
        <w:tblW w:w="0" w:type="auto"/>
        <w:jc w:val="left"/>
        <w:tblInd w:w="145" w:type="dxa"/>
        <w:tblLayout w:type="fixed"/>
        <w:tblCellMar>
          <w:top w:w="0" w:type="dxa"/>
          <w:left w:w="0" w:type="dxa"/>
          <w:bottom w:w="0" w:type="dxa"/>
          <w:right w:w="0" w:type="dxa"/>
        </w:tblCellMar>
        <w:tblLook w:val="01E0"/>
      </w:tblPr>
      <w:tblGrid>
        <w:gridCol w:w="1843"/>
        <w:gridCol w:w="1277"/>
        <w:gridCol w:w="1274"/>
        <w:gridCol w:w="1277"/>
        <w:gridCol w:w="1274"/>
        <w:gridCol w:w="1277"/>
        <w:gridCol w:w="1344"/>
      </w:tblGrid>
      <w:tr>
        <w:trPr>
          <w:trHeight w:val="427" w:hRule="exact"/>
        </w:trPr>
        <w:tc>
          <w:tcPr>
            <w:tcW w:w="184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1843" w:type="dxa"/>
            <w:vMerge/>
            <w:tcBorders>
              <w:left w:val="single" w:sz="6" w:space="0" w:color="000000"/>
              <w:bottom w:val="single" w:sz="6" w:space="0" w:color="000000"/>
              <w:right w:val="single" w:sz="6" w:space="0" w:color="000000"/>
            </w:tcBorders>
            <w:shd w:val="clear" w:color="auto" w:fill="D4D4D4"/>
          </w:tcPr>
          <w:p>
            <w:pP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307"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34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79,033,301.89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19,207,351.65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98,240,653.54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15,204,417.78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16,689,736.46</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31,894,154.24</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79,164,219.95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51,636,237.28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130,800,457.23</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61,453,740.89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8,318,793.83</w:t>
            </w:r>
            <w:r>
              <w:rPr>
                <w:rFonts w:ascii="Times New Roman"/>
                <w:sz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69,772,534.72</w:t>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252,179.48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252,179.48</w:t>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260,812.33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1,205,466.94</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1,466,279.27</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728,761.90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519,224.40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1,247,986.30</w:t>
            </w:r>
            <w:r>
              <w:rPr>
                <w:rFonts w:ascii="Times New Roman"/>
                <w:sz w:val="18"/>
              </w:rPr>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2,211,602.98</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2,211,602.98</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17,843,004.00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17,843,004.00</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68,366,381.67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11,032,978.15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79,399,359.82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40,931,545.16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5,804,988.85</w:t>
            </w:r>
            <w:r>
              <w:rPr>
                <w:rFonts w:ascii="Times New Roman"/>
                <w:sz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46,736,534.01</w:t>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231,286.97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819,773.24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1,051,060.21</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759,864.12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759,864.12</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1,089,379.55</w:t>
            </w:r>
            <w:r>
              <w:rPr>
                <w:rFonts w:ascii="Times New Roman"/>
                <w:sz w:val="18"/>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1,089,379.55</w:t>
            </w:r>
            <w:r>
              <w:rPr>
                <w:rFonts w:ascii="Times New Roman"/>
                <w:sz w:val="18"/>
              </w:rPr>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1,390,748.86</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2,714,222.79</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4,104,971.65</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4,607,731.55</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762,279.57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5,370,011.12</w:t>
            </w:r>
            <w:r>
              <w:rPr>
                <w:rFonts w:ascii="Times New Roman"/>
                <w:sz w:val="18"/>
              </w:rPr>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228,698,931.15</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88,827,633.03</w:t>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317,526,564.18</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140,769,201.28</w:t>
            </w:r>
            <w:r>
              <w:rPr>
                <w:rFonts w:ascii="Times New Roman"/>
                <w:sz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33,944,266.78</w:t>
            </w:r>
          </w:p>
        </w:tc>
        <w:tc>
          <w:tcPr>
            <w:tcW w:w="134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174,713,468.06</w:t>
            </w:r>
            <w:r>
              <w:rPr>
                <w:rFonts w:ascii="Times New Roman"/>
                <w:sz w:val="18"/>
              </w:rPr>
            </w:r>
          </w:p>
        </w:tc>
      </w:tr>
    </w:tbl>
    <w:p>
      <w:pPr>
        <w:pStyle w:val="Heading4"/>
        <w:spacing w:line="340" w:lineRule="auto" w:before="30"/>
        <w:ind w:left="572" w:right="0" w:firstLine="21"/>
        <w:jc w:val="left"/>
      </w:pPr>
      <w:r>
        <w:rPr/>
        <w:t>②其他价格风险</w:t>
      </w:r>
      <w:r>
        <w:rPr>
          <w:w w:val="100"/>
        </w:rPr>
        <w:t> </w:t>
      </w:r>
      <w:r>
        <w:rPr>
          <w:spacing w:val="-2"/>
        </w:rPr>
        <w:t>本公司持有其他上市公司的权益投资，管理层认为这些投资活动面临的市场价格风险是可以接受的。</w:t>
      </w:r>
      <w:r>
        <w:rPr>
          <w:spacing w:val="-31"/>
        </w:rPr>
        <w:t> </w:t>
      </w:r>
      <w:r>
        <w:rPr>
          <w:spacing w:val="-31"/>
        </w:rPr>
      </w:r>
      <w:r>
        <w:rPr/>
        <w:t>本公司持有的上市公司权益投资列示如下：</w:t>
      </w:r>
    </w:p>
    <w:tbl>
      <w:tblPr>
        <w:tblW w:w="0" w:type="auto"/>
        <w:jc w:val="left"/>
        <w:tblInd w:w="145" w:type="dxa"/>
        <w:tblLayout w:type="fixed"/>
        <w:tblCellMar>
          <w:top w:w="0" w:type="dxa"/>
          <w:left w:w="0" w:type="dxa"/>
          <w:bottom w:w="0" w:type="dxa"/>
          <w:right w:w="0" w:type="dxa"/>
        </w:tblCellMar>
        <w:tblLook w:val="01E0"/>
      </w:tblPr>
      <w:tblGrid>
        <w:gridCol w:w="3686"/>
        <w:gridCol w:w="2834"/>
        <w:gridCol w:w="3118"/>
      </w:tblGrid>
      <w:tr>
        <w:trPr>
          <w:trHeight w:val="421" w:hRule="exact"/>
        </w:trPr>
        <w:tc>
          <w:tcPr>
            <w:tcW w:w="368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3"/>
              <w:ind w:left="34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355,323.65</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355,323.65</w:t>
            </w:r>
          </w:p>
        </w:tc>
        <w:tc>
          <w:tcPr>
            <w:tcW w:w="31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4,801,598.61</w:t>
            </w:r>
            <w:r>
              <w:rPr>
                <w:rFonts w:ascii="Times New Roman"/>
                <w:sz w:val="18"/>
              </w:rPr>
            </w:r>
          </w:p>
        </w:tc>
      </w:tr>
    </w:tbl>
    <w:p>
      <w:pPr>
        <w:pStyle w:val="Heading4"/>
        <w:spacing w:line="321" w:lineRule="auto" w:before="33"/>
        <w:ind w:left="572" w:right="0" w:hanging="1"/>
        <w:jc w:val="left"/>
      </w:pP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w w:val="100"/>
        </w:rPr>
        <w:t> </w:t>
      </w:r>
      <w:r>
        <w:rPr>
          <w:spacing w:val="-2"/>
        </w:rPr>
        <w:t>流动风险，是指企业在履行以交付现金或其他金融资产的方式结算的义务时发生资金短缺的风险。本</w:t>
      </w:r>
    </w:p>
    <w:p>
      <w:pPr>
        <w:pStyle w:val="Heading4"/>
        <w:spacing w:line="331" w:lineRule="auto" w:before="45"/>
        <w:ind w:right="146"/>
        <w:jc w:val="both"/>
      </w:pPr>
      <w:r>
        <w:rPr>
          <w:spacing w:val="-2"/>
        </w:rPr>
        <w:t>公司的政策是确保拥有充足的现金以偿还到期债务。流动性风险由本公司的财务部门集中控制。财务部门</w:t>
      </w:r>
      <w:r>
        <w:rPr>
          <w:spacing w:val="-43"/>
        </w:rPr>
        <w:t> </w:t>
      </w:r>
      <w:r>
        <w:rPr>
          <w:spacing w:val="-43"/>
        </w:rPr>
      </w:r>
      <w:r>
        <w:rPr>
          <w:spacing w:val="-2"/>
        </w:rPr>
        <w:t>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个月现金流量的滚动预测，确保公司在所有合理</w:t>
      </w:r>
      <w:r>
        <w:rPr>
          <w:spacing w:val="-44"/>
        </w:rPr>
        <w:t> </w:t>
      </w:r>
      <w:r>
        <w:rPr>
          <w:spacing w:val="-44"/>
        </w:rPr>
      </w:r>
      <w:r>
        <w:rPr/>
        <w:t>预测的情况下拥有充足的资金偿还债务。</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5"/>
        <w:gridCol w:w="1277"/>
        <w:gridCol w:w="1274"/>
        <w:gridCol w:w="1277"/>
        <w:gridCol w:w="1207"/>
      </w:tblGrid>
      <w:tr>
        <w:trPr>
          <w:trHeight w:val="403" w:hRule="exact"/>
        </w:trPr>
        <w:tc>
          <w:tcPr>
            <w:tcW w:w="45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03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4535" w:type="dxa"/>
            <w:vMerge/>
            <w:tcBorders>
              <w:left w:val="single" w:sz="4" w:space="0" w:color="000000"/>
              <w:bottom w:val="single" w:sz="4" w:space="0" w:color="000000"/>
              <w:right w:val="single" w:sz="4" w:space="0" w:color="000000"/>
            </w:tcBorders>
            <w:shd w:val="clear" w:color="auto" w:fill="D4D4D4"/>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4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513"/>
        <w:gridCol w:w="1288"/>
        <w:gridCol w:w="1274"/>
        <w:gridCol w:w="1277"/>
        <w:gridCol w:w="1207"/>
      </w:tblGrid>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（一）以公允价值计量且变动计入当期损益的金融资产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指定以公允价值计量且其变动计入当期损益的金融资产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355,323.65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355,323.65</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355,323.65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355,323.65</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持有并准备增值后转让的土地使用权</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28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355,323.65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355,323.65</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1"/>
                <w:sz w:val="18"/>
                <w:szCs w:val="18"/>
              </w:rPr>
              <w:t>（六）指定为以公允价值计量且变动计入当期损益的金融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负债</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2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非持续以公允价值计量的负债总额</w:t>
            </w:r>
          </w:p>
        </w:tc>
        <w:tc>
          <w:tcPr>
            <w:tcW w:w="1288" w:type="dxa"/>
            <w:tcBorders>
              <w:top w:val="single" w:sz="4" w:space="0" w:color="000000"/>
              <w:left w:val="single" w:sz="12" w:space="0" w:color="D4D4D4"/>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持续和非持续第一层次公允价值计量项目市价的确定依据" w:id="354"/>
      <w:bookmarkEnd w:id="35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7"/>
          <w:szCs w:val="27"/>
        </w:rPr>
      </w:pPr>
    </w:p>
    <w:p>
      <w:pPr>
        <w:pStyle w:val="Heading4"/>
        <w:spacing w:line="240" w:lineRule="auto" w:before="0"/>
        <w:ind w:left="572" w:right="0"/>
        <w:jc w:val="left"/>
        <w:rPr>
          <w:rFonts w:ascii="宋体" w:hAnsi="宋体" w:cs="宋体" w:eastAsia="宋体" w:hint="default"/>
        </w:rPr>
      </w:pPr>
      <w:r>
        <w:rPr>
          <w:spacing w:val="25"/>
        </w:rPr>
        <w:t>本公司的子公司</w:t>
      </w:r>
      <w:r>
        <w:rPr>
          <w:spacing w:val="-73"/>
        </w:rPr>
        <w:t> </w:t>
      </w:r>
      <w:r>
        <w:rPr>
          <w:rFonts w:ascii="宋体" w:hAnsi="宋体" w:cs="宋体" w:eastAsia="宋体" w:hint="default"/>
        </w:rPr>
        <w:t>GRG</w:t>
      </w:r>
      <w:r>
        <w:rPr>
          <w:rFonts w:ascii="宋体" w:hAnsi="宋体" w:cs="宋体" w:eastAsia="宋体" w:hint="default"/>
          <w:spacing w:val="35"/>
        </w:rPr>
        <w:t> </w:t>
      </w:r>
      <w:r>
        <w:rPr>
          <w:rFonts w:ascii="宋体" w:hAnsi="宋体" w:cs="宋体" w:eastAsia="宋体" w:hint="default"/>
        </w:rPr>
        <w:t>Banking</w:t>
      </w:r>
      <w:r>
        <w:rPr>
          <w:rFonts w:ascii="宋体" w:hAnsi="宋体" w:cs="宋体" w:eastAsia="宋体" w:hint="default"/>
          <w:spacing w:val="35"/>
        </w:rPr>
        <w:t> </w:t>
      </w:r>
      <w:r>
        <w:rPr>
          <w:rFonts w:ascii="宋体" w:hAnsi="宋体" w:cs="宋体" w:eastAsia="宋体" w:hint="default"/>
        </w:rPr>
        <w:t>Equipment</w:t>
      </w:r>
      <w:r>
        <w:rPr>
          <w:rFonts w:ascii="宋体" w:hAnsi="宋体" w:cs="宋体" w:eastAsia="宋体" w:hint="default"/>
          <w:spacing w:val="33"/>
        </w:rPr>
        <w:t> </w:t>
      </w:r>
      <w:r>
        <w:rPr>
          <w:rFonts w:ascii="宋体" w:hAnsi="宋体" w:cs="宋体" w:eastAsia="宋体" w:hint="default"/>
        </w:rPr>
        <w:t>(HK)</w:t>
      </w:r>
      <w:r>
        <w:rPr>
          <w:rFonts w:ascii="宋体" w:hAnsi="宋体" w:cs="宋体" w:eastAsia="宋体" w:hint="default"/>
          <w:spacing w:val="35"/>
        </w:rPr>
        <w:t> </w:t>
      </w:r>
      <w:r>
        <w:rPr>
          <w:rFonts w:ascii="宋体" w:hAnsi="宋体" w:cs="宋体" w:eastAsia="宋体" w:hint="default"/>
        </w:rPr>
        <w:t>Co.,Limited</w:t>
      </w:r>
      <w:r>
        <w:rPr>
          <w:rFonts w:ascii="宋体" w:hAnsi="宋体" w:cs="宋体" w:eastAsia="宋体" w:hint="default"/>
          <w:spacing w:val="32"/>
        </w:rPr>
        <w:t> </w:t>
      </w:r>
      <w:r>
        <w:rPr>
          <w:spacing w:val="24"/>
        </w:rPr>
        <w:t>在本期末持</w:t>
      </w:r>
      <w:r>
        <w:rPr>
          <w:spacing w:val="-77"/>
        </w:rPr>
        <w:t> </w:t>
      </w:r>
      <w:r>
        <w:rPr/>
        <w:t>有</w:t>
      </w:r>
      <w:r>
        <w:rPr>
          <w:spacing w:val="-73"/>
        </w:rPr>
        <w:t> </w:t>
      </w:r>
      <w:r>
        <w:rPr>
          <w:rFonts w:ascii="宋体" w:hAnsi="宋体" w:cs="宋体" w:eastAsia="宋体" w:hint="default"/>
        </w:rPr>
        <w:t>GRG</w:t>
      </w:r>
      <w:r>
        <w:rPr>
          <w:rFonts w:ascii="宋体" w:hAnsi="宋体" w:cs="宋体" w:eastAsia="宋体" w:hint="default"/>
          <w:spacing w:val="35"/>
        </w:rPr>
        <w:t> </w:t>
      </w:r>
      <w:r>
        <w:rPr>
          <w:rFonts w:ascii="宋体" w:hAnsi="宋体" w:cs="宋体" w:eastAsia="宋体" w:hint="default"/>
        </w:rPr>
        <w:t>INTERNATIONAL</w:t>
      </w:r>
    </w:p>
    <w:p>
      <w:pPr>
        <w:spacing w:after="0" w:line="240" w:lineRule="auto"/>
        <w:jc w:val="left"/>
        <w:rPr>
          <w:rFonts w:ascii="宋体" w:hAnsi="宋体" w:cs="宋体" w:eastAsia="宋体" w:hint="default"/>
        </w:rPr>
        <w:sectPr>
          <w:pgSz w:w="11910" w:h="16840"/>
          <w:pgMar w:header="877" w:footer="982" w:top="1100" w:bottom="1180" w:left="980" w:right="980"/>
        </w:sectPr>
      </w:pPr>
    </w:p>
    <w:p>
      <w:pPr>
        <w:spacing w:line="240" w:lineRule="auto" w:before="10"/>
        <w:rPr>
          <w:rFonts w:ascii="宋体" w:hAnsi="宋体" w:cs="宋体" w:eastAsia="宋体" w:hint="default"/>
          <w:sz w:val="23"/>
          <w:szCs w:val="23"/>
        </w:rPr>
      </w:pPr>
    </w:p>
    <w:p>
      <w:pPr>
        <w:pStyle w:val="Heading4"/>
        <w:spacing w:line="240" w:lineRule="auto" w:before="36"/>
        <w:ind w:right="0"/>
        <w:jc w:val="left"/>
      </w:pPr>
      <w:bookmarkStart w:name="2、本企业的子公司情况" w:id="355"/>
      <w:bookmarkEnd w:id="355"/>
      <w:r>
        <w:rPr/>
      </w:r>
      <w:bookmarkStart w:name="3、本企业合营和联营企业情况" w:id="356"/>
      <w:bookmarkEnd w:id="356"/>
      <w:r>
        <w:rPr/>
      </w:r>
      <w:bookmarkStart w:name="4、其他关联方情况" w:id="357"/>
      <w:bookmarkEnd w:id="357"/>
      <w:r>
        <w:rPr/>
      </w:r>
      <w:r>
        <w:rPr>
          <w:rFonts w:ascii="宋体" w:hAnsi="宋体" w:cs="宋体" w:eastAsia="宋体" w:hint="default"/>
        </w:rPr>
        <w:t>LTD(GRGI) </w:t>
      </w:r>
      <w:r>
        <w:rPr/>
        <w:t>股份</w:t>
      </w:r>
      <w:r>
        <w:rPr>
          <w:rFonts w:ascii="宋体" w:hAnsi="宋体" w:cs="宋体" w:eastAsia="宋体" w:hint="default"/>
        </w:rPr>
        <w:t>10,097,282.00</w:t>
      </w:r>
      <w:r>
        <w:rPr/>
        <w:t>股，购买成本为</w:t>
      </w:r>
      <w:r>
        <w:rPr>
          <w:rFonts w:ascii="宋体" w:hAnsi="宋体" w:cs="宋体" w:eastAsia="宋体" w:hint="default"/>
        </w:rPr>
        <w:t>1,340, 500.40</w:t>
      </w:r>
      <w:r>
        <w:rPr>
          <w:rFonts w:ascii="宋体" w:hAnsi="宋体" w:cs="宋体" w:eastAsia="宋体" w:hint="default"/>
          <w:spacing w:val="-38"/>
        </w:rPr>
        <w:t> </w:t>
      </w:r>
      <w:r>
        <w:rPr>
          <w:rFonts w:ascii="宋体" w:hAnsi="宋体" w:cs="宋体" w:eastAsia="宋体" w:hint="default"/>
        </w:rPr>
        <w:t>AUD</w:t>
      </w:r>
      <w:r>
        <w:rPr/>
        <w:t>，折合为人民币</w:t>
      </w:r>
      <w:r>
        <w:rPr>
          <w:rFonts w:ascii="宋体" w:hAnsi="宋体" w:cs="宋体" w:eastAsia="宋体" w:hint="default"/>
        </w:rPr>
        <w:t>8,615,098.78</w:t>
      </w:r>
      <w:r>
        <w:rPr/>
        <w:t>元。截止</w:t>
      </w:r>
    </w:p>
    <w:p>
      <w:pPr>
        <w:pStyle w:val="Heading4"/>
        <w:spacing w:line="340" w:lineRule="auto" w:before="114"/>
        <w:ind w:right="0"/>
        <w:jc w:val="left"/>
      </w:pP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日，该公司股票已退市，经审计，其所有者权益净额为</w:t>
      </w:r>
      <w:r>
        <w:rPr>
          <w:rFonts w:ascii="宋体" w:hAnsi="宋体" w:cs="宋体" w:eastAsia="宋体" w:hint="default"/>
          <w:spacing w:val="-2"/>
        </w:rPr>
        <w:t>1,045,740AUD,</w:t>
      </w:r>
      <w:r>
        <w:rPr>
          <w:rFonts w:ascii="宋体" w:hAnsi="宋体" w:cs="宋体" w:eastAsia="宋体" w:hint="default"/>
          <w:spacing w:val="54"/>
        </w:rPr>
        <w:t> </w:t>
      </w:r>
      <w:r>
        <w:rPr>
          <w:spacing w:val="-2"/>
        </w:rPr>
        <w:t>本公司的子公司占该</w:t>
      </w:r>
      <w:r>
        <w:rPr>
          <w:spacing w:val="-91"/>
        </w:rPr>
        <w:t> </w:t>
      </w:r>
      <w:r>
        <w:rPr>
          <w:spacing w:val="-91"/>
        </w:rPr>
      </w:r>
      <w:r>
        <w:rPr/>
        <w:t>公司权益份额为</w:t>
      </w:r>
      <w:r>
        <w:rPr>
          <w:rFonts w:ascii="宋体" w:hAnsi="宋体" w:cs="宋体" w:eastAsia="宋体" w:hint="default"/>
        </w:rPr>
        <w:t>7.17%</w:t>
      </w:r>
      <w:r>
        <w:rPr/>
        <w:t>，按</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日汇率折算人民币期末公允价值为</w:t>
      </w:r>
      <w:r>
        <w:rPr>
          <w:rFonts w:ascii="宋体" w:hAnsi="宋体" w:cs="宋体" w:eastAsia="宋体" w:hint="default"/>
        </w:rPr>
        <w:t>355,323.65</w:t>
      </w:r>
      <w:r>
        <w:rPr/>
        <w:t>元。</w:t>
      </w:r>
    </w:p>
    <w:p>
      <w:pPr>
        <w:spacing w:line="240" w:lineRule="auto" w:before="12"/>
        <w:rPr>
          <w:rFonts w:ascii="宋体" w:hAnsi="宋体" w:cs="宋体" w:eastAsia="宋体" w:hint="default"/>
          <w:sz w:val="24"/>
          <w:szCs w:val="24"/>
        </w:rPr>
      </w:pPr>
    </w:p>
    <w:p>
      <w:pPr>
        <w:pStyle w:val="Heading3"/>
        <w:spacing w:line="240" w:lineRule="auto" w:before="0"/>
        <w:ind w:right="0"/>
        <w:jc w:val="left"/>
        <w:rPr>
          <w:b w:val="0"/>
          <w:bCs w:val="0"/>
        </w:rPr>
      </w:pPr>
      <w:r>
        <w:rPr>
          <w:rFonts w:ascii="宋体" w:hAnsi="宋体" w:cs="宋体" w:eastAsia="宋体" w:hint="default"/>
        </w:rPr>
        <w:t>3</w:t>
      </w:r>
      <w:bookmarkStart w:name="3、公司本期没有持续和非持续第二层次公允价值计量项目。" w:id="358"/>
      <w:bookmarkEnd w:id="358"/>
      <w:r>
        <w:rPr>
          <w:rFonts w:ascii="宋体" w:hAnsi="宋体" w:cs="宋体" w:eastAsia="宋体" w:hint="default"/>
        </w:rPr>
      </w:r>
      <w:r>
        <w:rPr/>
        <w:t>、公司本期没有持续和非持续第二层次公允价值计量项目。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r>
        <w:rPr>
          <w:rFonts w:ascii="宋体" w:hAnsi="宋体" w:cs="宋体" w:eastAsia="宋体" w:hint="default"/>
        </w:rPr>
        <w:t>4</w:t>
      </w:r>
      <w:bookmarkStart w:name="4、公司本期没有持续和非持续第三层次公允价值计量项目。" w:id="359"/>
      <w:bookmarkEnd w:id="359"/>
      <w:r>
        <w:rPr>
          <w:rFonts w:ascii="宋体" w:hAnsi="宋体" w:cs="宋体" w:eastAsia="宋体" w:hint="default"/>
        </w:rPr>
      </w:r>
      <w:r>
        <w:rPr/>
        <w:t>、公司本期没有持续和非持续第三层次公允价值计量项目。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right="0"/>
        <w:jc w:val="left"/>
        <w:rPr>
          <w:b w:val="0"/>
          <w:bCs w:val="0"/>
        </w:rPr>
      </w:pPr>
      <w:r>
        <w:rPr>
          <w:rFonts w:ascii="宋体" w:hAnsi="宋体" w:cs="宋体" w:eastAsia="宋体" w:hint="default"/>
        </w:rPr>
        <w:t>5</w:t>
      </w:r>
      <w:r>
        <w:rPr/>
        <w:t>、公司本期没有持续的第</w:t>
      </w:r>
      <w:bookmarkStart w:name="5、公司本期没有持续的第三层次公允价值计量项目。" w:id="360"/>
      <w:bookmarkEnd w:id="360"/>
      <w:r>
        <w:rPr/>
        <w:t>三层次公允价值计</w:t>
      </w:r>
      <w:r>
        <w:rPr/>
        <w:t>量项目。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r>
        <w:rPr>
          <w:rFonts w:ascii="宋体" w:hAnsi="宋体" w:cs="宋体" w:eastAsia="宋体" w:hint="default"/>
        </w:rPr>
        <w:t>6</w:t>
      </w:r>
      <w:r>
        <w:rPr/>
        <w:t>、公司持续的公允价值计</w:t>
      </w:r>
      <w:bookmarkStart w:name="6、公司持续的公允价值计量项目，本期没有本期内发生各层级之间转换的情况。" w:id="361"/>
      <w:bookmarkEnd w:id="361"/>
      <w:r>
        <w:rPr/>
        <w:t>量项目，本期没有</w:t>
      </w:r>
      <w:r>
        <w:rPr/>
        <w:t>本期内发生各层级之间转换的情况。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right="0"/>
        <w:jc w:val="left"/>
        <w:rPr>
          <w:b w:val="0"/>
          <w:bCs w:val="0"/>
        </w:rPr>
      </w:pPr>
      <w:r>
        <w:rPr>
          <w:rFonts w:ascii="宋体" w:hAnsi="宋体" w:cs="宋体" w:eastAsia="宋体" w:hint="default"/>
        </w:rPr>
        <w:t>7</w:t>
      </w:r>
      <w:r>
        <w:rPr/>
        <w:t>、公司本期内没有发生估值技术变更。</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4"/>
        <w:ind w:right="0"/>
        <w:jc w:val="left"/>
        <w:rPr>
          <w:b w:val="0"/>
          <w:bCs w:val="0"/>
        </w:rPr>
      </w:pPr>
      <w:r>
        <w:rPr>
          <w:rFonts w:ascii="宋体" w:hAnsi="宋体" w:cs="宋体" w:eastAsia="宋体" w:hint="default"/>
        </w:rPr>
        <w:t>8</w:t>
      </w:r>
      <w:r>
        <w:rPr/>
        <w:t>、公司本期没有不以公允</w:t>
      </w:r>
      <w:bookmarkStart w:name="7、公司本期内没有发生估值技术变更。" w:id="362"/>
      <w:bookmarkEnd w:id="362"/>
      <w:r>
        <w:rPr/>
        <w:t>价值计量的金融资</w:t>
      </w:r>
      <w:r>
        <w:rPr/>
        <w:t>产和金</w:t>
      </w:r>
      <w:bookmarkStart w:name="8、公司本期没有不以公允价值计量的金融资产和金融负债的公允价值情况。" w:id="363"/>
      <w:bookmarkEnd w:id="363"/>
      <w:r>
        <w:rPr/>
        <w:t>融负债的公允价值</w:t>
      </w:r>
      <w:r>
        <w:rPr/>
        <w:t>情况。</w:t>
      </w:r>
      <w:r>
        <w:rPr>
          <w:b w:val="0"/>
          <w:bCs w:val="0"/>
        </w:rPr>
      </w:r>
    </w:p>
    <w:p>
      <w:pPr>
        <w:spacing w:line="240" w:lineRule="auto" w:before="10"/>
        <w:rPr>
          <w:rFonts w:ascii="宋体" w:hAnsi="宋体" w:cs="宋体" w:eastAsia="宋体" w:hint="default"/>
          <w:b/>
          <w:bCs/>
          <w:sz w:val="26"/>
          <w:szCs w:val="26"/>
        </w:rPr>
      </w:pPr>
    </w:p>
    <w:p>
      <w:pPr>
        <w:pStyle w:val="Heading2"/>
        <w:spacing w:line="240" w:lineRule="auto"/>
        <w:ind w:right="0"/>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2410"/>
        <w:gridCol w:w="1277"/>
        <w:gridCol w:w="1416"/>
        <w:gridCol w:w="1418"/>
        <w:gridCol w:w="1344"/>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bookmarkStart w:name="十二、关联方及关联交易" w:id="364"/>
            <w:bookmarkEnd w:id="364"/>
            <w:r>
              <w:rPr/>
            </w: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54" w:right="72" w:hanging="180"/>
              <w:jc w:val="left"/>
              <w:rPr>
                <w:rFonts w:ascii="宋体" w:hAnsi="宋体" w:cs="宋体" w:eastAsia="宋体" w:hint="default"/>
                <w:sz w:val="18"/>
                <w:szCs w:val="18"/>
              </w:rPr>
            </w:pPr>
            <w:bookmarkStart w:name="1、本企业的母公司情况" w:id="365"/>
            <w:bookmarkEnd w:id="365"/>
            <w:r>
              <w:rPr/>
            </w:r>
            <w:r>
              <w:rPr>
                <w:rFonts w:ascii="宋体" w:hAnsi="宋体" w:cs="宋体" w:eastAsia="宋体" w:hint="default"/>
                <w:sz w:val="18"/>
                <w:szCs w:val="18"/>
              </w:rPr>
              <w:t>母公司对本企业 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广州无线电集团有限 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广州市天河区黄埔大道西平云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2" w:right="0"/>
              <w:jc w:val="left"/>
              <w:rPr>
                <w:rFonts w:ascii="Times New Roman" w:hAnsi="Times New Roman" w:cs="Times New Roman" w:eastAsia="Times New Roman" w:hint="default"/>
                <w:sz w:val="18"/>
                <w:szCs w:val="18"/>
              </w:rPr>
            </w:pPr>
            <w:r>
              <w:rPr>
                <w:rFonts w:ascii="Times New Roman"/>
                <w:sz w:val="18"/>
              </w:rPr>
              <w:t>47.70%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47.70%</w:t>
            </w:r>
          </w:p>
        </w:tc>
      </w:tr>
    </w:tbl>
    <w:p>
      <w:pPr>
        <w:pStyle w:val="Heading4"/>
        <w:spacing w:line="240" w:lineRule="auto" w:before="64"/>
        <w:ind w:left="572" w:right="0"/>
        <w:jc w:val="left"/>
      </w:pPr>
      <w:r>
        <w:rPr/>
        <w:t>本企业最终控制方是广州市国资委。</w:t>
      </w:r>
    </w:p>
    <w:p>
      <w:pPr>
        <w:spacing w:line="240" w:lineRule="auto" w:before="12"/>
        <w:rPr>
          <w:rFonts w:ascii="宋体" w:hAnsi="宋体" w:cs="宋体" w:eastAsia="宋体" w:hint="default"/>
          <w:sz w:val="28"/>
          <w:szCs w:val="28"/>
        </w:rPr>
      </w:pPr>
    </w:p>
    <w:p>
      <w:pPr>
        <w:spacing w:line="520" w:lineRule="auto" w:before="0"/>
        <w:ind w:left="572" w:right="36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本企业子公司的情况详见附注</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九、在其他主体中的权益</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w:t>
      </w:r>
      <w:r>
        <w:rPr>
          <w:rFonts w:ascii="宋体" w:hAnsi="宋体" w:cs="宋体" w:eastAsia="宋体" w:hint="default"/>
          <w:spacing w:val="-83"/>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Heading4"/>
        <w:spacing w:line="374" w:lineRule="auto" w:before="90"/>
        <w:ind w:left="572" w:right="0"/>
        <w:jc w:val="left"/>
      </w:pPr>
      <w:r>
        <w:rPr>
          <w:spacing w:val="-5"/>
          <w:w w:val="100"/>
        </w:rPr>
        <w:t>本企业重要的合营或联营企业详见附注</w:t>
      </w:r>
      <w:r>
        <w:rPr>
          <w:rFonts w:ascii="宋体" w:hAnsi="宋体" w:cs="宋体" w:eastAsia="宋体" w:hint="default"/>
          <w:spacing w:val="-5"/>
          <w:w w:val="100"/>
        </w:rPr>
        <w:t>“</w:t>
      </w:r>
      <w:r>
        <w:rPr>
          <w:spacing w:val="-5"/>
          <w:w w:val="100"/>
        </w:rPr>
        <w:t>九、在其他主体中的权益</w:t>
      </w:r>
      <w:r>
        <w:rPr>
          <w:rFonts w:ascii="宋体" w:hAnsi="宋体" w:cs="宋体" w:eastAsia="宋体" w:hint="default"/>
          <w:spacing w:val="-5"/>
          <w:w w:val="100"/>
        </w:rPr>
        <w:t>”</w:t>
      </w:r>
      <w:r>
        <w:rPr>
          <w:spacing w:val="-5"/>
          <w:w w:val="100"/>
        </w:rPr>
        <w:t>。</w:t>
      </w:r>
      <w:r>
        <w:rPr>
          <w:spacing w:val="-96"/>
          <w:w w:val="100"/>
        </w:rPr>
        <w:t> </w:t>
      </w:r>
      <w:r>
        <w:rPr>
          <w:spacing w:val="-2"/>
        </w:rPr>
        <w:t>本期或前期没有与本公司发生关联方交易形成余额的其他合营或联营企业。</w:t>
      </w:r>
    </w:p>
    <w:p>
      <w:pPr>
        <w:spacing w:line="240" w:lineRule="auto" w:before="12"/>
        <w:rPr>
          <w:rFonts w:ascii="宋体" w:hAnsi="宋体" w:cs="宋体" w:eastAsia="宋体" w:hint="default"/>
          <w:sz w:val="19"/>
          <w:szCs w:val="19"/>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同一最终母公司</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bookmarkStart w:name="(4)本公司本期没有关联担保情况。" w:id="366"/>
      <w:bookmarkEnd w:id="366"/>
      <w:r>
        <w:rPr>
          <w:b w:val="0"/>
          <w:bCs w:val="0"/>
        </w:rPr>
      </w:r>
      <w:bookmarkStart w:name="(5)本公司本期没有关联方资金拆借情况。" w:id="367"/>
      <w:bookmarkEnd w:id="367"/>
      <w:r>
        <w:rPr>
          <w:b w:val="0"/>
          <w:bCs w:val="0"/>
        </w:rPr>
      </w:r>
      <w:bookmarkStart w:name="(6)本公司本期没有关联方资产转让、债务重组情况。" w:id="368"/>
      <w:bookmarkEnd w:id="368"/>
      <w:r>
        <w:rPr>
          <w:b w:val="0"/>
          <w:bCs w:val="0"/>
        </w:rPr>
      </w:r>
      <w:r>
        <w:rPr>
          <w:rFonts w:ascii="Times New Roman" w:hAnsi="Times New Roman" w:cs="Times New Roman" w:eastAsia="Times New Roman" w:hint="default"/>
        </w:rPr>
        <w:t>5</w:t>
      </w:r>
      <w:bookmarkStart w:name="5、关联交易情况" w:id="369"/>
      <w:bookmarkEnd w:id="369"/>
      <w:r>
        <w:rPr>
          <w:rFonts w:ascii="Times New Roman" w:hAnsi="Times New Roman" w:cs="Times New Roman" w:eastAsia="Times New Roman" w:hint="default"/>
        </w:rPr>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bookmarkStart w:name="(1)购销商品、提供和接受劳务的关联交易" w:id="370"/>
      <w:bookmarkEnd w:id="370"/>
      <w:r>
        <w:rPr>
          <w:rFonts w:ascii="宋体" w:hAnsi="宋体" w:cs="宋体" w:eastAsia="宋体" w:hint="default"/>
        </w:rPr>
      </w:r>
      <w:r>
        <w:rPr/>
        <w:t>购销商品、提供和接受劳务的关联交易</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Heading4"/>
        <w:spacing w:line="240" w:lineRule="auto" w:before="36"/>
        <w:ind w:left="572" w:right="0"/>
        <w:jc w:val="left"/>
      </w:pP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pStyle w:val="BodyText"/>
        <w:spacing w:line="240" w:lineRule="auto"/>
        <w:ind w:left="572" w:right="0"/>
        <w:jc w:val="left"/>
      </w:pPr>
      <w:r>
        <w:rPr/>
        <w:t>单位：</w:t>
      </w:r>
      <w:r>
        <w:rPr>
          <w:spacing w:val="1"/>
        </w:rPr>
        <w:t> </w:t>
      </w:r>
      <w:r>
        <w:rPr/>
        <w:t>元</w:t>
      </w:r>
    </w:p>
    <w:p>
      <w:pPr>
        <w:spacing w:after="0" w:line="240" w:lineRule="auto"/>
        <w:jc w:val="left"/>
        <w:sectPr>
          <w:type w:val="continuous"/>
          <w:pgSz w:w="11910" w:h="16840"/>
          <w:pgMar w:top="1060" w:bottom="280" w:left="980" w:right="980"/>
          <w:cols w:num="2" w:equalWidth="0">
            <w:col w:w="2990" w:space="5417"/>
            <w:col w:w="154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4"/>
        <w:gridCol w:w="1277"/>
        <w:gridCol w:w="1418"/>
        <w:gridCol w:w="1702"/>
        <w:gridCol w:w="1133"/>
        <w:gridCol w:w="1205"/>
      </w:tblGrid>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44,382,736.02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39,178,843.93</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广州通导信息技术服务有限公司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22,641.50</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11,320.75</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广州广电计量检测股份有限公司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93,076.80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25,388.68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280" w:left="980" w:right="980"/>
        </w:sectPr>
      </w:pPr>
    </w:p>
    <w:p>
      <w:pPr>
        <w:pStyle w:val="Heading4"/>
        <w:spacing w:line="240" w:lineRule="auto" w:before="28"/>
        <w:ind w:left="572" w:right="0"/>
        <w:jc w:val="left"/>
      </w:pPr>
      <w:r>
        <w:rPr>
          <w:spacing w:val="-2"/>
        </w:rPr>
        <w:t>出售商品</w:t>
      </w:r>
      <w:r>
        <w:rPr>
          <w:rFonts w:ascii="宋体" w:hAnsi="宋体" w:cs="宋体" w:eastAsia="宋体" w:hint="default"/>
          <w:spacing w:val="-2"/>
        </w:rPr>
        <w:t>/</w:t>
      </w:r>
      <w:r>
        <w:rPr>
          <w:spacing w:val="-2"/>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left="572" w:right="0"/>
        <w:jc w:val="left"/>
      </w:pPr>
      <w:r>
        <w:rPr/>
        <w:t>单位：</w:t>
      </w:r>
      <w:r>
        <w:rPr>
          <w:spacing w:val="1"/>
        </w:rPr>
        <w:t> </w:t>
      </w:r>
      <w:r>
        <w:rPr/>
        <w:t>元</w:t>
      </w:r>
    </w:p>
    <w:p>
      <w:pPr>
        <w:spacing w:after="0" w:line="240" w:lineRule="auto"/>
        <w:jc w:val="left"/>
        <w:sectPr>
          <w:type w:val="continuous"/>
          <w:pgSz w:w="11910" w:h="16840"/>
          <w:pgMar w:top="1060" w:bottom="280" w:left="980" w:right="980"/>
          <w:cols w:num="2" w:equalWidth="0">
            <w:col w:w="2990" w:space="5417"/>
            <w:col w:w="154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0"/>
        <w:gridCol w:w="1536"/>
        <w:gridCol w:w="2258"/>
        <w:gridCol w:w="2654"/>
      </w:tblGrid>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13,830.19</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7,660.37</w:t>
            </w:r>
          </w:p>
        </w:tc>
      </w:tr>
    </w:tbl>
    <w:p>
      <w:pPr>
        <w:spacing w:line="240" w:lineRule="auto" w:before="3"/>
        <w:rPr>
          <w:rFonts w:ascii="宋体" w:hAnsi="宋体" w:cs="宋体" w:eastAsia="宋体" w:hint="default"/>
          <w:sz w:val="19"/>
          <w:szCs w:val="19"/>
        </w:rPr>
      </w:pPr>
    </w:p>
    <w:p>
      <w:pPr>
        <w:spacing w:line="506" w:lineRule="auto" w:before="36"/>
        <w:ind w:left="572" w:right="36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本公司本期没有关联受托管理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承包及委托管理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出包情况。</w:t>
      </w:r>
      <w:r>
        <w:rPr>
          <w:rFonts w:ascii="宋体" w:hAnsi="宋体" w:cs="宋体" w:eastAsia="宋体" w:hint="default"/>
          <w:spacing w:val="-3"/>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type w:val="continuous"/>
          <w:pgSz w:w="11910" w:h="16840"/>
          <w:pgMar w:top="1060" w:bottom="280" w:left="980" w:right="980"/>
        </w:sectPr>
      </w:pPr>
    </w:p>
    <w:p>
      <w:pPr>
        <w:pStyle w:val="Heading4"/>
        <w:spacing w:line="240" w:lineRule="auto" w:before="104"/>
        <w:ind w:left="572" w:right="-7"/>
        <w:jc w:val="left"/>
      </w:pPr>
      <w:r>
        <w:rPr>
          <w:spacing w:val="-1"/>
        </w:rPr>
        <w:t>本公司作为承租方：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8"/>
          <w:szCs w:val="18"/>
        </w:rPr>
      </w:pPr>
    </w:p>
    <w:p>
      <w:pPr>
        <w:pStyle w:val="BodyText"/>
        <w:spacing w:line="240" w:lineRule="auto"/>
        <w:ind w:left="572" w:right="0"/>
        <w:jc w:val="left"/>
      </w:pPr>
      <w:bookmarkStart w:name="(2)关联受托管理/承包及委托管理/出包情况" w:id="371"/>
      <w:bookmarkEnd w:id="371"/>
      <w:r>
        <w:rPr/>
      </w:r>
      <w:bookmarkStart w:name="(3)关联租赁情况" w:id="372"/>
      <w:bookmarkEnd w:id="372"/>
      <w:r>
        <w:rPr/>
      </w:r>
      <w:r>
        <w:rPr/>
        <w:t>单位：</w:t>
      </w:r>
      <w:r>
        <w:rPr>
          <w:spacing w:val="1"/>
        </w:rPr>
        <w:t> </w:t>
      </w:r>
      <w:r>
        <w:rPr/>
        <w:t>元</w:t>
      </w:r>
    </w:p>
    <w:p>
      <w:pPr>
        <w:spacing w:after="0" w:line="240" w:lineRule="auto"/>
        <w:jc w:val="left"/>
        <w:sectPr>
          <w:type w:val="continuous"/>
          <w:pgSz w:w="11910" w:h="16840"/>
          <w:pgMar w:top="1060" w:bottom="280" w:left="980" w:right="980"/>
          <w:cols w:num="2" w:equalWidth="0">
            <w:col w:w="2467" w:space="5940"/>
            <w:col w:w="154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76"/>
        <w:gridCol w:w="1807"/>
        <w:gridCol w:w="2393"/>
        <w:gridCol w:w="2393"/>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8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办公大楼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4,583,108.58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3,402,471.04</w:t>
            </w:r>
            <w:r>
              <w:rPr>
                <w:rFonts w:ascii="Times New Roman"/>
                <w:sz w:val="18"/>
              </w:rPr>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员工宿舍楼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1,089,874.50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1,029,600.00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537" w:lineRule="auto"/>
        <w:ind w:right="3654"/>
        <w:jc w:val="left"/>
        <w:rPr>
          <w:b w:val="0"/>
          <w:bCs w:val="0"/>
        </w:rPr>
      </w:pPr>
      <w:r>
        <w:rPr>
          <w:rFonts w:ascii="宋体" w:hAnsi="宋体" w:cs="宋体" w:eastAsia="宋体" w:hint="default"/>
        </w:rPr>
        <w:t>(4)</w:t>
      </w:r>
      <w:r>
        <w:rPr/>
        <w:t>本公司本期没有关联担保情况。</w:t>
      </w:r>
      <w:r>
        <w:rPr>
          <w:w w:val="100"/>
        </w:rPr>
        <w:t> </w:t>
      </w:r>
      <w:r>
        <w:rPr>
          <w:rFonts w:ascii="宋体" w:hAnsi="宋体" w:cs="宋体" w:eastAsia="宋体" w:hint="default"/>
        </w:rPr>
        <w:t>(5)</w:t>
      </w:r>
      <w:r>
        <w:rPr/>
        <w:t>本公司本期没有关联方资金拆借情况。</w:t>
      </w:r>
      <w:r>
        <w:rPr>
          <w:spacing w:val="-104"/>
        </w:rPr>
        <w:t> </w:t>
      </w:r>
      <w:r>
        <w:rPr>
          <w:spacing w:val="-104"/>
        </w:rPr>
      </w:r>
      <w:r>
        <w:rPr>
          <w:rFonts w:ascii="宋体" w:hAnsi="宋体" w:cs="宋体" w:eastAsia="宋体" w:hint="default"/>
          <w:spacing w:val="-1"/>
        </w:rPr>
        <w:t>(6)</w:t>
      </w:r>
      <w:r>
        <w:rPr>
          <w:spacing w:val="-1"/>
        </w:rPr>
        <w:t>本公司本期没有关联方资产转让、债务重组情况。</w:t>
      </w:r>
      <w:r>
        <w:rPr>
          <w:b w:val="0"/>
          <w:bCs w:val="0"/>
          <w:spacing w:val="-1"/>
        </w:rPr>
      </w:r>
    </w:p>
    <w:p>
      <w:pPr>
        <w:spacing w:after="0" w:line="537" w:lineRule="auto"/>
        <w:jc w:val="left"/>
        <w:sectPr>
          <w:type w:val="continuous"/>
          <w:pgSz w:w="11910" w:h="16840"/>
          <w:pgMar w:top="1060" w:bottom="280" w:left="980" w:right="980"/>
        </w:sectPr>
      </w:pPr>
    </w:p>
    <w:p>
      <w:pPr>
        <w:pStyle w:val="Heading3"/>
        <w:spacing w:line="240" w:lineRule="auto" w:before="76"/>
        <w:ind w:right="-17"/>
        <w:jc w:val="left"/>
        <w:rPr>
          <w:b w:val="0"/>
          <w:bCs w:val="0"/>
        </w:rPr>
      </w:pPr>
      <w:r>
        <w:rPr>
          <w:rFonts w:ascii="宋体" w:hAnsi="宋体" w:cs="宋体" w:eastAsia="宋体" w:hint="default"/>
        </w:rPr>
        <w:t>(7)</w:t>
      </w:r>
      <w:r>
        <w:rPr/>
        <w:t>关键管理人员报酬</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6"/>
          <w:szCs w:val="16"/>
        </w:rPr>
      </w:pPr>
    </w:p>
    <w:p>
      <w:pPr>
        <w:pStyle w:val="BodyText"/>
        <w:spacing w:line="240" w:lineRule="auto"/>
        <w:ind w:left="572" w:right="0"/>
        <w:jc w:val="left"/>
      </w:pPr>
      <w:r>
        <w:rPr/>
        <w:t>单位：</w:t>
      </w:r>
      <w:r>
        <w:rPr>
          <w:spacing w:val="1"/>
        </w:rPr>
        <w:t> </w:t>
      </w:r>
      <w:r>
        <w:rPr/>
        <w:t>元</w:t>
      </w:r>
    </w:p>
    <w:p>
      <w:pPr>
        <w:spacing w:after="0" w:line="240" w:lineRule="auto"/>
        <w:jc w:val="left"/>
        <w:sectPr>
          <w:type w:val="continuous"/>
          <w:pgSz w:w="11910" w:h="16840"/>
          <w:pgMar w:top="1060" w:bottom="280" w:left="980" w:right="980"/>
          <w:cols w:num="2" w:equalWidth="0">
            <w:col w:w="2580" w:space="5827"/>
            <w:col w:w="1543"/>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15,314,639.55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14,651,200.00</w:t>
            </w: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7、关联方承诺" w:id="373"/>
      <w:bookmarkEnd w:id="373"/>
      <w:r>
        <w:rPr>
          <w:b w:val="0"/>
          <w:bCs w:val="0"/>
        </w:rPr>
      </w:r>
      <w:bookmarkStart w:name="十三、股份支付" w:id="374"/>
      <w:bookmarkEnd w:id="374"/>
      <w:r>
        <w:rPr>
          <w:b w:val="0"/>
          <w:bCs w:val="0"/>
        </w:rPr>
      </w:r>
      <w:r>
        <w:rPr>
          <w:rFonts w:ascii="宋体" w:hAnsi="宋体" w:cs="宋体" w:eastAsia="宋体" w:hint="default"/>
        </w:rPr>
        <w:t>(8)</w:t>
      </w:r>
      <w:bookmarkStart w:name="(8)其他关联交易" w:id="375"/>
      <w:bookmarkEnd w:id="375"/>
      <w:r>
        <w:rPr>
          <w:rFonts w:ascii="宋体" w:hAnsi="宋体" w:cs="宋体" w:eastAsia="宋体" w:hint="default"/>
        </w:rPr>
      </w:r>
      <w:r>
        <w:rPr/>
        <w:t>其他关联交易</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Heading4"/>
        <w:spacing w:line="240" w:lineRule="auto" w:before="36"/>
        <w:ind w:left="572" w:right="0"/>
        <w:jc w:val="left"/>
      </w:pPr>
      <w:r>
        <w:rPr>
          <w:spacing w:val="-2"/>
        </w:rPr>
        <w:t>关联物业管理费情况：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pStyle w:val="BodyText"/>
        <w:spacing w:line="240" w:lineRule="auto"/>
        <w:ind w:left="572" w:right="0"/>
        <w:jc w:val="left"/>
      </w:pPr>
      <w:r>
        <w:rPr/>
        <w:t>单位：元</w:t>
      </w:r>
    </w:p>
    <w:p>
      <w:pPr>
        <w:spacing w:after="0" w:line="240" w:lineRule="auto"/>
        <w:jc w:val="left"/>
        <w:sectPr>
          <w:type w:val="continuous"/>
          <w:pgSz w:w="11910" w:h="16840"/>
          <w:pgMar w:top="1060" w:bottom="280" w:left="980" w:right="980"/>
          <w:cols w:num="2" w:equalWidth="0">
            <w:col w:w="2676" w:space="5642"/>
            <w:col w:w="1632"/>
          </w:cols>
        </w:sectPr>
      </w:pPr>
    </w:p>
    <w:p>
      <w:pPr>
        <w:spacing w:line="240" w:lineRule="auto" w:before="8"/>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3600"/>
        <w:gridCol w:w="1620"/>
        <w:gridCol w:w="2011"/>
        <w:gridCol w:w="2268"/>
      </w:tblGrid>
      <w:tr>
        <w:trPr>
          <w:trHeight w:val="331" w:hRule="exact"/>
        </w:trPr>
        <w:tc>
          <w:tcPr>
            <w:tcW w:w="3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租赁方</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2011"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
              <w:ind w:left="63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2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36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48" w:right="-1"/>
              <w:jc w:val="left"/>
              <w:rPr>
                <w:rFonts w:ascii="Times New Roman" w:hAnsi="Times New Roman" w:cs="Times New Roman" w:eastAsia="Times New Roman" w:hint="default"/>
                <w:sz w:val="18"/>
                <w:szCs w:val="18"/>
              </w:rPr>
            </w:pPr>
            <w:r>
              <w:rPr>
                <w:rFonts w:ascii="Times New Roman"/>
                <w:sz w:val="18"/>
              </w:rPr>
              <w:t>7,609,281.72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305" w:right="-1"/>
              <w:jc w:val="left"/>
              <w:rPr>
                <w:rFonts w:ascii="Times New Roman" w:hAnsi="Times New Roman" w:cs="Times New Roman" w:eastAsia="Times New Roman" w:hint="default"/>
                <w:sz w:val="18"/>
                <w:szCs w:val="18"/>
              </w:rPr>
            </w:pPr>
            <w:r>
              <w:rPr>
                <w:rFonts w:ascii="Times New Roman"/>
                <w:sz w:val="18"/>
              </w:rPr>
              <w:t>4,396,864.03</w:t>
            </w: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before="0"/>
        <w:ind w:right="0"/>
        <w:jc w:val="left"/>
        <w:rPr>
          <w:b w:val="0"/>
          <w:bCs w:val="0"/>
        </w:rPr>
      </w:pPr>
      <w:r>
        <w:rPr>
          <w:rFonts w:ascii="宋体" w:hAnsi="宋体" w:cs="宋体" w:eastAsia="宋体" w:hint="default"/>
        </w:rPr>
        <w:t>(1)</w:t>
      </w:r>
      <w:r>
        <w:rPr/>
        <w:t>应收项目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3"/>
        <w:jc w:val="right"/>
      </w:pPr>
      <w:bookmarkStart w:name="6、关联方应收应付款项" w:id="376"/>
      <w:bookmarkEnd w:id="376"/>
      <w:r>
        <w:rPr/>
      </w:r>
      <w:bookmarkStart w:name="(1)应收项目" w:id="377"/>
      <w:bookmarkEnd w:id="377"/>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7"/>
        <w:gridCol w:w="2410"/>
        <w:gridCol w:w="1560"/>
        <w:gridCol w:w="1416"/>
        <w:gridCol w:w="1418"/>
        <w:gridCol w:w="1333"/>
      </w:tblGrid>
      <w:tr>
        <w:trPr>
          <w:trHeight w:val="401" w:hRule="exact"/>
        </w:trPr>
        <w:tc>
          <w:tcPr>
            <w:tcW w:w="141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41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2410"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1,822.50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0" w:right="0"/>
              <w:jc w:val="left"/>
              <w:rPr>
                <w:rFonts w:ascii="Times New Roman" w:hAnsi="Times New Roman" w:cs="Times New Roman" w:eastAsia="Times New Roman" w:hint="default"/>
                <w:sz w:val="18"/>
                <w:szCs w:val="18"/>
              </w:rPr>
            </w:pPr>
            <w:r>
              <w:rPr>
                <w:rFonts w:ascii="Times New Roman"/>
                <w:sz w:val="18"/>
              </w:rPr>
              <w:t>182.25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4,432.50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8" w:right="0"/>
              <w:jc w:val="left"/>
              <w:rPr>
                <w:rFonts w:ascii="Times New Roman" w:hAnsi="Times New Roman" w:cs="Times New Roman" w:eastAsia="Times New Roman" w:hint="default"/>
                <w:sz w:val="18"/>
                <w:szCs w:val="18"/>
              </w:rPr>
            </w:pPr>
            <w:r>
              <w:rPr>
                <w:rFonts w:ascii="Times New Roman"/>
                <w:sz w:val="18"/>
              </w:rPr>
              <w:t>221.63</w:t>
            </w:r>
          </w:p>
        </w:tc>
      </w:tr>
    </w:tbl>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宋体" w:hAnsi="宋体" w:cs="宋体" w:eastAsia="宋体" w:hint="default"/>
        </w:rPr>
        <w:t>(2)</w:t>
      </w:r>
      <w:r>
        <w:rPr/>
        <w:t>应付项目</w:t>
      </w:r>
      <w:r>
        <w:rPr>
          <w:b w:val="0"/>
          <w:bCs w:val="0"/>
        </w:rPr>
      </w:r>
    </w:p>
    <w:p>
      <w:pPr>
        <w:spacing w:line="240" w:lineRule="auto" w:before="2"/>
        <w:rPr>
          <w:rFonts w:ascii="宋体" w:hAnsi="宋体" w:cs="宋体" w:eastAsia="宋体" w:hint="default"/>
          <w:b/>
          <w:bCs/>
          <w:sz w:val="24"/>
          <w:szCs w:val="24"/>
        </w:rPr>
      </w:pPr>
    </w:p>
    <w:p>
      <w:pPr>
        <w:pStyle w:val="BodyText"/>
        <w:spacing w:line="240" w:lineRule="auto" w:before="44"/>
        <w:ind w:left="0" w:right="153"/>
        <w:jc w:val="right"/>
      </w:pPr>
      <w:bookmarkStart w:name="(2)应付项目" w:id="378"/>
      <w:bookmarkEnd w:id="378"/>
      <w:r>
        <w:rPr/>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广州无线电集团有限公司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122,334.80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6,905,883.28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9,229,001.33</w:t>
            </w:r>
            <w:r>
              <w:rPr>
                <w:rFonts w:ascii="Times New Roman"/>
                <w:sz w:val="18"/>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广州海格机械有限公司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广州广电物业管理有限公司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4,115,166.00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535" w:lineRule="auto" w:before="36"/>
        <w:ind w:left="575" w:right="0" w:hanging="3"/>
        <w:jc w:val="left"/>
      </w:pPr>
      <w:r>
        <w:rPr>
          <w:rFonts w:ascii="宋体" w:hAnsi="宋体" w:cs="宋体" w:eastAsia="宋体" w:hint="default"/>
          <w:b/>
          <w:bCs/>
        </w:rPr>
        <w:t>7</w:t>
      </w:r>
      <w:r>
        <w:rPr>
          <w:rFonts w:ascii="宋体" w:hAnsi="宋体" w:cs="宋体" w:eastAsia="宋体" w:hint="default"/>
          <w:b/>
          <w:bCs/>
        </w:rPr>
        <w:t>、关联方承诺</w:t>
      </w:r>
      <w:r>
        <w:rPr>
          <w:rFonts w:ascii="宋体" w:hAnsi="宋体" w:cs="宋体" w:eastAsia="宋体" w:hint="default"/>
          <w:b/>
          <w:bCs/>
          <w:spacing w:val="-104"/>
        </w:rPr>
        <w:t> </w:t>
      </w:r>
      <w:r>
        <w:rPr>
          <w:spacing w:val="-2"/>
        </w:rPr>
        <w:t>本公司没有于资产负债表日，已签约而尚不必在资产负债表上列示的与关联方有关的承诺事项。</w:t>
      </w:r>
    </w:p>
    <w:p>
      <w:pPr>
        <w:pStyle w:val="Heading2"/>
        <w:spacing w:line="240" w:lineRule="auto" w:before="53"/>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572" w:right="0"/>
        <w:jc w:val="left"/>
      </w:pPr>
      <w:r>
        <w:rPr/>
        <w:t>本公司本期未发生该事项。</w:t>
      </w:r>
    </w:p>
    <w:p>
      <w:pPr>
        <w:spacing w:after="0" w:line="240" w:lineRule="auto"/>
        <w:jc w:val="left"/>
        <w:sectPr>
          <w:type w:val="continuous"/>
          <w:pgSz w:w="11910" w:h="16840"/>
          <w:pgMar w:top="1060" w:bottom="2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3、销售退回" w:id="379"/>
      <w:bookmarkEnd w:id="379"/>
      <w:r>
        <w:rPr>
          <w:b w:val="0"/>
          <w:bCs w:val="0"/>
        </w:rPr>
      </w:r>
      <w:bookmarkStart w:name="十六、其他重要事项" w:id="380"/>
      <w:bookmarkEnd w:id="380"/>
      <w:r>
        <w:rPr>
          <w:b w:val="0"/>
          <w:bCs w:val="0"/>
        </w:rPr>
      </w:r>
      <w:bookmarkStart w:name="1、前期会计差错更正" w:id="381"/>
      <w:bookmarkEnd w:id="381"/>
      <w:r>
        <w:rPr>
          <w:b w:val="0"/>
          <w:bCs w:val="0"/>
        </w:rPr>
      </w:r>
      <w:bookmarkStart w:name="2、债务重组" w:id="382"/>
      <w:bookmarkEnd w:id="382"/>
      <w:r>
        <w:rPr>
          <w:b w:val="0"/>
          <w:bCs w:val="0"/>
        </w:rPr>
      </w:r>
      <w:bookmarkStart w:name="3、资产置换" w:id="383"/>
      <w:bookmarkEnd w:id="383"/>
      <w:r>
        <w:rPr>
          <w:b w:val="0"/>
          <w:bCs w:val="0"/>
        </w:rPr>
      </w:r>
      <w:bookmarkStart w:name="4、年金计划" w:id="384"/>
      <w:bookmarkEnd w:id="384"/>
      <w:r>
        <w:rPr>
          <w:b w:val="0"/>
          <w:bCs w:val="0"/>
        </w:rPr>
      </w:r>
      <w:r>
        <w:rPr/>
        <w:t>十</w:t>
      </w:r>
      <w:bookmarkStart w:name="十四、承诺及或有事项" w:id="385"/>
      <w:bookmarkEnd w:id="385"/>
      <w:r>
        <w:rPr/>
        <w:t>四</w:t>
      </w:r>
      <w:r>
        <w:rPr/>
        <w:t>、承诺及或有事项</w:t>
      </w:r>
      <w:r>
        <w:rPr>
          <w:b w:val="0"/>
          <w:bCs w:val="0"/>
        </w:rPr>
      </w:r>
    </w:p>
    <w:p>
      <w:pPr>
        <w:spacing w:line="240" w:lineRule="auto" w:before="12"/>
        <w:rPr>
          <w:rFonts w:ascii="宋体" w:hAnsi="宋体" w:cs="宋体" w:eastAsia="宋体" w:hint="default"/>
          <w:b/>
          <w:bCs/>
          <w:sz w:val="24"/>
          <w:szCs w:val="24"/>
        </w:rPr>
      </w:pPr>
    </w:p>
    <w:p>
      <w:pPr>
        <w:spacing w:line="535" w:lineRule="auto" w:before="0"/>
        <w:ind w:left="489" w:right="4734" w:firstLine="83"/>
        <w:jc w:val="left"/>
        <w:rPr>
          <w:rFonts w:ascii="宋体" w:hAnsi="宋体" w:cs="宋体" w:eastAsia="宋体" w:hint="default"/>
          <w:sz w:val="21"/>
          <w:szCs w:val="21"/>
        </w:rPr>
      </w:pPr>
      <w:r>
        <w:rPr>
          <w:rFonts w:ascii="宋体" w:hAnsi="宋体" w:cs="宋体" w:eastAsia="宋体" w:hint="default"/>
          <w:b/>
          <w:bCs/>
          <w:sz w:val="21"/>
          <w:szCs w:val="21"/>
        </w:rPr>
        <w:t>1</w:t>
      </w:r>
      <w:bookmarkStart w:name="1、重要承诺事项" w:id="386"/>
      <w:bookmarkEnd w:id="386"/>
      <w:r>
        <w:rPr>
          <w:rFonts w:ascii="宋体" w:hAnsi="宋体" w:cs="宋体" w:eastAsia="宋体" w:hint="default"/>
          <w:b/>
          <w:bCs/>
          <w:sz w:val="21"/>
          <w:szCs w:val="21"/>
        </w:rPr>
      </w:r>
      <w:r>
        <w:rPr>
          <w:rFonts w:ascii="宋体" w:hAnsi="宋体" w:cs="宋体" w:eastAsia="宋体" w:hint="default"/>
          <w:b/>
          <w:bCs/>
          <w:sz w:val="21"/>
          <w:szCs w:val="21"/>
        </w:rPr>
        <w:t>、重要承诺事项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本公司没有资产负债表日存在的重要承诺。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4"/>
        <w:spacing w:line="338" w:lineRule="auto" w:before="76"/>
        <w:ind w:right="0" w:firstLine="357"/>
        <w:jc w:val="left"/>
      </w:pPr>
      <w:r>
        <w:rPr>
          <w:spacing w:val="-3"/>
        </w:rPr>
        <w:t>截至报告日止本</w:t>
      </w:r>
      <w:bookmarkStart w:name="2、或有事项" w:id="387"/>
      <w:bookmarkEnd w:id="387"/>
      <w:r>
        <w:rPr>
          <w:spacing w:val="-3"/>
        </w:rPr>
        <w:t>公</w:t>
      </w:r>
      <w:r>
        <w:rPr>
          <w:spacing w:val="-3"/>
        </w:rPr>
        <w:t>司未结清人民币保函为</w:t>
      </w:r>
      <w:r>
        <w:rPr>
          <w:rFonts w:ascii="宋体" w:hAnsi="宋体" w:cs="宋体" w:eastAsia="宋体" w:hint="default"/>
          <w:spacing w:val="-3"/>
        </w:rPr>
        <w:t>50,566,991.80</w:t>
      </w:r>
      <w:r>
        <w:rPr>
          <w:spacing w:val="-3"/>
        </w:rPr>
        <w:t>元，港币保函为</w:t>
      </w:r>
      <w:r>
        <w:rPr>
          <w:rFonts w:ascii="宋体" w:hAnsi="宋体" w:cs="宋体" w:eastAsia="宋体" w:hint="default"/>
          <w:spacing w:val="-3"/>
        </w:rPr>
        <w:t>2,410,211.30</w:t>
      </w:r>
      <w:r>
        <w:rPr>
          <w:spacing w:val="-3"/>
        </w:rPr>
        <w:t>元，对本公司财</w:t>
      </w:r>
      <w:r>
        <w:rPr>
          <w:w w:val="100"/>
        </w:rPr>
        <w:t> </w:t>
      </w:r>
      <w:r>
        <w:rPr/>
        <w:t>务没有重大影响。</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spacing w:line="535" w:lineRule="auto" w:before="0"/>
        <w:ind w:left="572" w:right="5634"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重要的非调整事项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本公司本期没有重要的非调整事</w:t>
      </w:r>
      <w:bookmarkStart w:name="十五、资产负债表日后事项" w:id="388"/>
      <w:bookmarkEnd w:id="388"/>
      <w:r>
        <w:rPr>
          <w:rFonts w:ascii="宋体" w:hAnsi="宋体" w:cs="宋体" w:eastAsia="宋体" w:hint="default"/>
          <w:spacing w:val="-2"/>
          <w:sz w:val="21"/>
          <w:szCs w:val="21"/>
        </w:rPr>
        <w:t>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pStyle w:val="BodyText"/>
        <w:spacing w:line="240" w:lineRule="auto" w:before="99"/>
        <w:ind w:left="0" w:right="153"/>
        <w:jc w:val="right"/>
      </w:pPr>
      <w:bookmarkStart w:name="重要的非调整事项" w:id="389"/>
      <w:bookmarkEnd w:id="389"/>
      <w:r>
        <w:rPr/>
      </w:r>
      <w:bookmarkStart w:name="2、利润分配情况" w:id="390"/>
      <w:bookmarkEnd w:id="390"/>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401"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755,653,337.40</w:t>
            </w:r>
            <w:r>
              <w:rPr>
                <w:rFonts w:ascii="Times New Roman"/>
                <w:sz w:val="18"/>
              </w:rPr>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755,653,337.40</w:t>
            </w:r>
            <w:r>
              <w:rPr>
                <w:rFonts w:ascii="Times New Roman"/>
                <w:sz w:val="18"/>
              </w:rPr>
            </w:r>
          </w:p>
        </w:tc>
      </w:tr>
    </w:tbl>
    <w:p>
      <w:pPr>
        <w:spacing w:line="240" w:lineRule="auto" w:before="3"/>
        <w:rPr>
          <w:rFonts w:ascii="宋体" w:hAnsi="宋体" w:cs="宋体" w:eastAsia="宋体" w:hint="default"/>
          <w:sz w:val="19"/>
          <w:szCs w:val="19"/>
        </w:rPr>
      </w:pPr>
    </w:p>
    <w:p>
      <w:pPr>
        <w:spacing w:line="537" w:lineRule="auto" w:before="36"/>
        <w:ind w:left="489" w:right="5634" w:firstLine="8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本公司本期没有重要的销售退回情况。</w:t>
      </w:r>
    </w:p>
    <w:p>
      <w:pPr>
        <w:pStyle w:val="Heading2"/>
        <w:spacing w:line="240" w:lineRule="auto" w:before="51"/>
        <w:ind w:right="0"/>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spacing w:line="600" w:lineRule="auto" w:before="0"/>
        <w:ind w:left="572" w:right="662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本公司本期未发生该事项。</w:t>
      </w:r>
    </w:p>
    <w:p>
      <w:pPr>
        <w:spacing w:line="535" w:lineRule="auto" w:before="17"/>
        <w:ind w:left="572" w:right="662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本公司本期未发生该事项。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本公司本期未发生该事项。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Heading4"/>
        <w:spacing w:line="240" w:lineRule="auto" w:before="81"/>
        <w:ind w:left="572" w:right="0"/>
        <w:jc w:val="left"/>
      </w:pPr>
      <w:r>
        <w:rPr/>
        <w:t>本公司本期未发生该事项。</w:t>
      </w:r>
    </w:p>
    <w:p>
      <w:pPr>
        <w:spacing w:after="0" w:line="240" w:lineRule="auto"/>
        <w:jc w:val="left"/>
        <w:sectPr>
          <w:pgSz w:w="11910" w:h="16840"/>
          <w:pgMar w:header="877" w:footer="982" w:top="1100" w:bottom="1180" w:left="980" w:right="980"/>
        </w:sectPr>
      </w:pPr>
    </w:p>
    <w:p>
      <w:pPr>
        <w:spacing w:line="240" w:lineRule="auto" w:before="11"/>
        <w:rPr>
          <w:rFonts w:ascii="宋体" w:hAnsi="宋体" w:cs="宋体" w:eastAsia="宋体" w:hint="default"/>
          <w:sz w:val="20"/>
          <w:szCs w:val="20"/>
        </w:rPr>
      </w:pPr>
    </w:p>
    <w:p>
      <w:pPr>
        <w:spacing w:line="525" w:lineRule="auto" w:before="36"/>
        <w:ind w:left="632" w:right="6145" w:firstLine="0"/>
        <w:jc w:val="left"/>
        <w:rPr>
          <w:rFonts w:ascii="宋体" w:hAnsi="宋体" w:cs="宋体" w:eastAsia="宋体" w:hint="default"/>
          <w:sz w:val="21"/>
          <w:szCs w:val="21"/>
        </w:rPr>
      </w:pPr>
      <w:bookmarkStart w:name="7、其他对投资者决策有影响的重要交易和事项" w:id="391"/>
      <w:bookmarkEnd w:id="391"/>
      <w:r>
        <w:rPr/>
      </w:r>
      <w:bookmarkStart w:name="十七、母公司财务报表主要项目注释" w:id="392"/>
      <w:bookmarkEnd w:id="392"/>
      <w:r>
        <w:rPr/>
      </w: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b/>
          <w:bCs/>
          <w:w w:val="100"/>
          <w:sz w:val="21"/>
          <w:szCs w:val="21"/>
        </w:rPr>
        <w:t> </w:t>
      </w:r>
      <w:bookmarkStart w:name="5、终止经营" w:id="393"/>
      <w:bookmarkEnd w:id="393"/>
      <w:r>
        <w:rPr>
          <w:rFonts w:ascii="宋体" w:hAnsi="宋体" w:cs="宋体" w:eastAsia="宋体" w:hint="default"/>
          <w:b/>
          <w:bCs/>
          <w:w w:val="100"/>
          <w:sz w:val="21"/>
          <w:szCs w:val="21"/>
        </w:rPr>
      </w:r>
      <w:r>
        <w:rPr>
          <w:rFonts w:ascii="宋体" w:hAnsi="宋体" w:cs="宋体" w:eastAsia="宋体" w:hint="default"/>
          <w:sz w:val="21"/>
          <w:szCs w:val="21"/>
        </w:rPr>
        <w:t>本公司本期未发生该事项。</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bookmarkStart w:name="6、分部信息" w:id="394"/>
      <w:bookmarkEnd w:id="39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、分部信息</w:t>
      </w:r>
      <w:r>
        <w:rPr>
          <w:rFonts w:ascii="宋体" w:hAnsi="宋体" w:cs="宋体" w:eastAsia="宋体" w:hint="default"/>
          <w:b/>
          <w:bCs/>
          <w:spacing w:val="-104"/>
          <w:sz w:val="21"/>
          <w:szCs w:val="21"/>
        </w:rPr>
        <w:t> </w:t>
      </w:r>
      <w:r>
        <w:rPr>
          <w:rFonts w:ascii="宋体" w:hAnsi="宋体" w:cs="宋体" w:eastAsia="宋体" w:hint="default"/>
          <w:b/>
          <w:bCs/>
          <w:sz w:val="21"/>
          <w:szCs w:val="21"/>
        </w:rPr>
        <w:t>(1)</w:t>
      </w:r>
      <w:bookmarkStart w:name="(1)报告分部的确定依据与会计政策" w:id="395"/>
      <w:bookmarkEnd w:id="395"/>
      <w:r>
        <w:rPr>
          <w:rFonts w:ascii="宋体" w:hAnsi="宋体" w:cs="宋体" w:eastAsia="宋体" w:hint="default"/>
          <w:b/>
          <w:bCs/>
          <w:sz w:val="21"/>
          <w:szCs w:val="21"/>
        </w:rPr>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pStyle w:val="Heading4"/>
        <w:spacing w:line="333" w:lineRule="auto" w:before="128"/>
        <w:ind w:left="213" w:right="0" w:firstLine="419"/>
        <w:jc w:val="left"/>
      </w:pPr>
      <w:r>
        <w:rPr>
          <w:spacing w:val="-2"/>
        </w:rPr>
        <w:t>根据本公司的内部组织结构、管理要求及内部报告制度确定了</w:t>
      </w:r>
      <w:r>
        <w:rPr>
          <w:rFonts w:ascii="Times New Roman" w:hAnsi="Times New Roman" w:cs="Times New Roman" w:eastAsia="Times New Roman" w:hint="default"/>
          <w:spacing w:val="-2"/>
        </w:rPr>
        <w:t>2</w:t>
      </w:r>
      <w:r>
        <w:rPr>
          <w:spacing w:val="-2"/>
        </w:rPr>
        <w:t>个报告分部，分别为：制造业和其他。</w:t>
      </w:r>
      <w:r>
        <w:rPr>
          <w:w w:val="100"/>
        </w:rPr>
        <w:t> </w:t>
      </w:r>
      <w:r>
        <w:rPr>
          <w:spacing w:val="-2"/>
        </w:rPr>
        <w:t>本公司的各个报告分部分别提供不同的产品或服务，或在不同地区从事经营活动。由于每个分部需要不同</w:t>
      </w:r>
      <w:r>
        <w:rPr>
          <w:spacing w:val="-43"/>
        </w:rPr>
        <w:t> </w:t>
      </w:r>
      <w:r>
        <w:rPr>
          <w:spacing w:val="-43"/>
        </w:rPr>
      </w:r>
      <w:r>
        <w:rPr>
          <w:spacing w:val="-2"/>
        </w:rPr>
        <w:t>的技术或市场策略，本公司管理层分别单独管理各个报告分部的经营活动，定期评价这些报告分部的经营</w:t>
      </w:r>
      <w:r>
        <w:rPr>
          <w:spacing w:val="-48"/>
        </w:rPr>
        <w:t> </w:t>
      </w:r>
      <w:r>
        <w:rPr>
          <w:spacing w:val="-48"/>
        </w:rPr>
      </w:r>
      <w:r>
        <w:rPr/>
        <w:t>成果，以决定向其分配资源及评价其业绩。</w:t>
      </w:r>
    </w:p>
    <w:p>
      <w:pPr>
        <w:pStyle w:val="Heading4"/>
        <w:spacing w:line="340" w:lineRule="auto" w:before="34"/>
        <w:ind w:left="213" w:right="206" w:firstLine="420"/>
        <w:jc w:val="both"/>
      </w:pPr>
      <w:r>
        <w:rPr>
          <w:spacing w:val="-2"/>
        </w:rPr>
        <w:t>分部间转移价格按照实际交易价格为基础确定，间接归属于各分部的费用按照一定比例在分部之间进</w:t>
      </w:r>
      <w:r>
        <w:rPr>
          <w:w w:val="100"/>
        </w:rPr>
        <w:t> </w:t>
      </w:r>
      <w:r>
        <w:rPr>
          <w:spacing w:val="-2"/>
        </w:rPr>
        <w:t>行分配。资产根据分部的经营以及资产的所在位置进行分配，分部负债包括分部经营活动形成的可归属于</w:t>
      </w:r>
      <w:r>
        <w:rPr>
          <w:spacing w:val="-43"/>
        </w:rPr>
        <w:t> </w:t>
      </w:r>
      <w:r>
        <w:rPr>
          <w:spacing w:val="-43"/>
        </w:rPr>
      </w:r>
      <w:r>
        <w:rPr>
          <w:spacing w:val="-2"/>
        </w:rPr>
        <w:t>该分部的负债。如果多个经营分部共同承担的负债相关的费用分配给这些经营分部，该共同承担的负债也</w:t>
      </w:r>
      <w:r>
        <w:rPr>
          <w:spacing w:val="-43"/>
        </w:rPr>
        <w:t> </w:t>
      </w:r>
      <w:r>
        <w:rPr>
          <w:spacing w:val="-43"/>
        </w:rPr>
      </w:r>
      <w:r>
        <w:rPr/>
        <w:t>分配给这些经营分部。</w:t>
      </w:r>
    </w:p>
    <w:p>
      <w:pPr>
        <w:pStyle w:val="Heading3"/>
        <w:spacing w:line="240" w:lineRule="auto" w:before="28"/>
        <w:ind w:left="632" w:right="0"/>
        <w:jc w:val="left"/>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137"/>
        <w:ind w:left="0" w:right="21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2,949,486,632.24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1,569,308,687.90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-545,854,063.97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3,972,941,256.17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2,650,948,807.70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1,321,992,448.47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3,972,941,256.17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298,537,824.54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247,316,239.43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-545,854,063.97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2,410,852,958.88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1,338,196,246.22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-551,921,254.07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3,197,127,951.03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42,652,209.13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5,740,065.42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48,392,274.55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581,285,882.49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236,852,507.10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6,067,190.10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824,205,579.69</w:t>
            </w:r>
            <w:r>
              <w:rPr>
                <w:rFonts w:ascii="Times New Roman"/>
                <w:sz w:val="18"/>
              </w:rPr>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6,851,032,283.40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2,167,704,518.18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-1,318,558,666.35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7,700,178,135.23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2,657,321,529.46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1,029,037,350.38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-749,391,106.82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2,936,967,773.02</w:t>
            </w:r>
          </w:p>
        </w:tc>
      </w:tr>
    </w:tbl>
    <w:p>
      <w:pPr>
        <w:spacing w:line="240" w:lineRule="auto" w:before="3"/>
        <w:rPr>
          <w:rFonts w:ascii="宋体" w:hAnsi="宋体" w:cs="宋体" w:eastAsia="宋体" w:hint="default"/>
          <w:sz w:val="19"/>
          <w:szCs w:val="19"/>
        </w:rPr>
      </w:pPr>
    </w:p>
    <w:p>
      <w:pPr>
        <w:spacing w:line="506" w:lineRule="auto" w:before="36"/>
        <w:ind w:left="702" w:right="2634" w:hanging="7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、其他对投资者决策有影响的重要交易和事项</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本公司本期未发生该事项。</w:t>
      </w:r>
    </w:p>
    <w:p>
      <w:pPr>
        <w:pStyle w:val="Heading2"/>
        <w:spacing w:line="240" w:lineRule="auto" w:before="76"/>
        <w:ind w:left="212" w:right="0"/>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632" w:right="0"/>
        <w:jc w:val="left"/>
      </w:pPr>
      <w:r>
        <w:rPr/>
        <w:t>（以下金额单位若未特别注明者均为人民币元）</w:t>
      </w:r>
    </w:p>
    <w:p>
      <w:pPr>
        <w:spacing w:after="0" w:line="240" w:lineRule="auto"/>
        <w:jc w:val="left"/>
        <w:sectPr>
          <w:pgSz w:w="11910" w:h="16840"/>
          <w:pgMar w:header="877" w:footer="982" w:top="1100" w:bottom="1180" w:left="920" w:right="920"/>
        </w:sect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bookmarkStart w:name="1、应收账款" w:id="396"/>
      <w:bookmarkEnd w:id="396"/>
      <w:r>
        <w:rPr>
          <w:b w:val="0"/>
          <w:bCs w:val="0"/>
        </w:rPr>
      </w:r>
      <w:r>
        <w:rPr>
          <w:rFonts w:ascii="宋体" w:hAnsi="宋体" w:cs="宋体" w:eastAsia="宋体" w:hint="default"/>
        </w:rPr>
        <w:t>(1)</w:t>
      </w:r>
      <w:bookmarkStart w:name="(1)应收账款分类披露" w:id="397"/>
      <w:bookmarkEnd w:id="397"/>
      <w:r>
        <w:rPr>
          <w:rFonts w:ascii="宋体" w:hAnsi="宋体" w:cs="宋体" w:eastAsia="宋体" w:hint="default"/>
        </w:rPr>
      </w:r>
      <w:r>
        <w:rPr/>
        <w:t>应收账款分类披露</w:t>
      </w:r>
      <w:r>
        <w:rPr>
          <w:b w:val="0"/>
          <w:bCs w:val="0"/>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753,068,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142.75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16,145,2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736,922,8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65.83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640,770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,469.29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11,189,63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629,580,83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1.68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753,068,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142.75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16,145,2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76.92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2.14%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736,922,8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65.83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640,770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,469.29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11,189,63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7.61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1.75%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629,580,83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1.68</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Heading4"/>
        <w:spacing w:line="241" w:lineRule="exact" w:before="0"/>
        <w:ind w:left="572" w:right="0"/>
        <w:jc w:val="left"/>
      </w:pPr>
      <w:r>
        <w:rPr/>
        <w:t>期末没有单项金额重大并单独计提坏账准备的应收账款。</w:t>
      </w:r>
    </w:p>
    <w:p>
      <w:pPr>
        <w:pStyle w:val="Heading4"/>
        <w:spacing w:line="240" w:lineRule="auto" w:before="66"/>
        <w:ind w:left="572" w:right="0"/>
        <w:jc w:val="left"/>
      </w:pPr>
      <w:r>
        <w:rPr/>
        <w:t>组合中，按账龄分析法计提坏账准备的应收账款：</w:t>
      </w:r>
    </w:p>
    <w:p>
      <w:pPr>
        <w:spacing w:line="240" w:lineRule="auto" w:before="7"/>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2" w:hRule="exact"/>
        </w:trPr>
        <w:tc>
          <w:tcPr>
            <w:tcW w:w="24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2"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529,328,259.61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2,646,641.30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529,328,259.61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2,646,641.30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60,066,210.06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3,003,310.50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45,337,296.57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4,533,729.66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15,590,153.20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5,961,595.46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38.24%</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9,320,155.70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2,796,046.71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6,208,897.50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3,104,448.75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650,321,919.44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16,145,276.92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bl>
    <w:p>
      <w:pPr>
        <w:pStyle w:val="Heading4"/>
        <w:spacing w:line="374" w:lineRule="auto" w:before="64"/>
        <w:ind w:left="572" w:right="4734"/>
        <w:jc w:val="left"/>
      </w:pPr>
      <w:r>
        <w:rPr/>
        <w:t>确定该组合依据的说明：详见本附注五、</w:t>
      </w:r>
      <w:r>
        <w:rPr>
          <w:rFonts w:ascii="宋体" w:hAnsi="宋体" w:cs="宋体" w:eastAsia="宋体" w:hint="default"/>
        </w:rPr>
        <w:t>11</w:t>
      </w:r>
      <w:r>
        <w:rPr/>
        <w:t>。</w:t>
      </w:r>
      <w:r>
        <w:rPr>
          <w:w w:val="100"/>
        </w:rPr>
        <w:t> </w:t>
      </w:r>
      <w:r>
        <w:rPr>
          <w:spacing w:val="-2"/>
        </w:rPr>
        <w:t>组合中，采用其他方法计提坏账准备的应收账款：</w:t>
      </w:r>
    </w:p>
    <w:tbl>
      <w:tblPr>
        <w:tblW w:w="0" w:type="auto"/>
        <w:jc w:val="left"/>
        <w:tblInd w:w="145" w:type="dxa"/>
        <w:tblLayout w:type="fixed"/>
        <w:tblCellMar>
          <w:top w:w="0" w:type="dxa"/>
          <w:left w:w="0" w:type="dxa"/>
          <w:bottom w:w="0" w:type="dxa"/>
          <w:right w:w="0" w:type="dxa"/>
        </w:tblCellMar>
        <w:tblLook w:val="01E0"/>
      </w:tblPr>
      <w:tblGrid>
        <w:gridCol w:w="2494"/>
        <w:gridCol w:w="2294"/>
        <w:gridCol w:w="2390"/>
        <w:gridCol w:w="2394"/>
      </w:tblGrid>
      <w:tr>
        <w:trPr>
          <w:trHeight w:val="425" w:hRule="exact"/>
        </w:trPr>
        <w:tc>
          <w:tcPr>
            <w:tcW w:w="2494"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9"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0" w:hRule="exact"/>
        </w:trPr>
        <w:tc>
          <w:tcPr>
            <w:tcW w:w="2494" w:type="dxa"/>
            <w:vMerge/>
            <w:tcBorders>
              <w:left w:val="single" w:sz="6" w:space="0" w:color="000000"/>
              <w:bottom w:val="single" w:sz="6" w:space="0" w:color="000000"/>
              <w:right w:val="single" w:sz="6" w:space="0" w:color="000000"/>
            </w:tcBorders>
            <w:shd w:val="clear" w:color="auto" w:fill="D4D4D4"/>
          </w:tcPr>
          <w:p>
            <w:pPr/>
          </w:p>
        </w:tc>
        <w:tc>
          <w:tcPr>
            <w:tcW w:w="22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2494"/>
        <w:gridCol w:w="2294"/>
        <w:gridCol w:w="2390"/>
        <w:gridCol w:w="2390"/>
      </w:tblGrid>
      <w:tr>
        <w:trPr>
          <w:trHeight w:val="427" w:hRule="exact"/>
        </w:trPr>
        <w:tc>
          <w:tcPr>
            <w:tcW w:w="24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102,746,223.31</w:t>
            </w:r>
            <w:r>
              <w:rPr>
                <w:rFonts w:ascii="Times New Roman"/>
                <w:sz w:val="18"/>
              </w:rPr>
            </w:r>
          </w:p>
        </w:tc>
        <w:tc>
          <w:tcPr>
            <w:tcW w:w="2390" w:type="dxa"/>
            <w:tcBorders>
              <w:top w:val="single" w:sz="6" w:space="0" w:color="000000"/>
              <w:left w:val="single" w:sz="6" w:space="0" w:color="000000"/>
              <w:bottom w:val="single" w:sz="6" w:space="0" w:color="000000"/>
              <w:right w:val="single" w:sz="6" w:space="0" w:color="000000"/>
            </w:tcBorders>
          </w:tcPr>
          <w:p>
            <w:pPr/>
          </w:p>
        </w:tc>
        <w:tc>
          <w:tcPr>
            <w:tcW w:w="23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102,746,223.31</w:t>
            </w:r>
            <w:r>
              <w:rPr>
                <w:rFonts w:ascii="Times New Roman"/>
                <w:sz w:val="18"/>
              </w:rPr>
            </w:r>
          </w:p>
        </w:tc>
        <w:tc>
          <w:tcPr>
            <w:tcW w:w="2390" w:type="dxa"/>
            <w:tcBorders>
              <w:top w:val="single" w:sz="6" w:space="0" w:color="000000"/>
              <w:left w:val="single" w:sz="6" w:space="0" w:color="000000"/>
              <w:bottom w:val="single" w:sz="6" w:space="0" w:color="000000"/>
              <w:right w:val="single" w:sz="6" w:space="0" w:color="000000"/>
            </w:tcBorders>
          </w:tcPr>
          <w:p>
            <w:pPr/>
          </w:p>
        </w:tc>
        <w:tc>
          <w:tcPr>
            <w:tcW w:w="239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left="992" w:right="0"/>
        <w:jc w:val="left"/>
        <w:rPr>
          <w:b w:val="0"/>
          <w:bCs w:val="0"/>
        </w:rPr>
      </w:pPr>
      <w:r>
        <w:rPr>
          <w:rFonts w:ascii="宋体" w:hAnsi="宋体" w:cs="宋体" w:eastAsia="宋体" w:hint="default"/>
        </w:rPr>
        <w:t>(2)</w:t>
      </w:r>
      <w:bookmarkStart w:name="(2)本期计提、收回或转回的坏账准备情况" w:id="398"/>
      <w:bookmarkEnd w:id="398"/>
      <w:r>
        <w:rPr>
          <w:rFonts w:ascii="宋体" w:hAnsi="宋体" w:cs="宋体" w:eastAsia="宋体" w:hint="default"/>
        </w:rPr>
      </w:r>
      <w:r>
        <w:rPr/>
        <w:t>本期计提、收回或转回的坏账准备情况</w:t>
      </w:r>
      <w:r>
        <w:rPr>
          <w:b w:val="0"/>
          <w:bCs w:val="0"/>
        </w:rPr>
      </w:r>
    </w:p>
    <w:p>
      <w:pPr>
        <w:spacing w:line="240" w:lineRule="auto" w:before="12"/>
        <w:rPr>
          <w:rFonts w:ascii="宋体" w:hAnsi="宋体" w:cs="宋体" w:eastAsia="宋体" w:hint="default"/>
          <w:b/>
          <w:bCs/>
          <w:sz w:val="25"/>
          <w:szCs w:val="25"/>
        </w:rPr>
      </w:pPr>
    </w:p>
    <w:p>
      <w:pPr>
        <w:spacing w:line="552" w:lineRule="auto" w:before="0"/>
        <w:ind w:left="572" w:right="181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6"/>
          <w:sz w:val="21"/>
          <w:szCs w:val="21"/>
        </w:rPr>
        <w:t> </w:t>
      </w:r>
      <w:r>
        <w:rPr>
          <w:rFonts w:ascii="宋体" w:hAnsi="宋体" w:cs="宋体" w:eastAsia="宋体" w:hint="default"/>
          <w:sz w:val="21"/>
          <w:szCs w:val="21"/>
        </w:rPr>
        <w:t>4,955,639.31</w:t>
      </w:r>
      <w:r>
        <w:rPr>
          <w:rFonts w:ascii="宋体" w:hAnsi="宋体" w:cs="宋体" w:eastAsia="宋体" w:hint="default"/>
          <w:spacing w:val="-56"/>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6"/>
          <w:sz w:val="21"/>
          <w:szCs w:val="21"/>
        </w:rPr>
        <w:t> </w:t>
      </w:r>
      <w:r>
        <w:rPr>
          <w:rFonts w:ascii="宋体" w:hAnsi="宋体" w:cs="宋体" w:eastAsia="宋体" w:hint="default"/>
          <w:sz w:val="21"/>
          <w:szCs w:val="21"/>
        </w:rPr>
        <w:t>0.00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(3)</w:t>
      </w:r>
      <w:bookmarkStart w:name="(3)本期没有实际核销的应收账款。" w:id="399"/>
      <w:bookmarkEnd w:id="399"/>
      <w:r>
        <w:rPr>
          <w:rFonts w:ascii="宋体" w:hAnsi="宋体" w:cs="宋体" w:eastAsia="宋体" w:hint="default"/>
          <w:b/>
          <w:bCs/>
          <w:sz w:val="21"/>
          <w:szCs w:val="21"/>
        </w:rPr>
      </w:r>
      <w:r>
        <w:rPr>
          <w:rFonts w:ascii="宋体" w:hAnsi="宋体" w:cs="宋体" w:eastAsia="宋体" w:hint="default"/>
          <w:b/>
          <w:bCs/>
          <w:sz w:val="21"/>
          <w:szCs w:val="21"/>
        </w:rPr>
        <w:t>本期没有实际核销的应收账款。</w:t>
      </w:r>
      <w:r>
        <w:rPr>
          <w:rFonts w:ascii="宋体" w:hAnsi="宋体" w:cs="宋体" w:eastAsia="宋体" w:hint="default"/>
          <w:b/>
          <w:bCs/>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按欠款方归集的期末余额前五名的应收款情况</w:t>
      </w:r>
      <w:r>
        <w:rPr>
          <w:rFonts w:ascii="宋体" w:hAnsi="宋体" w:cs="宋体" w:eastAsia="宋体" w:hint="default"/>
          <w:sz w:val="21"/>
          <w:szCs w:val="21"/>
        </w:rPr>
      </w:r>
    </w:p>
    <w:p>
      <w:pPr>
        <w:pStyle w:val="Heading4"/>
        <w:spacing w:line="240" w:lineRule="auto" w:before="143"/>
        <w:ind w:left="572" w:right="0"/>
        <w:jc w:val="left"/>
      </w:pPr>
      <w:r>
        <w:rPr/>
        <w:t>按欠款方集中度归集的期末余额前五名应收账款汇总金额</w:t>
      </w:r>
      <w:r>
        <w:rPr>
          <w:spacing w:val="-58"/>
        </w:rPr>
        <w:t> </w:t>
      </w:r>
      <w:r>
        <w:rPr>
          <w:rFonts w:ascii="宋体" w:hAnsi="宋体" w:cs="宋体" w:eastAsia="宋体" w:hint="default"/>
        </w:rPr>
        <w:t>228,132,735.45</w:t>
      </w:r>
      <w:r>
        <w:rPr>
          <w:rFonts w:ascii="宋体" w:hAnsi="宋体" w:cs="宋体" w:eastAsia="宋体" w:hint="default"/>
          <w:spacing w:val="-59"/>
        </w:rPr>
        <w:t> </w:t>
      </w:r>
      <w:r>
        <w:rPr/>
        <w:t>元，占应收账款期末余额</w:t>
      </w:r>
    </w:p>
    <w:p>
      <w:pPr>
        <w:spacing w:line="552" w:lineRule="auto" w:before="114"/>
        <w:ind w:left="572" w:right="2382" w:hanging="420"/>
        <w:jc w:val="left"/>
        <w:rPr>
          <w:rFonts w:ascii="宋体" w:hAnsi="宋体" w:cs="宋体" w:eastAsia="宋体" w:hint="default"/>
          <w:sz w:val="21"/>
          <w:szCs w:val="21"/>
        </w:rPr>
      </w:pPr>
      <w:r>
        <w:rPr>
          <w:rFonts w:ascii="宋体" w:hAnsi="宋体" w:cs="宋体" w:eastAsia="宋体" w:hint="default"/>
          <w:sz w:val="21"/>
          <w:szCs w:val="21"/>
        </w:rPr>
        <w:t>合计数的比例</w:t>
      </w:r>
      <w:r>
        <w:rPr>
          <w:rFonts w:ascii="宋体" w:hAnsi="宋体" w:cs="宋体" w:eastAsia="宋体" w:hint="default"/>
          <w:spacing w:val="-54"/>
          <w:sz w:val="21"/>
          <w:szCs w:val="21"/>
        </w:rPr>
        <w:t> </w:t>
      </w:r>
      <w:r>
        <w:rPr>
          <w:rFonts w:ascii="宋体" w:hAnsi="宋体" w:cs="宋体" w:eastAsia="宋体" w:hint="default"/>
          <w:sz w:val="21"/>
          <w:szCs w:val="21"/>
        </w:rPr>
        <w:t>30.29</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宋体" w:hAnsi="宋体" w:cs="宋体" w:eastAsia="宋体" w:hint="default"/>
          <w:sz w:val="21"/>
          <w:szCs w:val="21"/>
        </w:rPr>
        <w:t>，相应计提的坏账准备期末余额汇总金额</w:t>
      </w:r>
      <w:r>
        <w:rPr>
          <w:rFonts w:ascii="宋体" w:hAnsi="宋体" w:cs="宋体" w:eastAsia="宋体" w:hint="default"/>
          <w:spacing w:val="-55"/>
          <w:sz w:val="21"/>
          <w:szCs w:val="21"/>
        </w:rPr>
        <w:t> </w:t>
      </w:r>
      <w:r>
        <w:rPr>
          <w:rFonts w:ascii="宋体" w:hAnsi="宋体" w:cs="宋体" w:eastAsia="宋体" w:hint="default"/>
          <w:sz w:val="21"/>
          <w:szCs w:val="21"/>
        </w:rPr>
        <w:t>626,932.67</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z w:val="21"/>
          <w:szCs w:val="21"/>
        </w:rPr>
        <w:t>本期没有因金融资产转移而终止确认的应收款项。</w:t>
      </w:r>
    </w:p>
    <w:p>
      <w:pPr>
        <w:spacing w:line="535" w:lineRule="auto" w:before="64"/>
        <w:ind w:left="572" w:right="3654"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w:t>
      </w:r>
      <w:bookmarkStart w:name="(5)因金融资产转移而终止确认的应收账款" w:id="400"/>
      <w:bookmarkEnd w:id="400"/>
      <w:r>
        <w:rPr>
          <w:rFonts w:ascii="宋体" w:hAnsi="宋体" w:cs="宋体" w:eastAsia="宋体" w:hint="default"/>
          <w:b/>
          <w:bCs/>
          <w:sz w:val="21"/>
          <w:szCs w:val="21"/>
        </w:rPr>
        <w:t>金额</w:t>
      </w:r>
      <w:r>
        <w:rPr>
          <w:rFonts w:ascii="宋体" w:hAnsi="宋体" w:cs="宋体" w:eastAsia="宋体" w:hint="default"/>
          <w:b/>
          <w:bCs/>
          <w:w w:val="100"/>
          <w:sz w:val="21"/>
          <w:szCs w:val="21"/>
        </w:rPr>
        <w:t> </w:t>
      </w:r>
      <w:r>
        <w:rPr>
          <w:rFonts w:ascii="宋体" w:hAnsi="宋体" w:cs="宋体" w:eastAsia="宋体" w:hint="default"/>
          <w:spacing w:val="-2"/>
          <w:sz w:val="21"/>
          <w:szCs w:val="21"/>
        </w:rPr>
        <w:t>本期没有转移应收账款且继续涉入形成的资产、负债。</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35"/>
        <w:ind w:right="0"/>
        <w:jc w:val="left"/>
        <w:rPr>
          <w:b w:val="0"/>
          <w:bCs w:val="0"/>
        </w:rPr>
      </w:pPr>
      <w:r>
        <w:rPr>
          <w:rFonts w:ascii="宋体" w:hAnsi="宋体" w:cs="宋体" w:eastAsia="宋体" w:hint="default"/>
        </w:rPr>
        <w:t>(1)</w:t>
      </w:r>
      <w:r>
        <w:rPr/>
        <w:t>其他应收款分类披露</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bookmarkStart w:name="(6)转移应收账款且继续涉入形成的资产、负债金额" w:id="401"/>
            <w:bookmarkEnd w:id="401"/>
            <w:r>
              <w:rPr/>
            </w:r>
            <w:bookmarkStart w:name="2、其他应收款" w:id="402"/>
            <w:bookmarkEnd w:id="402"/>
            <w:r>
              <w:rPr/>
            </w: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bookmarkStart w:name="(1)其他应收款分类披露" w:id="403"/>
            <w:bookmarkEnd w:id="403"/>
            <w:r>
              <w:rPr/>
            </w: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485,874,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387.41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347,679.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485,526,7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07.43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31,786,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825.09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238,760.8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31,548,064.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D4D4D4"/>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485,874,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387.41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347,679.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485,526,7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07.43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31,786,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825.09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238,760.8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31,548,064.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3"/>
        <w:rPr>
          <w:rFonts w:ascii="宋体" w:hAnsi="宋体" w:cs="宋体" w:eastAsia="宋体" w:hint="default"/>
          <w:b/>
          <w:bCs/>
          <w:sz w:val="19"/>
          <w:szCs w:val="19"/>
        </w:rPr>
      </w:pPr>
    </w:p>
    <w:p>
      <w:pPr>
        <w:pStyle w:val="Heading4"/>
        <w:spacing w:line="352" w:lineRule="auto" w:before="36"/>
        <w:ind w:left="572" w:right="0"/>
        <w:jc w:val="left"/>
      </w:pPr>
      <w:bookmarkStart w:name="本期计提坏账准备金额108,919.13元；本期收回或转回坏账准备金额元。" w:id="404"/>
      <w:bookmarkEnd w:id="404"/>
      <w:r>
        <w:rPr/>
      </w:r>
      <w:bookmarkStart w:name="(3)本期没有实际核销的其他应收款情况" w:id="405"/>
      <w:bookmarkEnd w:id="405"/>
      <w:r>
        <w:rPr/>
      </w:r>
      <w:bookmarkStart w:name="(4)其他应收款按款项性质分类情况" w:id="406"/>
      <w:bookmarkEnd w:id="406"/>
      <w:r>
        <w:rPr/>
      </w:r>
      <w:r>
        <w:rPr>
          <w:spacing w:val="-2"/>
        </w:rPr>
        <w:t>期末没有单项金额重大并单独计提坏账准备的其他应收款。</w:t>
      </w:r>
      <w:r>
        <w:rPr>
          <w:spacing w:val="-55"/>
        </w:rPr>
        <w:t> </w:t>
      </w:r>
      <w:r>
        <w:rPr>
          <w:spacing w:val="-55"/>
        </w:rPr>
      </w:r>
      <w:r>
        <w:rPr/>
        <w:t>组合中，按账龄分析法计提坏账准备的其他应收款：</w:t>
      </w: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403" w:hRule="exact"/>
        </w:trPr>
        <w:tc>
          <w:tcPr>
            <w:tcW w:w="24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2"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25,163,019.13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125,815.10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25,163,019.13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125,815.10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pacing w:val="-1"/>
                <w:sz w:val="18"/>
              </w:rPr>
              <w:t>3,866,525.95</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193,326.30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15,385.85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1,538.58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Times New Roman" w:hAnsi="Times New Roman" w:cs="Times New Roman" w:eastAsia="Times New Roman" w:hint="default"/>
                <w:sz w:val="18"/>
                <w:szCs w:val="18"/>
              </w:rPr>
            </w:pPr>
            <w:r>
              <w:rPr>
                <w:rFonts w:ascii="Times New Roman"/>
                <w:sz w:val="18"/>
              </w:rPr>
              <w:t>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24,000.00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24,000.00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right"/>
              <w:rPr>
                <w:rFonts w:ascii="Times New Roman" w:hAnsi="Times New Roman" w:cs="Times New Roman" w:eastAsia="Times New Roman" w:hint="default"/>
                <w:sz w:val="18"/>
                <w:szCs w:val="18"/>
              </w:rPr>
            </w:pPr>
            <w:r>
              <w:rPr>
                <w:rFonts w:ascii="Times New Roman"/>
                <w:spacing w:val="-1"/>
                <w:sz w:val="18"/>
              </w:rPr>
              <w:t>29,074,930.93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347,679.98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1.20%</w:t>
            </w:r>
          </w:p>
        </w:tc>
      </w:tr>
    </w:tbl>
    <w:p>
      <w:pPr>
        <w:pStyle w:val="Heading4"/>
        <w:spacing w:line="343" w:lineRule="auto" w:before="53"/>
        <w:ind w:left="572" w:right="3654"/>
        <w:jc w:val="left"/>
      </w:pPr>
      <w:r>
        <w:rPr/>
        <w:t>确定该组合依据的说明：详见本附注五、</w:t>
      </w:r>
      <w:r>
        <w:rPr>
          <w:rFonts w:ascii="宋体" w:hAnsi="宋体" w:cs="宋体" w:eastAsia="宋体" w:hint="default"/>
        </w:rPr>
        <w:t>11</w:t>
      </w:r>
      <w:r>
        <w:rPr/>
        <w:t>。</w:t>
      </w:r>
      <w:r>
        <w:rPr>
          <w:w w:val="100"/>
        </w:rPr>
        <w:t> </w:t>
      </w:r>
      <w:r>
        <w:rPr>
          <w:spacing w:val="-2"/>
        </w:rPr>
        <w:t>组合中，采用其他方法计提坏账准备的其他应收款：</w:t>
      </w: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494"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448,254,203.97</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8,545,252.51</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456,799,456.48</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ind w:left="642" w:right="0"/>
        <w:jc w:val="left"/>
        <w:rPr>
          <w:b w:val="0"/>
          <w:bCs w:val="0"/>
        </w:rPr>
      </w:pPr>
      <w:r>
        <w:rPr>
          <w:rFonts w:ascii="宋体" w:hAnsi="宋体" w:cs="宋体" w:eastAsia="宋体" w:hint="default"/>
        </w:rPr>
        <w:t>(2)</w:t>
      </w:r>
      <w:r>
        <w:rPr/>
        <w:t>本期计提、收回或转回的坏账准备情况</w:t>
      </w:r>
      <w:r>
        <w:rPr>
          <w:b w:val="0"/>
          <w:bCs w:val="0"/>
        </w:rPr>
      </w:r>
    </w:p>
    <w:p>
      <w:pPr>
        <w:spacing w:line="240" w:lineRule="auto" w:before="12"/>
        <w:rPr>
          <w:rFonts w:ascii="宋体" w:hAnsi="宋体" w:cs="宋体" w:eastAsia="宋体" w:hint="default"/>
          <w:b/>
          <w:bCs/>
          <w:sz w:val="25"/>
          <w:szCs w:val="25"/>
        </w:rPr>
      </w:pPr>
    </w:p>
    <w:p>
      <w:pPr>
        <w:spacing w:line="535" w:lineRule="auto" w:before="0"/>
        <w:ind w:left="642" w:right="2468"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6"/>
          <w:sz w:val="21"/>
          <w:szCs w:val="21"/>
        </w:rPr>
        <w:t> </w:t>
      </w:r>
      <w:r>
        <w:rPr>
          <w:rFonts w:ascii="宋体" w:hAnsi="宋体" w:cs="宋体" w:eastAsia="宋体" w:hint="default"/>
          <w:sz w:val="21"/>
          <w:szCs w:val="21"/>
        </w:rPr>
        <w:t>108,919.13</w:t>
      </w:r>
      <w:r>
        <w:rPr>
          <w:rFonts w:ascii="宋体" w:hAnsi="宋体" w:cs="宋体" w:eastAsia="宋体" w:hint="default"/>
          <w:spacing w:val="-58"/>
          <w:sz w:val="21"/>
          <w:szCs w:val="21"/>
        </w:rPr>
        <w:t> </w:t>
      </w:r>
      <w:r>
        <w:rPr>
          <w:rFonts w:ascii="宋体" w:hAnsi="宋体" w:cs="宋体" w:eastAsia="宋体" w:hint="default"/>
          <w:sz w:val="21"/>
          <w:szCs w:val="21"/>
        </w:rPr>
        <w:t>元；本期收回或转回坏账准备金额元。</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本期没有实际核销的其他应收款情况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12,025,510.93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bookmarkStart w:name="(2)本期计提、收回或转回的坏账准备情况" w:id="407"/>
            <w:bookmarkEnd w:id="407"/>
            <w:r>
              <w:rPr/>
            </w:r>
            <w:r>
              <w:rPr>
                <w:rFonts w:ascii="Times New Roman"/>
                <w:spacing w:val="-1"/>
                <w:sz w:val="18"/>
              </w:rPr>
              <w:t>3,400,000.00</w:t>
            </w:r>
            <w:r>
              <w:rPr>
                <w:rFonts w:ascii="Times New Roman"/>
                <w:sz w:val="18"/>
              </w:rPr>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8,545,252.51</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6,419,335.18</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12,638,970.65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21,760,018.28</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452,664,653.32</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207,471.63</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485,874,387.41</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31,786,825.09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3"/>
        <w:spacing w:line="240" w:lineRule="auto"/>
        <w:ind w:right="0"/>
        <w:jc w:val="left"/>
        <w:rPr>
          <w:b w:val="0"/>
          <w:bCs w:val="0"/>
        </w:rPr>
      </w:pPr>
      <w:bookmarkStart w:name="(1)对子公司投资" w:id="408"/>
      <w:bookmarkEnd w:id="408"/>
      <w:r>
        <w:rPr>
          <w:b w:val="0"/>
          <w:bCs w:val="0"/>
        </w:rPr>
      </w:r>
      <w:r>
        <w:rPr>
          <w:rFonts w:ascii="宋体" w:hAnsi="宋体" w:cs="宋体" w:eastAsia="宋体"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77" w:right="0"/>
              <w:jc w:val="left"/>
              <w:rPr>
                <w:rFonts w:ascii="宋体" w:hAnsi="宋体" w:cs="宋体" w:eastAsia="宋体" w:hint="default"/>
                <w:sz w:val="18"/>
                <w:szCs w:val="18"/>
              </w:rPr>
            </w:pPr>
            <w:bookmarkStart w:name="(5)按欠款方归集的期末余额前五名的其他应收款情况" w:id="409"/>
            <w:bookmarkEnd w:id="409"/>
            <w:r>
              <w:rPr/>
            </w: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合并关联方一</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合并关联方二</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173,866,407.26</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合并关联方三</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20,033,229.40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8,545,252.51</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27,150.00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457,474,889.17</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27,150.00</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(6)</w:t>
      </w:r>
      <w:r>
        <w:rPr/>
        <w:t>涉及政府补助的应收款项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BodyText"/>
        <w:spacing w:line="240" w:lineRule="auto" w:before="44"/>
        <w:ind w:left="0" w:right="172"/>
        <w:jc w:val="right"/>
      </w:pPr>
      <w:r>
        <w:rPr/>
        <w:pict>
          <v:shape style="position:absolute;margin-left:56.400002pt;margin-top:-36.36829pt;width:479.2pt;height:109.6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6"/>
                    <w:gridCol w:w="1277"/>
                    <w:gridCol w:w="1277"/>
                    <w:gridCol w:w="1133"/>
                    <w:gridCol w:w="2906"/>
                  </w:tblGrid>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55" w:right="89"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9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r>
                    <w:trPr>
                      <w:trHeight w:val="106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广州经济技术开发区国家税务局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6"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8,545,252.51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、收取的时间：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、收取的金额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8,545,252.51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03"/>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、依据出口退税的申报表核算</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7" w:right="0"/>
                          <w:jc w:val="left"/>
                          <w:rPr>
                            <w:rFonts w:ascii="Times New Roman" w:hAnsi="Times New Roman" w:cs="Times New Roman" w:eastAsia="Times New Roman" w:hint="default"/>
                            <w:sz w:val="18"/>
                            <w:szCs w:val="18"/>
                          </w:rPr>
                        </w:pPr>
                        <w:r>
                          <w:rPr>
                            <w:rFonts w:ascii="Times New Roman"/>
                            <w:sz w:val="18"/>
                          </w:rPr>
                          <w:t>8,545,252.51</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9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bookmarkStart w:name="(6)涉及政府补助的应收款项" w:id="410"/>
      <w:bookmarkEnd w:id="410"/>
      <w:r>
        <w:rPr/>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535" w:lineRule="auto"/>
        <w:ind w:right="3654"/>
        <w:jc w:val="left"/>
        <w:rPr>
          <w:b w:val="0"/>
          <w:bCs w:val="0"/>
        </w:rPr>
      </w:pPr>
      <w:r>
        <w:rPr>
          <w:rFonts w:ascii="宋体" w:hAnsi="宋体" w:cs="宋体" w:eastAsia="宋体" w:hint="default"/>
        </w:rPr>
        <w:t>(7)</w:t>
      </w:r>
      <w:r>
        <w:rPr/>
        <w:t>本期没有因金融资产转移而终止确认的应收款项。</w:t>
      </w:r>
      <w:r>
        <w:rPr>
          <w:w w:val="100"/>
        </w:rPr>
        <w:t> </w:t>
      </w:r>
      <w:r>
        <w:rPr>
          <w:rFonts w:ascii="宋体" w:hAnsi="宋体" w:cs="宋体" w:eastAsia="宋体" w:hint="default"/>
          <w:spacing w:val="-1"/>
        </w:rPr>
        <w:t>(8)</w:t>
      </w:r>
      <w:r>
        <w:rPr>
          <w:spacing w:val="-1"/>
        </w:rPr>
        <w:t>本期没有转移应收账款且继续涉入形成的资产、负债。</w:t>
      </w:r>
      <w:r>
        <w:rPr>
          <w:spacing w:val="-81"/>
        </w:rPr>
        <w:t> </w:t>
      </w:r>
      <w:r>
        <w:rPr>
          <w:spacing w:val="-81"/>
        </w:rPr>
      </w:r>
      <w:r>
        <w:rPr>
          <w:rFonts w:ascii="Times New Roman" w:hAnsi="Times New Roman" w:cs="Times New Roman" w:eastAsia="Times New Roman" w:hint="default"/>
        </w:rPr>
        <w:t>3</w:t>
      </w:r>
      <w:r>
        <w:rPr/>
        <w:t>、长期股权投资</w:t>
      </w:r>
      <w:r>
        <w:rPr>
          <w:b w:val="0"/>
          <w:bCs w:val="0"/>
        </w:rPr>
      </w:r>
    </w:p>
    <w:p>
      <w:pPr>
        <w:spacing w:line="240" w:lineRule="auto" w:before="11"/>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1973"/>
        <w:gridCol w:w="1418"/>
        <w:gridCol w:w="991"/>
        <w:gridCol w:w="1418"/>
        <w:gridCol w:w="1418"/>
        <w:gridCol w:w="972"/>
        <w:gridCol w:w="1368"/>
      </w:tblGrid>
      <w:tr>
        <w:trPr>
          <w:trHeight w:val="206" w:hRule="exact"/>
        </w:trPr>
        <w:tc>
          <w:tcPr>
            <w:tcW w:w="197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7)本期没有因金融资产转移而终止确认的应收款项。" w:id="411"/>
            <w:bookmarkEnd w:id="411"/>
            <w:r>
              <w:rPr/>
            </w:r>
            <w:r>
              <w:rPr>
                <w:rFonts w:ascii="宋体" w:hAnsi="宋体" w:cs="宋体" w:eastAsia="宋体" w:hint="default"/>
                <w:sz w:val="18"/>
                <w:szCs w:val="18"/>
              </w:rPr>
              <w:t>期初余额</w:t>
            </w:r>
          </w:p>
        </w:tc>
      </w:tr>
      <w:tr>
        <w:trPr>
          <w:trHeight w:val="190" w:hRule="exact"/>
        </w:trPr>
        <w:tc>
          <w:tcPr>
            <w:tcW w:w="197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3"/>
            <w:vMerge/>
            <w:tcBorders>
              <w:left w:val="single" w:sz="4" w:space="0" w:color="000000"/>
              <w:bottom w:val="single" w:sz="4" w:space="0" w:color="000000"/>
              <w:right w:val="single" w:sz="4" w:space="0" w:color="000000"/>
            </w:tcBorders>
            <w:shd w:val="clear" w:color="auto" w:fill="D4D4D4"/>
          </w:tcPr>
          <w:p>
            <w:pPr/>
          </w:p>
        </w:tc>
        <w:tc>
          <w:tcPr>
            <w:tcW w:w="3758"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73" w:type="dxa"/>
            <w:vMerge/>
            <w:tcBorders>
              <w:left w:val="single" w:sz="4" w:space="0" w:color="000000"/>
              <w:bottom w:val="nil" w:sz="6" w:space="0" w:color="auto"/>
              <w:right w:val="single" w:sz="4" w:space="0" w:color="000000"/>
            </w:tcBorders>
            <w:shd w:val="clear" w:color="auto" w:fill="D4D4D4"/>
          </w:tcPr>
          <w:p>
            <w:pP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22" w:right="0"/>
              <w:jc w:val="left"/>
              <w:rPr>
                <w:rFonts w:ascii="宋体" w:hAnsi="宋体" w:cs="宋体" w:eastAsia="宋体" w:hint="default"/>
                <w:sz w:val="18"/>
                <w:szCs w:val="18"/>
              </w:rPr>
            </w:pPr>
            <w:bookmarkStart w:name="(8)本期没有转移应收账款且继续涉入形成的资产、负债。" w:id="412"/>
            <w:bookmarkEnd w:id="412"/>
            <w:r>
              <w:rPr/>
            </w: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bookmarkStart w:name="3、长期股权投资" w:id="413"/>
            <w:bookmarkEnd w:id="413"/>
            <w:r>
              <w:rPr/>
            </w:r>
            <w:r>
              <w:rPr>
                <w:rFonts w:ascii="宋体" w:hAnsi="宋体" w:cs="宋体" w:eastAsia="宋体" w:hint="default"/>
                <w:sz w:val="18"/>
                <w:szCs w:val="18"/>
              </w:rPr>
              <w:t>账面价值</w:t>
            </w:r>
          </w:p>
        </w:tc>
      </w:tr>
      <w:tr>
        <w:trPr>
          <w:trHeight w:val="206" w:hRule="exact"/>
        </w:trPr>
        <w:tc>
          <w:tcPr>
            <w:tcW w:w="19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991"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1418" w:type="dxa"/>
            <w:vMerge/>
            <w:tcBorders>
              <w:left w:val="single" w:sz="4" w:space="0" w:color="000000"/>
              <w:bottom w:val="single" w:sz="4" w:space="0" w:color="000000"/>
              <w:right w:val="single" w:sz="4" w:space="0" w:color="000000"/>
            </w:tcBorders>
            <w:shd w:val="clear" w:color="auto" w:fill="D4D4D4"/>
          </w:tcPr>
          <w:p>
            <w:pPr/>
          </w:p>
        </w:tc>
        <w:tc>
          <w:tcPr>
            <w:tcW w:w="972"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643,994,158.48</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643,994,158.48</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583,026,601.22</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583,026,601.22</w:t>
            </w:r>
            <w:r>
              <w:rPr>
                <w:rFonts w:ascii="Times New Roman"/>
                <w:sz w:val="18"/>
              </w:rPr>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65,939,015.88</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65,939,015.88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65,872,732.92</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65,872,732.92</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709,933,174.36</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709,933,174.36</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648,899,334.14</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648,899,334.14</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ind w:left="678" w:right="0"/>
        <w:jc w:val="left"/>
        <w:rPr>
          <w:b w:val="0"/>
          <w:bCs w:val="0"/>
        </w:rPr>
      </w:pPr>
      <w:r>
        <w:rPr>
          <w:rFonts w:ascii="宋体" w:hAnsi="宋体" w:cs="宋体" w:eastAsia="宋体" w:hint="default"/>
        </w:rPr>
        <w:t>(1)</w:t>
      </w:r>
      <w:r>
        <w:rPr/>
        <w:t>对子公司投资</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深圳广电银通金 融电子有限公司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95,532,442.74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95,532,442.74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广州穗通金融服</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25,500,000.00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982" w:header="877" w:top="1100" w:bottom="1180" w:left="980" w:right="980"/>
          <w:pgNumType w:start="17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42"/>
              <w:jc w:val="left"/>
              <w:rPr>
                <w:rFonts w:ascii="Times New Roman" w:hAnsi="Times New Roman" w:cs="Times New Roman" w:eastAsia="Times New Roman" w:hint="default"/>
                <w:sz w:val="18"/>
                <w:szCs w:val="18"/>
              </w:rPr>
            </w:pPr>
            <w:r>
              <w:rPr>
                <w:rFonts w:ascii="Times New Roman"/>
                <w:sz w:val="18"/>
              </w:rPr>
              <w:t>GRG</w:t>
            </w:r>
            <w:r>
              <w:rPr>
                <w:rFonts w:ascii="Times New Roman"/>
                <w:spacing w:val="-4"/>
                <w:sz w:val="18"/>
              </w:rPr>
              <w:t> </w:t>
            </w:r>
            <w:r>
              <w:rPr>
                <w:rFonts w:ascii="Times New Roman"/>
                <w:sz w:val="18"/>
              </w:rPr>
              <w:t>Banking</w:t>
            </w:r>
            <w:r>
              <w:rPr>
                <w:rFonts w:ascii="Times New Roman"/>
                <w:sz w:val="18"/>
              </w:rPr>
              <w:t> Equipment(HK)</w:t>
            </w:r>
            <w:r>
              <w:rPr>
                <w:rFonts w:ascii="Times New Roman"/>
                <w:w w:val="99"/>
                <w:sz w:val="18"/>
              </w:rPr>
              <w:t> </w:t>
            </w:r>
            <w:r>
              <w:rPr>
                <w:rFonts w:ascii="Times New Roman"/>
                <w:sz w:val="18"/>
              </w:rPr>
              <w:t>Co.,Limited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20,268,540.00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20,268,540.00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广州支点创业投 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广州中智融通金 融科技有限公司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广州市龙源环保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150,971,193.64</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150,971,193.64</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广州广电汇通金 融服务有限公司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广州广电银通金 融电子科技有限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80,754,424.84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80,754,424.84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广州广电运通信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深圳创自技术有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136,500,000.00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136,500,000.00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583,026,601.22</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156,500,000.00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95,532,442.74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643,994,158.48</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宋体" w:hAnsi="宋体" w:cs="宋体" w:eastAsia="宋体" w:hint="default"/>
        </w:rPr>
        <w:t>(2)</w:t>
      </w:r>
      <w:r>
        <w:rPr/>
        <w:t>对联营、合营企业投资</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bookmarkStart w:name="(2)对联营、合营企业投资" w:id="414"/>
            <w:bookmarkEnd w:id="414"/>
            <w:r>
              <w:rPr/>
            </w: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广州市广 百小额贷 款有限公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64,965,08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3,191,848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4,430,051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63,726,87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广州市力 沛企业管 理咨询有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907,650.4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1,941,371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636,885.3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65,872,73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5,133,220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5,066,937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65,939,01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5.88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1"/>
        <w:rPr>
          <w:rFonts w:ascii="宋体" w:hAnsi="宋体" w:cs="宋体" w:eastAsia="宋体" w:hint="default"/>
          <w:b/>
          <w:bCs/>
          <w:sz w:val="20"/>
          <w:szCs w:val="20"/>
        </w:rPr>
      </w:pPr>
    </w:p>
    <w:p>
      <w:pPr>
        <w:pStyle w:val="Heading3"/>
        <w:spacing w:line="240" w:lineRule="auto"/>
        <w:ind w:right="0"/>
        <w:jc w:val="left"/>
        <w:rPr>
          <w:b w:val="0"/>
          <w:bCs w:val="0"/>
        </w:rPr>
      </w:pPr>
      <w:bookmarkStart w:name="2、净资产收益率及每股收益" w:id="415"/>
      <w:bookmarkEnd w:id="41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4"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bookmarkStart w:name="4、营业收入和营业成本" w:id="416"/>
            <w:bookmarkEnd w:id="416"/>
            <w:r>
              <w:rPr/>
            </w: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2,918,565,820.08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1,446,613,850.52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2,521,812,899.64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1,184,385,526.42</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2,918,565,820.08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1,446,613,850.52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2,521,812,899.64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1,184,385,526.42</w:t>
            </w:r>
          </w:p>
        </w:tc>
      </w:tr>
    </w:tbl>
    <w:p>
      <w:pPr>
        <w:spacing w:line="240" w:lineRule="auto" w:before="3"/>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bookmarkStart w:name="5、投资收益" w:id="417"/>
            <w:bookmarkEnd w:id="417"/>
            <w:r>
              <w:rPr/>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4D4D4"/>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100,000,000.00</w:t>
            </w:r>
            <w:r>
              <w:rPr>
                <w:rFonts w:ascii="Times New Roman"/>
                <w:sz w:val="18"/>
              </w:rPr>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5,133,220.09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5,629,930.15</w:t>
            </w:r>
            <w:r>
              <w:rPr>
                <w:rFonts w:ascii="Times New Roman"/>
                <w:sz w:val="18"/>
              </w:rPr>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委托理财收益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37,518,989.04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41,034,128.73</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42,652,209.13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146,664,058.88</w:t>
            </w:r>
            <w:r>
              <w:rPr>
                <w:rFonts w:ascii="Times New Roman"/>
                <w:sz w:val="18"/>
              </w:rPr>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十八、补充资料" w:id="418"/>
      <w:bookmarkEnd w:id="418"/>
      <w:r>
        <w:rPr/>
      </w:r>
      <w:bookmarkStart w:name="1、当期非经常性损益明细表" w:id="419"/>
      <w:bookmarkEnd w:id="419"/>
      <w:r>
        <w:rPr/>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4"/>
        <w:gridCol w:w="2280"/>
        <w:gridCol w:w="1913"/>
      </w:tblGrid>
      <w:tr>
        <w:trPr>
          <w:trHeight w:val="401"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104,225.62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7"/>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定额或定量享受的政府补助除外）</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45,961,623.49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43,259,054.46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1,552,939.58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14,421,997.79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8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2,269,931.28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8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74,185,914.08</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376" w:lineRule="auto" w:before="64"/>
        <w:ind w:left="572" w:right="3654"/>
        <w:jc w:val="left"/>
      </w:pPr>
      <w:r>
        <w:rPr/>
        <w:t>对非经常性损益项目的其他说明：</w:t>
      </w:r>
      <w:r>
        <w:rPr>
          <w:w w:val="100"/>
        </w:rPr>
        <w:t> </w:t>
      </w:r>
      <w:r>
        <w:rPr>
          <w:spacing w:val="-2"/>
        </w:rPr>
        <w:t>本公司将计入当期损益的以下政府补助作为经常性损益：</w:t>
      </w: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政府补助中的增值税返还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181,675,223.38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每年均有</w:t>
            </w:r>
          </w:p>
        </w:tc>
      </w:tr>
    </w:tbl>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535"/>
        <w:gridCol w:w="1207"/>
        <w:gridCol w:w="3826"/>
      </w:tblGrid>
      <w:tr>
        <w:trPr>
          <w:trHeight w:val="391" w:hRule="exact"/>
        </w:trPr>
        <w:tc>
          <w:tcPr>
            <w:tcW w:w="4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加权平均净资</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513"/>
        <w:gridCol w:w="1218"/>
        <w:gridCol w:w="1913"/>
        <w:gridCol w:w="1913"/>
      </w:tblGrid>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2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8" w:right="0"/>
              <w:jc w:val="left"/>
              <w:rPr>
                <w:rFonts w:ascii="宋体" w:hAnsi="宋体" w:cs="宋体" w:eastAsia="宋体" w:hint="default"/>
                <w:sz w:val="18"/>
                <w:szCs w:val="18"/>
              </w:rPr>
            </w:pPr>
            <w:r>
              <w:rPr>
                <w:rFonts w:ascii="宋体" w:hAnsi="宋体" w:cs="宋体" w:eastAsia="宋体" w:hint="default"/>
                <w:sz w:val="18"/>
                <w:szCs w:val="18"/>
              </w:rPr>
              <w:t>产收益率</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18" w:type="dxa"/>
            <w:tcBorders>
              <w:top w:val="single" w:sz="15" w:space="0" w:color="D4D4D4"/>
              <w:left w:val="single" w:sz="12" w:space="0" w:color="D4D4D4"/>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18"/>
                <w:szCs w:val="18"/>
              </w:rPr>
            </w:pPr>
            <w:r>
              <w:rPr>
                <w:rFonts w:ascii="Times New Roman"/>
                <w:sz w:val="18"/>
              </w:rPr>
              <w:t>20.98%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r>
          </w:p>
        </w:tc>
      </w:tr>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1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0.92</w:t>
            </w:r>
            <w:r>
              <w:rPr>
                <w:rFonts w:ascii="Times New Roman"/>
                <w:sz w:val="18"/>
              </w:rPr>
            </w:r>
          </w:p>
        </w:tc>
      </w:tr>
    </w:tbl>
    <w:p>
      <w:pPr>
        <w:spacing w:line="240" w:lineRule="auto" w:before="3"/>
        <w:rPr>
          <w:rFonts w:ascii="宋体" w:hAnsi="宋体" w:cs="宋体" w:eastAsia="宋体" w:hint="default"/>
          <w:b/>
          <w:bCs/>
          <w:sz w:val="19"/>
          <w:szCs w:val="19"/>
        </w:rPr>
      </w:pPr>
    </w:p>
    <w:p>
      <w:pPr>
        <w:spacing w:line="626" w:lineRule="auto" w:before="36"/>
        <w:ind w:left="700" w:right="5634" w:hanging="128"/>
        <w:jc w:val="left"/>
        <w:rPr>
          <w:rFonts w:ascii="宋体" w:hAnsi="宋体" w:cs="宋体" w:eastAsia="宋体" w:hint="default"/>
          <w:sz w:val="21"/>
          <w:szCs w:val="21"/>
        </w:rPr>
      </w:pPr>
      <w:r>
        <w:rPr>
          <w:rFonts w:ascii="宋体" w:hAnsi="宋体" w:cs="宋体" w:eastAsia="宋体" w:hint="default"/>
          <w:b/>
          <w:bCs/>
          <w:spacing w:val="-1"/>
          <w:sz w:val="21"/>
          <w:szCs w:val="21"/>
        </w:rPr>
        <w:t>3</w:t>
      </w:r>
      <w:bookmarkStart w:name="3、境内外会计准则下会计数据差异" w:id="420"/>
      <w:bookmarkEnd w:id="420"/>
      <w:r>
        <w:rPr>
          <w:rFonts w:ascii="宋体" w:hAnsi="宋体" w:cs="宋体" w:eastAsia="宋体" w:hint="default"/>
          <w:b/>
          <w:bCs/>
          <w:spacing w:val="-1"/>
          <w:sz w:val="21"/>
          <w:szCs w:val="21"/>
        </w:rPr>
      </w:r>
      <w:r>
        <w:rPr>
          <w:rFonts w:ascii="宋体" w:hAnsi="宋体" w:cs="宋体" w:eastAsia="宋体" w:hint="default"/>
          <w:b/>
          <w:bCs/>
          <w:spacing w:val="-1"/>
          <w:sz w:val="21"/>
          <w:szCs w:val="21"/>
        </w:rPr>
        <w:t>、境内外会计准则下会计数据差异</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本期未发生此事</w:t>
      </w:r>
      <w:bookmarkStart w:name="本期未发生此事项。" w:id="421"/>
      <w:bookmarkEnd w:id="421"/>
      <w:r>
        <w:rPr>
          <w:rFonts w:ascii="宋体" w:hAnsi="宋体" w:cs="宋体" w:eastAsia="宋体" w:hint="default"/>
          <w:sz w:val="21"/>
          <w:szCs w:val="21"/>
        </w:rPr>
        <w:t>项。</w:t>
      </w:r>
    </w:p>
    <w:p>
      <w:pPr>
        <w:spacing w:after="0" w:line="62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pStyle w:val="Heading1"/>
        <w:spacing w:line="240" w:lineRule="auto" w:before="173"/>
        <w:ind w:left="3284" w:right="0"/>
        <w:jc w:val="left"/>
        <w:rPr>
          <w:b w:val="0"/>
          <w:bCs w:val="0"/>
        </w:rPr>
      </w:pPr>
      <w:bookmarkStart w:name="第十一节 备查文件目录" w:id="422"/>
      <w:bookmarkEnd w:id="422"/>
      <w:r>
        <w:rPr>
          <w:b w:val="0"/>
          <w:bCs w:val="0"/>
        </w:rPr>
      </w:r>
      <w:bookmarkStart w:name="_bookmark10" w:id="423"/>
      <w:bookmarkEnd w:id="423"/>
      <w:r>
        <w:rPr>
          <w:b w:val="0"/>
          <w:bCs w:val="0"/>
        </w:rPr>
      </w:r>
      <w:r>
        <w:rPr/>
        <w:t>第十一节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52" w:lineRule="auto"/>
        <w:ind w:left="440" w:right="0"/>
        <w:jc w:val="left"/>
      </w:pPr>
      <w:r>
        <w:rPr/>
        <w:t>一、载有董事长签名的</w:t>
      </w:r>
      <w:r>
        <w:rPr>
          <w:rFonts w:ascii="Times New Roman" w:hAnsi="Times New Roman" w:cs="Times New Roman" w:eastAsia="Times New Roman" w:hint="default"/>
        </w:rPr>
        <w:t>2015</w:t>
      </w:r>
      <w:r>
        <w:rPr/>
        <w:t>年年度报告全文； 二、载有法定代表人、主管会计工作负责人、会计机构负责人签名并盖章的财务报表； 三、载有会计师事务所盖章、注册会计师签名并盖章的审计报告原件； </w:t>
      </w:r>
      <w:r>
        <w:rPr>
          <w:spacing w:val="-1"/>
        </w:rPr>
        <w:t>四、报告期内，公司在《证券时报》和巨潮资讯网（</w:t>
      </w:r>
      <w:hyperlink r:id="rId11">
        <w:r>
          <w:rPr>
            <w:rFonts w:ascii="Times New Roman" w:hAnsi="Times New Roman" w:cs="Times New Roman" w:eastAsia="Times New Roman" w:hint="default"/>
            <w:spacing w:val="-1"/>
          </w:rPr>
          <w:t>www.cninfo.com.cn</w:t>
        </w:r>
      </w:hyperlink>
      <w:r>
        <w:rPr>
          <w:spacing w:val="-1"/>
        </w:rPr>
        <w:t>）上公开披露过的所有公司文件的正本及公告的</w:t>
      </w:r>
    </w:p>
    <w:p>
      <w:pPr>
        <w:pStyle w:val="BodyText"/>
        <w:spacing w:line="205" w:lineRule="exact"/>
        <w:ind w:right="0"/>
        <w:jc w:val="left"/>
      </w:pPr>
      <w:r>
        <w:rPr/>
        <w:t>原稿。</w:t>
      </w:r>
    </w:p>
    <w:p>
      <w:pPr>
        <w:pStyle w:val="BodyText"/>
        <w:spacing w:line="240" w:lineRule="auto" w:before="115"/>
        <w:ind w:left="572" w:right="0"/>
        <w:jc w:val="left"/>
      </w:pPr>
      <w:r>
        <w:rPr/>
        <w:t>上述文件备置于公司证券部备查。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BodyText"/>
        <w:spacing w:line="516" w:lineRule="auto"/>
        <w:ind w:left="7628" w:right="136" w:hanging="718"/>
        <w:jc w:val="left"/>
      </w:pPr>
      <w:r>
        <w:rPr/>
        <w:t>广州广电运通金融电子股份有限公司 董事长： 赵友永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123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123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1123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983pt;margin-top:535.237915pt;width:13.15pt;height:11pt;mso-position-horizontal-relative:page;mso-position-vertical-relative:page;z-index:-1123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23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123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1123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23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1123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pt;margin-top:36.265610pt;width:222.7pt;height:11.5pt;mso-position-horizontal-relative:page;mso-position-vertical-relative:page;z-index:-1123768"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123744"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08pt;margin-top:42.865608pt;width:231.7pt;height:11.5pt;mso-position-horizontal-relative:page;mso-position-vertical-relative:page;z-index:-1123720"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123648"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26pt;margin-top:42.865608pt;width:213.7pt;height:11.5pt;mso-position-horizontal-relative:page;mso-position-vertical-relative:page;z-index:-1123624"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359985pt;margin-top:42.865631pt;width:213.7pt;height:11.5pt;mso-position-horizontal-relative:page;mso-position-vertical-relative:page;z-index:-1123600"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8pt;height:.1pt;mso-position-horizontal-relative:page;mso-position-vertical-relative:page;z-index:-1123528" coordorigin="1104,1111" coordsize="9696,2">
          <v:shape style="position:absolute;left:1104;top:1111;width:9696;height:2" coordorigin="1104,1111" coordsize="9696,0" path="m1104,1111l10800,1111e" filled="false" stroked="true" strokeweight=".72pt" strokecolor="#000000">
            <v:path arrowok="t"/>
          </v:shape>
          <w10:wrap type="none"/>
        </v:group>
      </w:pict>
    </w:r>
    <w:r>
      <w:rPr/>
      <w:pict>
        <v:shape style="position:absolute;margin-left:326pt;margin-top:42.865608pt;width:213.7pt;height:11.5pt;mso-position-horizontal-relative:page;mso-position-vertical-relative:page;z-index:-1123504" type="#_x0000_t202" filled="false" stroked="false">
          <v:textbox inset="0,0,0,0">
            <w:txbxContent>
              <w:p>
                <w:pPr>
                  <w:pStyle w:val="BodyText"/>
                  <w:spacing w:line="214" w:lineRule="exact"/>
                  <w:ind w:left="20" w:right="0"/>
                  <w:jc w:val="left"/>
                </w:pPr>
                <w:r>
                  <w:rPr/>
                  <w:t>广州广电运通金融电子股份有限公司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82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6"/>
      <w:ind w:left="572"/>
      <w:outlineLvl w:val="3"/>
    </w:pPr>
    <w:rPr>
      <w:rFonts w:ascii="宋体" w:hAnsi="宋体" w:eastAsia="宋体"/>
      <w:b/>
      <w:bCs/>
      <w:sz w:val="21"/>
      <w:szCs w:val="21"/>
    </w:rPr>
  </w:style>
  <w:style w:styleId="Heading4" w:type="paragraph">
    <w:name w:val="Heading 4"/>
    <w:basedOn w:val="Normal"/>
    <w:uiPriority w:val="1"/>
    <w:qFormat/>
    <w:pPr>
      <w:spacing w:before="26"/>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http://www.grgbanking.com/" TargetMode="External"/><Relationship Id="rId10" Type="http://schemas.openxmlformats.org/officeDocument/2006/relationships/hyperlink" Target="mailto:securities@grgbanking.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hyperlink" Target="http://ww/" TargetMode="External"/><Relationship Id="rId14" Type="http://schemas.openxmlformats.org/officeDocument/2006/relationships/hyperlink" Target="http://finance.ifeng.com/app/hq/stock/sh601008/" TargetMode="External"/><Relationship Id="rId15" Type="http://schemas.openxmlformats.org/officeDocument/2006/relationships/hyperlink" Target="http://app.travel.ifeng.com/city_detail_327" TargetMode="External"/><Relationship Id="rId16" Type="http://schemas.openxmlformats.org/officeDocument/2006/relationships/hyperlink" Target="http://app.travel.ifeng.com/city_detail_98" TargetMode="External"/><Relationship Id="rId17" Type="http://schemas.openxmlformats.org/officeDocument/2006/relationships/footer" Target="footer2.xml"/><Relationship Id="rId18" Type="http://schemas.openxmlformats.org/officeDocument/2006/relationships/hyperlink" Target="http://disclosure.szse.cn/m/finalpage/2015-03-11/1200687927.PDF" TargetMode="External"/><Relationship Id="rId19" Type="http://schemas.openxmlformats.org/officeDocument/2006/relationships/hyperlink" Target="http://disclosure.szse.cn/m/finalpage/2015-03-11/1200687930.PDF" TargetMode="External"/><Relationship Id="rId20" Type="http://schemas.openxmlformats.org/officeDocument/2006/relationships/hyperlink" Target="http://disclosure.szse.cn/m/finalpage/2015-03-11/1200687931.PDF" TargetMode="External"/><Relationship Id="rId21" Type="http://schemas.openxmlformats.org/officeDocument/2006/relationships/hyperlink" Target="http://disclosure.szse.cn/m/finalpage/2015-03-11/1200687934.PDF" TargetMode="External"/><Relationship Id="rId22" Type="http://schemas.openxmlformats.org/officeDocument/2006/relationships/hyperlink" Target="http://disclosure.szse.cn/m/finalpage/2015-04-17/1200849145.PDF" TargetMode="External"/><Relationship Id="rId23" Type="http://schemas.openxmlformats.org/officeDocument/2006/relationships/hyperlink" Target="http://disclosure.szse.cn/m/finalpage/2015-08-03/1201383088.PDF" TargetMode="External"/><Relationship Id="rId24" Type="http://schemas.openxmlformats.org/officeDocument/2006/relationships/hyperlink" Target="http://disclosure.szse.cn/m/finalpage/2015-08-03/1201383091.PDF" TargetMode="External"/><Relationship Id="rId25" Type="http://schemas.openxmlformats.org/officeDocument/2006/relationships/hyperlink" Target="http://disclosure.szse.cn/m/finalpage/2015-10-10/1201674705.PDF" TargetMode="External"/><Relationship Id="rId26" Type="http://schemas.openxmlformats.org/officeDocument/2006/relationships/hyperlink" Target="http://disclosure.szse.cn/m/finalpage/2015-10-10/1201674709.PDF" TargetMode="External"/><Relationship Id="rId27" Type="http://schemas.openxmlformats.org/officeDocument/2006/relationships/hyperlink" Target="http://disclosure.szse.cn/m/finalpage/2015-10-10/1201674716.PDF" TargetMode="External"/><Relationship Id="rId28" Type="http://schemas.openxmlformats.org/officeDocument/2006/relationships/hyperlink" Target="http://disclosure.szse.cn/m/finalpage/2015-10-27/1201726851.PDF" TargetMode="External"/><Relationship Id="rId29" Type="http://schemas.openxmlformats.org/officeDocument/2006/relationships/hyperlink" Target="http://disclosure.szse.cn/m/finalpage/2016-01-04/1201882846.PDF" TargetMode="External"/><Relationship Id="rId30" Type="http://schemas.openxmlformats.org/officeDocument/2006/relationships/hyperlink" Target="http://www.cninfo.co/" TargetMode="External"/><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eader" Target="header3.xml"/><Relationship Id="rId35" Type="http://schemas.openxmlformats.org/officeDocument/2006/relationships/header" Target="header4.xml"/><Relationship Id="rId36" Type="http://schemas.openxmlformats.org/officeDocument/2006/relationships/footer" Target="footer3.xml"/><Relationship Id="rId37" Type="http://schemas.openxmlformats.org/officeDocument/2006/relationships/footer" Target="footer4.xml"/><Relationship Id="rId38" Type="http://schemas.openxmlformats.org/officeDocument/2006/relationships/header" Target="header5.xml"/><Relationship Id="rId39" Type="http://schemas.openxmlformats.org/officeDocument/2006/relationships/footer" Target="footer5.xml"/><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footer" Target="footer8.xml"/><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王沛佳</dc:creator>
  <dcterms:created xsi:type="dcterms:W3CDTF">2020-05-04T12:34:30Z</dcterms:created>
  <dcterms:modified xsi:type="dcterms:W3CDTF">2020-05-04T12:34:30Z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Acrobat PDFMaker 9.0 Word 版</vt:lpwstr>
  </property>
  <property fmtid="{D5CDD505-2E9C-101B-9397-08002B2CF9AE}" pid="4" name="LastSaved">
    <vt:filetime>2020-05-04T00:00:00Z</vt:filetime>
  </property>
</Properties>
</file>