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1216" w:lineRule="exact"/>
        <w:ind w:left="37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938003" cy="7726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938003" cy="772668"/>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460" w:lineRule="exact" w:before="0"/>
        <w:ind w:left="0" w:right="3" w:firstLine="0"/>
        <w:jc w:val="center"/>
        <w:rPr>
          <w:rFonts w:ascii="宋体" w:hAnsi="宋体" w:cs="宋体" w:eastAsia="宋体" w:hint="default"/>
          <w:sz w:val="36"/>
          <w:szCs w:val="36"/>
        </w:rPr>
      </w:pPr>
      <w:r>
        <w:rPr>
          <w:rFonts w:ascii="宋体" w:hAnsi="宋体" w:cs="宋体" w:eastAsia="宋体" w:hint="default"/>
          <w:b/>
          <w:bCs/>
          <w:sz w:val="36"/>
          <w:szCs w:val="36"/>
        </w:rPr>
        <w:t>广州广电运通金融电子股份有限公司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4"/>
          <w:szCs w:val="44"/>
        </w:rPr>
      </w:pPr>
    </w:p>
    <w:p>
      <w:pPr>
        <w:spacing w:before="0"/>
        <w:ind w:left="0" w:right="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76"/>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二零一八年三月</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6"/>
          <w:szCs w:val="46"/>
        </w:rPr>
      </w:pPr>
    </w:p>
    <w:p>
      <w:pPr>
        <w:tabs>
          <w:tab w:pos="7069" w:val="left" w:leader="none"/>
        </w:tabs>
        <w:spacing w:before="0"/>
        <w:ind w:left="0" w:right="2" w:firstLine="0"/>
        <w:jc w:val="center"/>
        <w:rPr>
          <w:rFonts w:ascii="Times New Roman" w:hAnsi="Times New Roman" w:cs="Times New Roman" w:eastAsia="Times New Roman" w:hint="default"/>
          <w:sz w:val="32"/>
          <w:szCs w:val="32"/>
        </w:rPr>
      </w:pPr>
      <w:r>
        <w:rPr>
          <w:rFonts w:ascii="宋体" w:hAnsi="宋体" w:cs="宋体" w:eastAsia="宋体" w:hint="default"/>
          <w:b/>
          <w:bCs/>
          <w:w w:val="95"/>
          <w:sz w:val="32"/>
          <w:szCs w:val="32"/>
        </w:rPr>
        <w:t>证券简称：广电运通</w:t>
        <w:tab/>
      </w: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sz w:val="32"/>
          <w:szCs w:val="32"/>
        </w:rPr>
      </w:r>
    </w:p>
    <w:p>
      <w:pPr>
        <w:spacing w:after="0"/>
        <w:jc w:val="center"/>
        <w:rPr>
          <w:rFonts w:ascii="Times New Roman" w:hAnsi="Times New Roman" w:cs="Times New Roman" w:eastAsia="Times New Roman" w:hint="default"/>
          <w:sz w:val="32"/>
          <w:szCs w:val="32"/>
        </w:rPr>
        <w:sectPr>
          <w:headerReference w:type="default" r:id="rId5"/>
          <w:footerReference w:type="default" r:id="rId6"/>
          <w:type w:val="continuous"/>
          <w:pgSz w:w="11910" w:h="16840"/>
          <w:pgMar w:header="880" w:footer="979" w:top="1100" w:bottom="1160" w:left="980" w:right="980"/>
          <w:pgNumType w:start="1"/>
        </w:sectPr>
      </w:pPr>
    </w:p>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7"/>
          <w:szCs w:val="17"/>
        </w:rPr>
      </w:pPr>
    </w:p>
    <w:p>
      <w:pPr>
        <w:pStyle w:val="Heading1"/>
        <w:spacing w:line="240" w:lineRule="auto"/>
        <w:ind w:left="2802" w:right="25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0"/>
        <w:ind w:left="152" w:right="249"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公司负责人黄跃珍、主管会计工作负责人蒋春晨及会计机构负责人（会计</w:t>
      </w:r>
      <w:r>
        <w:rPr>
          <w:rFonts w:ascii="宋体" w:hAnsi="宋体" w:cs="宋体" w:eastAsia="宋体" w:hint="default"/>
          <w:b/>
          <w:bCs/>
          <w:w w:val="99"/>
          <w:sz w:val="28"/>
          <w:szCs w:val="28"/>
        </w:rPr>
        <w:t> </w:t>
      </w:r>
      <w:r>
        <w:rPr>
          <w:rFonts w:ascii="宋体" w:hAnsi="宋体" w:cs="宋体" w:eastAsia="宋体" w:hint="default"/>
          <w:b/>
          <w:bCs/>
          <w:sz w:val="28"/>
          <w:szCs w:val="28"/>
        </w:rPr>
        <w:t>主管人员）惠小绒声明：保证年度报告中财务报告的真实、准确、完整。</w:t>
      </w:r>
      <w:r>
        <w:rPr>
          <w:rFonts w:ascii="宋体" w:hAnsi="宋体" w:cs="宋体" w:eastAsia="宋体" w:hint="default"/>
          <w:sz w:val="28"/>
          <w:szCs w:val="28"/>
        </w:rPr>
      </w:r>
    </w:p>
    <w:p>
      <w:pPr>
        <w:spacing w:line="475" w:lineRule="auto" w:before="162"/>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本年度报告涉及未来发展规划和经营目标的相关陈述，属于公司计划性事</w:t>
      </w:r>
      <w:r>
        <w:rPr>
          <w:rFonts w:ascii="宋体" w:hAnsi="宋体" w:cs="宋体" w:eastAsia="宋体" w:hint="default"/>
          <w:spacing w:val="2"/>
          <w:sz w:val="28"/>
          <w:szCs w:val="28"/>
        </w:rPr>
      </w:r>
    </w:p>
    <w:p>
      <w:pPr>
        <w:spacing w:line="350" w:lineRule="exact" w:before="0"/>
        <w:ind w:left="152" w:right="253" w:firstLine="0"/>
        <w:jc w:val="left"/>
        <w:rPr>
          <w:rFonts w:ascii="宋体" w:hAnsi="宋体" w:cs="宋体" w:eastAsia="宋体" w:hint="default"/>
          <w:sz w:val="28"/>
          <w:szCs w:val="28"/>
        </w:rPr>
      </w:pP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93" w:lineRule="auto" w:before="0"/>
        <w:ind w:left="152" w:right="252" w:firstLine="562"/>
        <w:jc w:val="both"/>
        <w:rPr>
          <w:rFonts w:ascii="宋体" w:hAnsi="宋体" w:cs="宋体" w:eastAsia="宋体" w:hint="default"/>
          <w:sz w:val="28"/>
          <w:szCs w:val="28"/>
        </w:rPr>
      </w:pPr>
      <w:r>
        <w:rPr>
          <w:rFonts w:ascii="宋体" w:hAnsi="宋体" w:cs="宋体" w:eastAsia="宋体" w:hint="default"/>
          <w:b/>
          <w:bCs/>
          <w:sz w:val="28"/>
          <w:szCs w:val="28"/>
        </w:rPr>
        <w:t>公司主要存在市场风险、开展 </w:t>
      </w:r>
      <w:r>
        <w:rPr>
          <w:rFonts w:ascii="Times New Roman" w:hAnsi="Times New Roman" w:cs="Times New Roman" w:eastAsia="Times New Roman" w:hint="default"/>
          <w:b/>
          <w:bCs/>
          <w:sz w:val="28"/>
          <w:szCs w:val="28"/>
        </w:rPr>
        <w:t>ATM</w:t>
      </w:r>
      <w:r>
        <w:rPr>
          <w:rFonts w:ascii="Times New Roman" w:hAnsi="Times New Roman" w:cs="Times New Roman" w:eastAsia="Times New Roman" w:hint="default"/>
          <w:b/>
          <w:bCs/>
          <w:spacing w:val="58"/>
          <w:sz w:val="28"/>
          <w:szCs w:val="28"/>
        </w:rPr>
        <w:t> </w:t>
      </w:r>
      <w:r>
        <w:rPr>
          <w:rFonts w:ascii="宋体" w:hAnsi="宋体" w:cs="宋体" w:eastAsia="宋体" w:hint="default"/>
          <w:b/>
          <w:bCs/>
          <w:sz w:val="28"/>
          <w:szCs w:val="28"/>
        </w:rPr>
        <w:t>外包服务的运营风险、投资风险、经</w:t>
      </w:r>
      <w:r>
        <w:rPr>
          <w:rFonts w:ascii="宋体" w:hAnsi="宋体" w:cs="宋体" w:eastAsia="宋体" w:hint="default"/>
          <w:b/>
          <w:bCs/>
          <w:w w:val="99"/>
          <w:sz w:val="28"/>
          <w:szCs w:val="28"/>
        </w:rPr>
        <w:t> </w:t>
      </w:r>
      <w:r>
        <w:rPr>
          <w:rFonts w:ascii="宋体" w:hAnsi="宋体" w:cs="宋体" w:eastAsia="宋体" w:hint="default"/>
          <w:b/>
          <w:bCs/>
          <w:spacing w:val="2"/>
          <w:sz w:val="28"/>
          <w:szCs w:val="28"/>
        </w:rPr>
        <w:t>营规模迅速扩张导致的管理风险、商誉减值风险及汇率波动风险等，敬请广大</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第四节九（五）公司面临的风险及应</w:t>
      </w:r>
      <w:r>
        <w:rPr>
          <w:rFonts w:ascii="宋体" w:hAnsi="宋体" w:cs="宋体" w:eastAsia="宋体" w:hint="default"/>
          <w:b/>
          <w:bCs/>
          <w:spacing w:val="-134"/>
          <w:sz w:val="28"/>
          <w:szCs w:val="28"/>
        </w:rPr>
        <w:t> </w:t>
      </w:r>
      <w:r>
        <w:rPr>
          <w:rFonts w:ascii="宋体" w:hAnsi="宋体" w:cs="宋体" w:eastAsia="宋体" w:hint="default"/>
          <w:b/>
          <w:bCs/>
          <w:spacing w:val="-134"/>
          <w:sz w:val="28"/>
          <w:szCs w:val="28"/>
        </w:rPr>
      </w:r>
      <w:r>
        <w:rPr>
          <w:rFonts w:ascii="宋体" w:hAnsi="宋体" w:cs="宋体" w:eastAsia="宋体" w:hint="default"/>
          <w:b/>
          <w:bCs/>
          <w:sz w:val="28"/>
          <w:szCs w:val="28"/>
        </w:rPr>
        <w:t>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8"/>
        <w:ind w:left="714"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w:t>
      </w:r>
      <w:r>
        <w:rPr>
          <w:rFonts w:ascii="宋体" w:hAnsi="宋体" w:cs="宋体" w:eastAsia="宋体" w:hint="default"/>
          <w:b/>
          <w:bCs/>
          <w:spacing w:val="2"/>
          <w:w w:val="99"/>
          <w:sz w:val="28"/>
          <w:szCs w:val="28"/>
        </w:rPr>
        <w:t>经</w:t>
      </w:r>
      <w:r>
        <w:rPr>
          <w:rFonts w:ascii="宋体" w:hAnsi="宋体" w:cs="宋体" w:eastAsia="宋体" w:hint="default"/>
          <w:b/>
          <w:bCs/>
          <w:w w:val="99"/>
          <w:sz w:val="28"/>
          <w:szCs w:val="28"/>
        </w:rPr>
        <w:t>本次董事会审议</w:t>
      </w:r>
      <w:r>
        <w:rPr>
          <w:rFonts w:ascii="宋体" w:hAnsi="宋体" w:cs="宋体" w:eastAsia="宋体" w:hint="default"/>
          <w:b/>
          <w:bCs/>
          <w:spacing w:val="2"/>
          <w:w w:val="99"/>
          <w:sz w:val="28"/>
          <w:szCs w:val="28"/>
        </w:rPr>
        <w:t>通</w:t>
      </w:r>
      <w:r>
        <w:rPr>
          <w:rFonts w:ascii="宋体" w:hAnsi="宋体" w:cs="宋体" w:eastAsia="宋体" w:hint="default"/>
          <w:b/>
          <w:bCs/>
          <w:w w:val="99"/>
          <w:sz w:val="28"/>
          <w:szCs w:val="28"/>
        </w:rPr>
        <w:t>过的利润分配预</w:t>
      </w:r>
      <w:r>
        <w:rPr>
          <w:rFonts w:ascii="宋体" w:hAnsi="宋体" w:cs="宋体" w:eastAsia="宋体" w:hint="default"/>
          <w:b/>
          <w:bCs/>
          <w:spacing w:val="2"/>
          <w:w w:val="99"/>
          <w:sz w:val="28"/>
          <w:szCs w:val="28"/>
        </w:rPr>
        <w:t>案</w:t>
      </w:r>
      <w:r>
        <w:rPr>
          <w:rFonts w:ascii="宋体" w:hAnsi="宋体" w:cs="宋体" w:eastAsia="宋体" w:hint="default"/>
          <w:b/>
          <w:bCs/>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w w:val="100"/>
          <w:sz w:val="28"/>
          <w:szCs w:val="28"/>
        </w:rPr>
        <w:t>72</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7"/>
        <w:ind w:left="152" w:right="243" w:firstLine="0"/>
        <w:jc w:val="left"/>
        <w:rPr>
          <w:rFonts w:ascii="宋体" w:hAnsi="宋体" w:cs="宋体" w:eastAsia="宋体" w:hint="default"/>
          <w:sz w:val="28"/>
          <w:szCs w:val="28"/>
        </w:rPr>
      </w:pPr>
      <w:r>
        <w:rPr>
          <w:rFonts w:ascii="宋体" w:hAnsi="宋体" w:cs="宋体" w:eastAsia="宋体" w:hint="default"/>
          <w:b/>
          <w:bCs/>
          <w:sz w:val="28"/>
          <w:szCs w:val="28"/>
        </w:rPr>
        <w:t>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2.00 </w:t>
      </w:r>
      <w:r>
        <w:rPr>
          <w:rFonts w:ascii="宋体" w:hAnsi="宋体" w:cs="宋体" w:eastAsia="宋体" w:hint="default"/>
          <w:b/>
          <w:bCs/>
          <w:spacing w:val="-7"/>
          <w:sz w:val="28"/>
          <w:szCs w:val="28"/>
        </w:rPr>
        <w:t>元（含税），送红股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9"/>
          <w:sz w:val="28"/>
          <w:szCs w:val="28"/>
        </w:rPr>
        <w:t>股（含税），不以</w:t>
      </w:r>
      <w:r>
        <w:rPr>
          <w:rFonts w:ascii="宋体" w:hAnsi="宋体" w:cs="宋体" w:eastAsia="宋体" w:hint="default"/>
          <w:b/>
          <w:bCs/>
          <w:w w:val="99"/>
          <w:sz w:val="28"/>
          <w:szCs w:val="28"/>
        </w:rPr>
        <w:t> </w:t>
      </w:r>
      <w:r>
        <w:rPr>
          <w:rFonts w:ascii="宋体" w:hAnsi="宋体" w:cs="宋体" w:eastAsia="宋体" w:hint="default"/>
          <w:b/>
          <w:bCs/>
          <w:sz w:val="28"/>
          <w:szCs w:val="28"/>
        </w:rPr>
        <w:t>公积金转增股本。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880" w:footer="979" w:top="1100" w:bottom="116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8"/>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8"/>
              </w:rPr>
              <w:t> </w:t>
            </w:r>
            <w:r>
              <w:rPr/>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第八节</w:t>
            </w:r>
            <w:r>
              <w:rPr>
                <w:spacing w:val="-18"/>
              </w:rPr>
              <w:t> </w:t>
            </w:r>
            <w:r>
              <w:rPr/>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8"/>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8"/>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7"/>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8"/>
              </w:rPr>
              <w:t> </w:t>
            </w:r>
            <w:r>
              <w:rPr/>
              <w:t>备查文件目录</w:t>
            </w:r>
            <w:r>
              <w:rPr>
                <w:rFonts w:ascii="Times New Roman" w:hAnsi="Times New Roman" w:cs="Times New Roman" w:eastAsia="Times New Roman" w:hint="default"/>
              </w:rPr>
              <w:tab/>
              <w:t>190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979" w:top="1100" w:bottom="1160" w:left="980" w:right="980"/>
        </w:sectPr>
      </w:pPr>
    </w:p>
    <w:p>
      <w:pPr>
        <w:spacing w:before="894"/>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广州市人民政府国有资产监督管理委员会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深圳银通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广州银通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广州穗通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 Banking Equipment (HK)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（广电运通国际有限公司）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支点投资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广电汇通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运通信息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运通智能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北京广电科技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龙源环保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创自技术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汇通金融</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美电贝尔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广电卓识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平云小匠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广州平云小匠科技有限公司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广百小额贷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力沛咨询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广州市力沛企业管理咨询有限公司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广电安保投资公司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内蒙古安保投资公司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金牛押运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湖北银通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湖北银通卓越科技服务有限公司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商洛慧金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商洛市慧金清分服务有限公司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商洛金盾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邵阳保安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兴安盟威信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武威神威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巴彦淖尔天力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海南警锐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平顶山鹰翔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西安金盾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榆林神鹰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新余保安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文山金盾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阿帕奇押运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阿帕奇保安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巴州阿帕奇保安有限责任公司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蓝盾安保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中山市保安服务有限公司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通辽威远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资阳保安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黄石金通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黄石金通智慧金融外包服务有限公司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黄石金安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黄石市金安押运护卫保安服务有限公司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保山安邦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鹤壁鹏翔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湖北融信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益阳保安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安化保安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南县保安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广东安达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广东安达金融保安押运有限公司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国信运通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深圳市国信运通基金管理有限公司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珠海国信运通基金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珠海国信运通股权投资基金（有限合伙）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广电物业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广电智能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广州广电智能科技有限公司（原广州海格智能科技有限公司）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股转系统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全国中小企业股份转让系统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ATM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银行自动柜员机（</w:t>
            </w:r>
            <w:r>
              <w:rPr>
                <w:rFonts w:ascii="Times New Roman" w:hAnsi="Times New Roman" w:cs="Times New Roman" w:eastAsia="Times New Roman" w:hint="default"/>
                <w:sz w:val="18"/>
                <w:szCs w:val="18"/>
              </w:rPr>
              <w:t>Automatic Teller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AFC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22"/>
              <w:jc w:val="left"/>
              <w:rPr>
                <w:rFonts w:ascii="宋体" w:hAnsi="宋体" w:cs="宋体" w:eastAsia="宋体" w:hint="default"/>
                <w:sz w:val="18"/>
                <w:szCs w:val="18"/>
              </w:rPr>
            </w:pPr>
            <w:r>
              <w:rPr>
                <w:rFonts w:ascii="宋体" w:hAnsi="宋体" w:cs="宋体" w:eastAsia="宋体" w:hint="default"/>
                <w:sz w:val="18"/>
                <w:szCs w:val="18"/>
              </w:rPr>
              <w:t>地铁、轻轨、铁道、高铁等轨道交通票卡处理设备（</w:t>
            </w:r>
            <w:r>
              <w:rPr>
                <w:rFonts w:ascii="Times New Roman" w:hAnsi="Times New Roman" w:cs="Times New Roman" w:eastAsia="Times New Roman" w:hint="default"/>
                <w:sz w:val="18"/>
                <w:szCs w:val="18"/>
              </w:rPr>
              <w:t>Automatic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Fare</w:t>
            </w:r>
            <w:r>
              <w:rPr>
                <w:rFonts w:ascii="Times New Roman" w:hAnsi="Times New Roman" w:cs="Times New Roman" w:eastAsia="Times New Roman" w:hint="default"/>
                <w:sz w:val="18"/>
                <w:szCs w:val="18"/>
              </w:rPr>
              <w:t> Collection</w:t>
            </w:r>
            <w:r>
              <w:rPr>
                <w:rFonts w:ascii="宋体" w:hAnsi="宋体" w:cs="宋体" w:eastAsia="宋体" w:hint="default"/>
                <w:sz w:val="18"/>
                <w:szCs w:val="18"/>
              </w:rPr>
              <w:t>），主要包括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TVM</w:t>
            </w:r>
            <w:r>
              <w:rPr>
                <w:rFonts w:ascii="宋体" w:hAnsi="宋体" w:cs="宋体" w:eastAsia="宋体" w:hint="default"/>
                <w:sz w:val="18"/>
                <w:szCs w:val="18"/>
              </w:rPr>
              <w:t>、自动检票机、自动验票机等设备</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VTM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远程视频柜员机</w:t>
            </w:r>
            <w:r>
              <w:rPr>
                <w:rFonts w:ascii="Times New Roman" w:hAnsi="Times New Roman" w:cs="Times New Roman" w:eastAsia="Times New Roman" w:hint="default"/>
                <w:sz w:val="18"/>
                <w:szCs w:val="18"/>
              </w:rPr>
              <w:t>(Virtual Teller</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Machine)</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P-AOC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省级自助设备监控调度指挥中心（</w:t>
            </w:r>
            <w:r>
              <w:rPr>
                <w:rFonts w:ascii="Times New Roman" w:hAnsi="Times New Roman" w:cs="Times New Roman" w:eastAsia="Times New Roman" w:hint="default"/>
                <w:sz w:val="18"/>
                <w:szCs w:val="18"/>
              </w:rPr>
              <w:t>Province-ATM Operate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FinTech</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金融科技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广电运通</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002152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广电运通</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8"/>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6"/>
                <w:sz w:val="18"/>
              </w:rPr>
              <w:t> </w:t>
            </w:r>
            <w:r>
              <w:rPr>
                <w:rFonts w:ascii="Times New Roman"/>
                <w:sz w:val="18"/>
              </w:rPr>
              <w:t>Banking</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黄跃珍</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www.grgbanking.com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253"/>
        <w:gridCol w:w="4124"/>
        <w:gridCol w:w="4181"/>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020-62878900</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020-62878517</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44"/>
        <w:ind w:left="0" w:right="159"/>
        <w:jc w:val="right"/>
      </w:pPr>
      <w:r>
        <w:rPr/>
        <w:pict>
          <v:shape style="position:absolute;margin-left:56.459999pt;margin-top:-85.32827pt;width:479.2pt;height:281.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914401017163404737</w:t>
                        </w:r>
                      </w:p>
                    </w:tc>
                  </w:tr>
                  <w:tr>
                    <w:trPr>
                      <w:trHeight w:val="481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月在广州市工商行政管理局变更登记，公司经营范围增加了 “对自动柜员机提供日常维护与管理服务；对现金及有价证券提供清分处理服 务。”</w:t>
                        </w:r>
                      </w:p>
                      <w:p>
                        <w:pPr>
                          <w:pStyle w:val="TableParagraph"/>
                          <w:spacing w:line="316" w:lineRule="auto" w:before="65"/>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日在广州市工商行政管理局变更登记，根据《广州市商 </w:t>
                        </w:r>
                        <w:r>
                          <w:rPr>
                            <w:rFonts w:ascii="宋体" w:hAnsi="宋体" w:cs="宋体" w:eastAsia="宋体" w:hint="default"/>
                            <w:spacing w:val="-2"/>
                            <w:sz w:val="18"/>
                            <w:szCs w:val="18"/>
                          </w:rPr>
                          <w:t>事登记制度改革实施办法（试行）》规定，商事主体登记事项包括主营项目类别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记载于营业执照，而经营范围改为申报事项，由广州市商事主体信息公示平台公 示。此次执照换发后，公司营业执照中记载事项的内容也进行了调整，现公司营 业执照登记的经营范围为：计算机、通信和其他电子设备制造业（具体经营项目 请登录广州市商事主体信息公示平台查询。依法须经批准的项目，经相关部门批 准后方可开展经营活动）。同时，根据最新的工商行政管理局系统目录，广州市 商事主体信息公示平台登记的公司经营范围与原营业执照登记的经营范围进行了 调整，具体内容为：计算机应用电子设备制造；自动售货机、售票机、柜员机及 零配件的批发；技术进出口；货物进出口（专营专控商品除外）；计算器及货币 专用设备制造；信息系统集成服务；信息技术咨询服务；软件开发；计算机技术 开发、技术服务；计算机和辅助设备修理。公司经营范围并未有实质性变化。</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bl>
    <w:p>
      <w:pPr>
        <w:pStyle w:val="BodyText"/>
        <w:spacing w:line="240" w:lineRule="auto" w:before="51"/>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4"/>
              <w:jc w:val="left"/>
              <w:rPr>
                <w:rFonts w:ascii="宋体" w:hAnsi="宋体" w:cs="宋体" w:eastAsia="宋体" w:hint="default"/>
                <w:sz w:val="18"/>
                <w:szCs w:val="18"/>
              </w:rPr>
            </w:pPr>
            <w:r>
              <w:rPr>
                <w:rFonts w:ascii="宋体" w:hAnsi="宋体" w:cs="宋体" w:eastAsia="宋体" w:hint="default"/>
                <w:sz w:val="18"/>
                <w:szCs w:val="18"/>
              </w:rPr>
              <w:t>深圳市福田区中心区中心广 场香港中旅大厦第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张宁湘、金巍锋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5"/>
              <w:jc w:val="left"/>
              <w:rPr>
                <w:rFonts w:ascii="宋体" w:hAnsi="宋体" w:cs="宋体" w:eastAsia="宋体" w:hint="default"/>
                <w:sz w:val="18"/>
                <w:szCs w:val="18"/>
              </w:rPr>
            </w:pPr>
            <w:r>
              <w:rPr>
                <w:rFonts w:ascii="宋体" w:hAnsi="宋体" w:cs="宋体" w:eastAsia="宋体" w:hint="default"/>
                <w:sz w:val="18"/>
                <w:szCs w:val="18"/>
              </w:rPr>
              <w:t>深圳市福田区中心区中心广 场香港中旅大厦第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张宁湘、董瑞超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09"/>
        <w:gridCol w:w="251"/>
        <w:gridCol w:w="1465"/>
        <w:gridCol w:w="1702"/>
        <w:gridCol w:w="1702"/>
        <w:gridCol w:w="1630"/>
      </w:tblGrid>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4,383,577,016.09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4,423,649,958.72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3,972,941,256.17</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899,485,037.43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843,972,144.65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898,465,097.07</w:t>
            </w:r>
          </w:p>
        </w:tc>
      </w:tr>
      <w:tr>
        <w:trPr>
          <w:trHeight w:val="715"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412,661,955.05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731,522,102.29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824,279,182.99</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672,450,133.35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1,111,840,827.75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857,574,817.93</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0.45</w:t>
            </w:r>
            <w:r>
              <w:rPr>
                <w:rFonts w:ascii="Times New Roman"/>
                <w:sz w:val="18"/>
              </w:rPr>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0.45</w:t>
            </w:r>
            <w:r>
              <w:rPr>
                <w:rFonts w:ascii="Times New Roman"/>
                <w:sz w:val="18"/>
              </w:rPr>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20" w:right="0"/>
              <w:jc w:val="left"/>
              <w:rPr>
                <w:rFonts w:ascii="Times New Roman" w:hAnsi="Times New Roman" w:cs="Times New Roman" w:eastAsia="Times New Roman" w:hint="default"/>
                <w:sz w:val="18"/>
                <w:szCs w:val="18"/>
              </w:rPr>
            </w:pPr>
            <w:r>
              <w:rPr>
                <w:rFonts w:ascii="Times New Roman"/>
                <w:sz w:val="18"/>
              </w:rPr>
              <w:t>10.29%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20.98%</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1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12,691,220,013.16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11,906,552,263.09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7,700,178,135.23</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8,890,909,285.90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8,375,556,541.14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4,509,953,569.97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840,509,543.33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689,440,356.94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903,002,619.87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1,950,624,495.95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264,395,957.03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267,866,373.60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125,827,310.60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241,395,396.20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121,388,401.11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-2,240,970.47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87,219,529.94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206,294,994.47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-557,768,693.87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-31,902,089.78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183,990,266.36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1,078,130,650.64</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80"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3375"/>
        <w:gridCol w:w="1286"/>
        <w:gridCol w:w="1277"/>
        <w:gridCol w:w="1133"/>
        <w:gridCol w:w="2547"/>
      </w:tblGrid>
      <w:tr>
        <w:trPr>
          <w:trHeight w:val="401"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2" w:right="8"/>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非流动资产处置损益（包括已计提资产减值</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准备的冲销部分）</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1,742,447.72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359,982.53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104,225.62</w:t>
            </w:r>
          </w:p>
        </w:tc>
        <w:tc>
          <w:tcPr>
            <w:tcW w:w="254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8"/>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计入当期损益的政府补助（与企业业务密切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相关，按照国家统一标准定额或定量享受的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政府补助除外）</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102,228,372.64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76,609,950.20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45,961,623.49</w:t>
            </w:r>
          </w:p>
        </w:tc>
        <w:tc>
          <w:tcPr>
            <w:tcW w:w="25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90,705,909.66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49,993,895.43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43,259,054.46</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主要是银行理财收益。</w:t>
            </w:r>
          </w:p>
        </w:tc>
      </w:tr>
      <w:tr>
        <w:trPr>
          <w:trHeight w:val="1649"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w:t>
            </w:r>
            <w:r>
              <w:rPr>
                <w:rFonts w:ascii="宋体" w:hAnsi="宋体" w:cs="宋体" w:eastAsia="宋体" w:hint="default"/>
                <w:spacing w:val="-5"/>
                <w:sz w:val="18"/>
                <w:szCs w:val="18"/>
              </w:rPr>
              <w:t>值业务外，持有交易性金融资产、交易性金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融负债产生的公允价值变动损益，以及处置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交易性金融资产、交易性金融负债和可供出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售金融资产取得的投资收益</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404,564,689.22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投资的广电计量会计核算方法 变更取得的投资收益为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26,700 </w:t>
            </w:r>
            <w:r>
              <w:rPr>
                <w:rFonts w:ascii="宋体" w:hAnsi="宋体" w:cs="宋体" w:eastAsia="宋体" w:hint="default"/>
                <w:spacing w:val="-3"/>
                <w:sz w:val="18"/>
                <w:szCs w:val="18"/>
              </w:rPr>
              <w:t>万元；减持神州控股部分可供出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售金融资产取得的投资收益 </w:t>
            </w:r>
            <w:r>
              <w:rPr>
                <w:rFonts w:ascii="Times New Roman" w:hAnsi="Times New Roman" w:cs="Times New Roman" w:eastAsia="Times New Roman" w:hint="default"/>
                <w:sz w:val="18"/>
                <w:szCs w:val="18"/>
              </w:rPr>
              <w:t>13,756.47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-9,259,434.96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11,187,754.75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1,552,939.58</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主要是存货报废损失。</w:t>
            </w:r>
          </w:p>
        </w:tc>
      </w:tr>
      <w:tr>
        <w:trPr>
          <w:trHeight w:val="401"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86"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89,481,299.30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21,508,344.81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14,421,997.79</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主要是投资收益增加影响。</w:t>
            </w:r>
          </w:p>
        </w:tc>
      </w:tr>
      <w:tr>
        <w:trPr>
          <w:trHeight w:val="401"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13,677,602.60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4,193,195.74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2,269,931.28</w:t>
            </w:r>
          </w:p>
        </w:tc>
        <w:tc>
          <w:tcPr>
            <w:tcW w:w="25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486,823,082.38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112,450,042.36</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74,185,914.08</w:t>
            </w:r>
          </w:p>
        </w:tc>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49,111,112.50</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文《关于软件产品增值税政策的通知》 的规定，享受软件产品增值税即征即退税收优惠。</w:t>
            </w:r>
          </w:p>
        </w:tc>
      </w:tr>
    </w:tbl>
    <w:p>
      <w:pPr>
        <w:spacing w:after="0" w:line="297"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87"/>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2" w:lineRule="auto" w:before="25"/>
        <w:ind w:right="190" w:firstLine="360"/>
        <w:jc w:val="both"/>
      </w:pPr>
      <w:r>
        <w:rPr/>
        <w:t>公司是一家以银行自动柜员机（</w:t>
      </w:r>
      <w:r>
        <w:rPr>
          <w:rFonts w:ascii="Times New Roman" w:hAnsi="Times New Roman" w:cs="Times New Roman" w:eastAsia="Times New Roman" w:hint="default"/>
        </w:rPr>
        <w:t>ATM</w:t>
      </w:r>
      <w:r>
        <w:rPr/>
        <w:t>）、远程视频柜员机（</w:t>
      </w:r>
      <w:r>
        <w:rPr>
          <w:rFonts w:ascii="Times New Roman" w:hAnsi="Times New Roman" w:cs="Times New Roman" w:eastAsia="Times New Roman" w:hint="default"/>
        </w:rPr>
        <w:t>VTM</w:t>
      </w:r>
      <w:r>
        <w:rPr/>
        <w:t>）、清分机、智能交通自动售检票系统（</w:t>
      </w:r>
      <w:r>
        <w:rPr>
          <w:rFonts w:ascii="Times New Roman" w:hAnsi="Times New Roman" w:cs="Times New Roman" w:eastAsia="Times New Roman" w:hint="default"/>
        </w:rPr>
        <w:t>AFC</w:t>
      </w:r>
      <w:r>
        <w:rPr/>
        <w:t>）等自 </w:t>
      </w:r>
      <w:r>
        <w:rPr>
          <w:spacing w:val="-2"/>
        </w:rPr>
        <w:t>助设备产业为核心，融合自助设备维保服务及金融外包服务两大服务业，集自主研发、生产、销售及服务为一体的现代化高</w:t>
      </w:r>
      <w:r>
        <w:rPr>
          <w:spacing w:val="-63"/>
        </w:rPr>
        <w:t> </w:t>
      </w:r>
      <w:r>
        <w:rPr>
          <w:spacing w:val="-63"/>
        </w:rPr>
      </w:r>
      <w:r>
        <w:rPr>
          <w:spacing w:val="-2"/>
        </w:rPr>
        <w:t>科技企业，同时，公司以人工智能技术为驱动，立足智慧金融核心优势，向智慧交通、智慧安防、智慧政务、智慧便民等领</w:t>
      </w:r>
      <w:r>
        <w:rPr>
          <w:spacing w:val="-72"/>
        </w:rPr>
        <w:t> </w:t>
      </w:r>
      <w:r>
        <w:rPr>
          <w:spacing w:val="-72"/>
        </w:rPr>
      </w:r>
      <w:r>
        <w:rPr/>
        <w:t>域延伸，推动传统产业转型升级。</w:t>
      </w:r>
    </w:p>
    <w:p>
      <w:pPr>
        <w:pStyle w:val="BodyText"/>
        <w:spacing w:line="309" w:lineRule="auto" w:before="63"/>
        <w:ind w:right="19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年，公司所处的经营环境发生了如下变化：宏观经济方面，国内经济稳中向好，从高速增长阶段转向高质量发展 </w:t>
      </w:r>
      <w:r>
        <w:rPr>
          <w:spacing w:val="-2"/>
        </w:rPr>
        <w:t>阶段，国家深化供给侧改革，实施创新驱动发展战略，加快新旧动能转换，振兴实体经济。行业环境方面，在移动支付技术</w:t>
      </w:r>
      <w:r>
        <w:rPr>
          <w:spacing w:val="-68"/>
        </w:rPr>
        <w:t> </w:t>
      </w:r>
      <w:r>
        <w:rPr>
          <w:spacing w:val="-68"/>
        </w:rPr>
      </w:r>
      <w:r>
        <w:rPr/>
        <w:t>日趋成熟并广泛使用的冲击下，国内银行业出现了去柜台化、轻资产化等转型态势，导致国内</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6"/>
        </w:rPr>
        <w:t> </w:t>
      </w:r>
      <w:r>
        <w:rPr/>
        <w:t>市场需求增速下滑，但 </w:t>
      </w:r>
      <w:r>
        <w:rPr>
          <w:spacing w:val="-2"/>
        </w:rPr>
        <w:t>国际市场需求增长平稳。技术发展方面，人工智能、物联网、云计算、大数据、物理信息系统等新一代信息技术正在推动传</w:t>
      </w:r>
      <w:r>
        <w:rPr>
          <w:spacing w:val="-68"/>
        </w:rPr>
        <w:t> </w:t>
      </w:r>
      <w:r>
        <w:rPr>
          <w:spacing w:val="-68"/>
        </w:rPr>
      </w:r>
      <w:r>
        <w:rPr/>
        <w:t>统产业升级。总体上说，国内传统</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6"/>
        </w:rPr>
        <w:t> </w:t>
      </w:r>
      <w:r>
        <w:rPr/>
        <w:t>市场需求增速放缓，金融服务外包继续保持较高增长态势。面对更加复杂多变的经 </w:t>
      </w:r>
      <w:r>
        <w:rPr>
          <w:spacing w:val="-2"/>
        </w:rPr>
        <w:t>营环境，公司不断深化改革，强化传统领域、服务领域及拓展领域的竞争优势，做强做大金融智造与服务的存量，同时快速</w:t>
      </w:r>
      <w:r>
        <w:rPr>
          <w:spacing w:val="-68"/>
        </w:rPr>
        <w:t> </w:t>
      </w:r>
      <w:r>
        <w:rPr>
          <w:spacing w:val="-68"/>
        </w:rPr>
      </w:r>
      <w:r>
        <w:rPr/>
        <w:t>拓展扩张人工智能的产业增量，推动各项业务不断向前发展。</w:t>
      </w:r>
    </w:p>
    <w:p>
      <w:pPr>
        <w:pStyle w:val="BodyText"/>
        <w:spacing w:line="240" w:lineRule="auto" w:before="65"/>
        <w:ind w:left="513" w:right="87"/>
        <w:jc w:val="left"/>
      </w:pPr>
      <w:r>
        <w:rPr/>
        <w:t>报告期公司业务主要划分为以下三大领域：</w:t>
      </w:r>
    </w:p>
    <w:p>
      <w:pPr>
        <w:pStyle w:val="BodyText"/>
        <w:spacing w:line="300" w:lineRule="auto" w:before="115"/>
        <w:ind w:right="192" w:firstLine="360"/>
        <w:jc w:val="both"/>
      </w:pPr>
      <w:r>
        <w:rPr>
          <w:rFonts w:ascii="Times New Roman" w:hAnsi="Times New Roman" w:cs="Times New Roman" w:eastAsia="Times New Roman" w:hint="default"/>
        </w:rPr>
        <w:t>1</w:t>
      </w:r>
      <w:r>
        <w:rPr/>
        <w:t>、传统领域，包括国内银行自助设备销售业务、海外销售业务和产品制造业务。传统领域的使命和任务是持续提升公 司传统现金设备市场竞争优势和行业地位，构建国际化核心竞争力，为其他领域的拓展、扩张提供支撑；</w:t>
      </w:r>
    </w:p>
    <w:p>
      <w:pPr>
        <w:pStyle w:val="BodyText"/>
        <w:spacing w:line="300" w:lineRule="auto" w:before="72"/>
        <w:ind w:right="192" w:firstLine="360"/>
        <w:jc w:val="both"/>
      </w:pPr>
      <w:r>
        <w:rPr>
          <w:rFonts w:ascii="Times New Roman" w:hAnsi="Times New Roman" w:cs="Times New Roman" w:eastAsia="Times New Roman" w:hint="default"/>
        </w:rPr>
        <w:t>2</w:t>
      </w:r>
      <w:r>
        <w:rPr/>
        <w:t>、服务领域，包括自助设备维保业务和金融外包服务业务。服务领域的使命和任务是加速外延扩张和战略布局，尽快 成长为公司核心业务和主要利润来源；</w:t>
      </w:r>
    </w:p>
    <w:p>
      <w:pPr>
        <w:pStyle w:val="BodyText"/>
        <w:spacing w:line="309" w:lineRule="auto" w:before="72"/>
        <w:ind w:right="189" w:firstLine="360"/>
        <w:jc w:val="both"/>
      </w:pPr>
      <w:r>
        <w:rPr>
          <w:rFonts w:ascii="Times New Roman" w:hAnsi="Times New Roman" w:cs="Times New Roman" w:eastAsia="Times New Roman" w:hint="default"/>
        </w:rPr>
        <w:t>3</w:t>
      </w:r>
      <w:r>
        <w:rPr/>
        <w:t>、拓展领域，包括清分机业务、</w:t>
      </w:r>
      <w:r>
        <w:rPr>
          <w:rFonts w:ascii="Times New Roman" w:hAnsi="Times New Roman" w:cs="Times New Roman" w:eastAsia="Times New Roman" w:hint="default"/>
        </w:rPr>
        <w:t>AFC </w:t>
      </w:r>
      <w:r>
        <w:rPr/>
        <w:t>业务、读卡器业务、环保业务、金融 </w:t>
      </w:r>
      <w:r>
        <w:rPr>
          <w:rFonts w:ascii="Times New Roman" w:hAnsi="Times New Roman" w:cs="Times New Roman" w:eastAsia="Times New Roman" w:hint="default"/>
        </w:rPr>
        <w:t>IT</w:t>
      </w:r>
      <w:r>
        <w:rPr>
          <w:rFonts w:ascii="Times New Roman" w:hAnsi="Times New Roman" w:cs="Times New Roman" w:eastAsia="Times New Roman" w:hint="default"/>
          <w:spacing w:val="-18"/>
        </w:rPr>
        <w:t> </w:t>
      </w:r>
      <w:r>
        <w:rPr/>
        <w:t>外包业务以及以研究院为孵化平台的人 </w:t>
      </w:r>
      <w:r>
        <w:rPr>
          <w:spacing w:val="-2"/>
        </w:rPr>
        <w:t>工智能创新业务。拓展领域的使命是探索公司转型升级的发展方向，以技术创新、体制机制创新和战略合作手段培育、推进</w:t>
      </w:r>
      <w:r>
        <w:rPr>
          <w:spacing w:val="-64"/>
        </w:rPr>
        <w:t> </w:t>
      </w:r>
      <w:r>
        <w:rPr>
          <w:spacing w:val="-64"/>
        </w:rPr>
      </w:r>
      <w:r>
        <w:rPr/>
        <w:t>未来业务，以资本运作手段加快转型速度并提升企业价值。</w:t>
      </w:r>
    </w:p>
    <w:p>
      <w:pPr>
        <w:pStyle w:val="BodyText"/>
        <w:spacing w:line="300" w:lineRule="auto" w:before="62"/>
        <w:ind w:right="87" w:firstLine="360"/>
        <w:jc w:val="left"/>
      </w:pPr>
      <w:r>
        <w:rPr/>
        <w:t>公司的智能金融装备解决方案已进入全球</w:t>
      </w:r>
      <w:r>
        <w:rPr>
          <w:spacing w:val="-33"/>
        </w:rPr>
        <w:t> </w:t>
      </w:r>
      <w:r>
        <w:rPr>
          <w:rFonts w:ascii="Times New Roman" w:hAnsi="Times New Roman" w:cs="Times New Roman" w:eastAsia="Times New Roman" w:hint="default"/>
        </w:rPr>
        <w:t>80</w:t>
      </w:r>
      <w:r>
        <w:rPr>
          <w:rFonts w:ascii="Times New Roman" w:hAnsi="Times New Roman" w:cs="Times New Roman" w:eastAsia="Times New Roman" w:hint="default"/>
          <w:spacing w:val="12"/>
        </w:rPr>
        <w:t> </w:t>
      </w:r>
      <w:r>
        <w:rPr/>
        <w:t>多个国家和地区的</w:t>
      </w:r>
      <w:r>
        <w:rPr>
          <w:spacing w:val="-33"/>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2"/>
        </w:rPr>
        <w:t> </w:t>
      </w:r>
      <w:r>
        <w:rPr/>
        <w:t>多家银行客户，在俄罗斯、土耳其、德国等国家 设立分支机构，全球</w:t>
      </w:r>
      <w:r>
        <w:rPr>
          <w:spacing w:val="-54"/>
        </w:rPr>
        <w:t> </w:t>
      </w:r>
      <w:r>
        <w:rPr>
          <w:rFonts w:ascii="Times New Roman" w:hAnsi="Times New Roman" w:cs="Times New Roman" w:eastAsia="Times New Roman" w:hint="default"/>
        </w:rPr>
        <w:t>ATM</w:t>
      </w:r>
      <w:r>
        <w:rPr>
          <w:rFonts w:ascii="Times New Roman" w:hAnsi="Times New Roman" w:cs="Times New Roman" w:eastAsia="Times New Roman" w:hint="default"/>
          <w:spacing w:val="-8"/>
        </w:rPr>
        <w:t> </w:t>
      </w:r>
      <w:r>
        <w:rPr/>
        <w:t>安装总量超过</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万台，连续十年位居中国市场销售占有率首位，是我国同行业中经营规模最大、 技术实力最强的</w:t>
      </w:r>
      <w:r>
        <w:rPr>
          <w:spacing w:val="-41"/>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民族品牌供应商，是全球真正掌握</w:t>
      </w:r>
      <w:r>
        <w:rPr>
          <w:spacing w:val="-40"/>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核心现金循环技术的少数几家企业之一，综合实力排名全球 前</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强。依托近</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万人的专业金融服务团队，公司用“互联网</w:t>
      </w:r>
      <w:r>
        <w:rPr>
          <w:rFonts w:ascii="Times New Roman" w:hAnsi="Times New Roman" w:cs="Times New Roman" w:eastAsia="Times New Roman" w:hint="default"/>
        </w:rPr>
        <w:t>+</w:t>
      </w:r>
      <w:r>
        <w:rPr/>
        <w:t>智能服务”整合银行外包业务，通过并购和投资快速切入智</w:t>
      </w:r>
    </w:p>
    <w:p>
      <w:pPr>
        <w:pStyle w:val="BodyText"/>
        <w:spacing w:line="240" w:lineRule="auto" w:before="13"/>
        <w:ind w:right="87"/>
        <w:jc w:val="left"/>
      </w:pPr>
      <w:r>
        <w:rPr/>
        <w:t>能安全领域，在全国超过</w:t>
      </w:r>
      <w:r>
        <w:rPr>
          <w:spacing w:val="-42"/>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个城市整合安防企业，开展武装押运、智能安防、平安城市等智能安全业务。公司的智能交通</w:t>
      </w:r>
    </w:p>
    <w:p>
      <w:pPr>
        <w:pStyle w:val="BodyText"/>
        <w:spacing w:line="309" w:lineRule="auto" w:before="63"/>
        <w:ind w:right="94"/>
        <w:jc w:val="left"/>
      </w:pPr>
      <w:r>
        <w:rPr/>
        <w:t>解决方案已成功应用于中国超过</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个城市的</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多条地铁和高铁线路，并在南方航空上线了国内首个人脸识别智能登机系 统。基于人工智能前沿探索，广电运通应用智能视频、智能语音、生物特征识别、智能人机交互等先进技术，在智慧金融、 智慧政务、智慧安防等领域已成功落地多个应用场景。</w:t>
      </w:r>
    </w:p>
    <w:p>
      <w:pPr>
        <w:spacing w:line="240" w:lineRule="auto" w:before="1"/>
        <w:rPr>
          <w:rFonts w:ascii="宋体" w:hAnsi="宋体" w:cs="宋体" w:eastAsia="宋体" w:hint="default"/>
          <w:sz w:val="21"/>
          <w:szCs w:val="21"/>
        </w:rPr>
      </w:pPr>
    </w:p>
    <w:p>
      <w:pPr>
        <w:pStyle w:val="Heading2"/>
        <w:spacing w:line="240" w:lineRule="auto"/>
        <w:ind w:right="87"/>
        <w:jc w:val="left"/>
        <w:rPr>
          <w:b w:val="0"/>
          <w:bCs w:val="0"/>
        </w:rPr>
      </w:pPr>
      <w:r>
        <w:rPr/>
        <w:t>二、主要资产重大变化情况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87"/>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993"/>
        <w:gridCol w:w="8577"/>
      </w:tblGrid>
      <w:tr>
        <w:trPr>
          <w:trHeight w:val="76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before="44"/>
        <w:ind w:left="0" w:right="153"/>
        <w:jc w:val="right"/>
      </w:pPr>
      <w:r>
        <w:rPr/>
        <w:pict>
          <v:shape style="position:absolute;margin-left:56.459999pt;margin-top:-16.46829pt;width:479.2pt;height:147.9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3"/>
                    <w:gridCol w:w="8577"/>
                  </w:tblGrid>
                  <w:tr>
                    <w:trPr>
                      <w:trHeight w:val="102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31,720.17 </w:t>
                        </w:r>
                        <w:r>
                          <w:rPr>
                            <w:rFonts w:ascii="宋体" w:hAnsi="宋体" w:cs="宋体" w:eastAsia="宋体" w:hint="default"/>
                            <w:sz w:val="18"/>
                            <w:szCs w:val="18"/>
                          </w:rPr>
                          <w:t>万元，减少幅度为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14.84%</w:t>
                        </w:r>
                        <w:r>
                          <w:rPr>
                            <w:rFonts w:ascii="宋体" w:hAnsi="宋体" w:cs="宋体" w:eastAsia="宋体" w:hint="default"/>
                            <w:sz w:val="18"/>
                            <w:szCs w:val="18"/>
                          </w:rPr>
                          <w:t>，其中：可供出售金融资产较年初减少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90,219.06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w:t>
                        </w:r>
                      </w:p>
                      <w:p>
                        <w:pPr>
                          <w:pStyle w:val="TableParagraph"/>
                          <w:spacing w:line="300" w:lineRule="auto" w:before="63"/>
                          <w:ind w:left="23" w:right="107"/>
                          <w:jc w:val="left"/>
                          <w:rPr>
                            <w:rFonts w:ascii="宋体" w:hAnsi="宋体" w:cs="宋体" w:eastAsia="宋体" w:hint="default"/>
                            <w:sz w:val="18"/>
                            <w:szCs w:val="18"/>
                          </w:rPr>
                        </w:pPr>
                        <w:r>
                          <w:rPr>
                            <w:rFonts w:ascii="宋体" w:hAnsi="宋体" w:cs="宋体" w:eastAsia="宋体" w:hint="default"/>
                            <w:spacing w:val="-3"/>
                            <w:sz w:val="18"/>
                            <w:szCs w:val="18"/>
                          </w:rPr>
                          <w:t>是投资的广电计量会计核算方法变更及减持神州控股部分股票所致；长期股权投资较年初增加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58,498.90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4"/>
                            <w:sz w:val="18"/>
                            <w:szCs w:val="18"/>
                          </w:rPr>
                          <w:t> </w:t>
                        </w:r>
                        <w:r>
                          <w:rPr>
                            <w:rFonts w:ascii="宋体" w:hAnsi="宋体" w:cs="宋体" w:eastAsia="宋体" w:hint="default"/>
                            <w:sz w:val="18"/>
                            <w:szCs w:val="18"/>
                          </w:rPr>
                          <w:t>主要是投资的广电计量会计核算方法变更所致。</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22,127.84 </w:t>
                        </w:r>
                        <w:r>
                          <w:rPr>
                            <w:rFonts w:ascii="宋体" w:hAnsi="宋体" w:cs="宋体" w:eastAsia="宋体" w:hint="default"/>
                            <w:sz w:val="18"/>
                            <w:szCs w:val="18"/>
                          </w:rPr>
                          <w:t>万元，增长幅度为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29.70%</w:t>
                        </w:r>
                        <w:r>
                          <w:rPr>
                            <w:rFonts w:ascii="宋体" w:hAnsi="宋体" w:cs="宋体" w:eastAsia="宋体" w:hint="default"/>
                            <w:sz w:val="18"/>
                            <w:szCs w:val="18"/>
                          </w:rPr>
                          <w:t>，主要是在建工程完工转入及购置房屋及建筑物所致。</w:t>
                        </w:r>
                      </w:p>
                    </w:tc>
                  </w:tr>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3,306.01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万元，增长幅度为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29.35%</w:t>
                        </w:r>
                        <w:r>
                          <w:rPr>
                            <w:rFonts w:ascii="宋体" w:hAnsi="宋体" w:cs="宋体" w:eastAsia="宋体" w:hint="default"/>
                            <w:sz w:val="18"/>
                            <w:szCs w:val="18"/>
                          </w:rPr>
                          <w:t>，主要是购买土地使用权所致。</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7,415.98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万元，减少幅度为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56.39%</w:t>
                        </w:r>
                        <w:r>
                          <w:rPr>
                            <w:rFonts w:ascii="宋体" w:hAnsi="宋体" w:cs="宋体" w:eastAsia="宋体" w:hint="default"/>
                            <w:sz w:val="18"/>
                            <w:szCs w:val="18"/>
                          </w:rPr>
                          <w:t>，主要是广州金融外包服务总部平台和武汉浙商国际大厦完工 转入固定资产所致。</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12,718.97 </w:t>
                        </w:r>
                        <w:r>
                          <w:rPr>
                            <w:rFonts w:ascii="宋体" w:hAnsi="宋体" w:cs="宋体" w:eastAsia="宋体" w:hint="default"/>
                            <w:sz w:val="18"/>
                            <w:szCs w:val="18"/>
                          </w:rPr>
                          <w:t>万元，增长幅度为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31.53%</w:t>
                        </w:r>
                        <w:r>
                          <w:rPr>
                            <w:rFonts w:ascii="宋体" w:hAnsi="宋体" w:cs="宋体" w:eastAsia="宋体" w:hint="default"/>
                            <w:sz w:val="18"/>
                            <w:szCs w:val="18"/>
                          </w:rPr>
                          <w:t>，主要是溢价收购所致。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p>
      <w:pPr>
        <w:pStyle w:val="BodyText"/>
        <w:spacing w:line="316" w:lineRule="auto" w:before="29"/>
        <w:ind w:right="150" w:firstLine="360"/>
        <w:jc w:val="both"/>
      </w:pPr>
      <w:r>
        <w:rPr>
          <w:spacing w:val="-2"/>
        </w:rPr>
        <w:t>报告期内，公司的核心竞争力未发生重大变化，公司所拥有的在位优势、技术研发优势、服务优势及本土化优势，保障</w:t>
      </w:r>
      <w:r>
        <w:rPr/>
        <w:t> </w:t>
      </w:r>
      <w:r>
        <w:rPr>
          <w:spacing w:val="-2"/>
        </w:rPr>
        <w:t>了公司业务的稳定性和盈利能力的连续性；面对不断深化的行业变革，公司持续推进高端服务业务布局，服务业占比持续提</w:t>
      </w:r>
      <w:r>
        <w:rPr>
          <w:spacing w:val="-63"/>
        </w:rPr>
        <w:t> </w:t>
      </w:r>
      <w:r>
        <w:rPr>
          <w:spacing w:val="-63"/>
        </w:rPr>
      </w:r>
      <w:r>
        <w:rPr/>
        <w:t>升，同时，公司积极推进战略转型布局。</w:t>
      </w:r>
    </w:p>
    <w:p>
      <w:pPr>
        <w:pStyle w:val="BodyText"/>
        <w:spacing w:line="307" w:lineRule="auto" w:before="60"/>
        <w:ind w:right="151" w:firstLine="360"/>
        <w:jc w:val="both"/>
      </w:pPr>
      <w:r>
        <w:rPr>
          <w:rFonts w:ascii="Times New Roman" w:hAnsi="Times New Roman" w:cs="Times New Roman" w:eastAsia="Times New Roman" w:hint="default"/>
        </w:rPr>
        <w:t>1</w:t>
      </w:r>
      <w:r>
        <w:rPr/>
        <w:t>、在位优势：公司是全球领先的智能金融装备及系统解决方案提供商，致力于通过新产品和新技术研究，为客户提供 </w:t>
      </w:r>
      <w:r>
        <w:rPr>
          <w:spacing w:val="-2"/>
        </w:rPr>
        <w:t>系统解决方案。凭借快速灵活的需求定制能力、持续创新的自主研发能力、随时响应的服务能力，经过多年的市场培育和拓</w:t>
      </w:r>
      <w:r>
        <w:rPr>
          <w:spacing w:val="-65"/>
        </w:rPr>
        <w:t> </w:t>
      </w:r>
      <w:r>
        <w:rPr>
          <w:spacing w:val="-65"/>
        </w:rPr>
      </w:r>
      <w:r>
        <w:rPr/>
        <w:t>展，公司已赢得全球越来越多用户的信赖与合作。公司</w:t>
      </w:r>
      <w:r>
        <w:rPr>
          <w:spacing w:val="-3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3"/>
        </w:rPr>
        <w:t> </w:t>
      </w:r>
      <w:r>
        <w:rPr/>
        <w:t>自</w:t>
      </w:r>
      <w:r>
        <w:rPr>
          <w:spacing w:val="-3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年以来连续十年在国内市场销售量保持第一，是我国 同行业中经营规模最大、技术实力最强的</w:t>
      </w:r>
      <w:r>
        <w:rPr>
          <w:spacing w:val="-5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民族品牌供应商，在全球</w:t>
      </w:r>
      <w:r>
        <w:rPr>
          <w:spacing w:val="-5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市场位居前四名；公司</w:t>
      </w:r>
      <w:r>
        <w:rPr>
          <w:spacing w:val="-56"/>
        </w:rPr>
        <w:t> </w:t>
      </w:r>
      <w:r>
        <w:rPr>
          <w:rFonts w:ascii="Times New Roman" w:hAnsi="Times New Roman" w:cs="Times New Roman" w:eastAsia="Times New Roman" w:hint="default"/>
        </w:rPr>
        <w:t>AFC</w:t>
      </w:r>
      <w:r>
        <w:rPr>
          <w:rFonts w:ascii="Times New Roman" w:hAnsi="Times New Roman" w:cs="Times New Roman" w:eastAsia="Times New Roman" w:hint="default"/>
          <w:spacing w:val="-12"/>
        </w:rPr>
        <w:t> </w:t>
      </w:r>
      <w:r>
        <w:rPr/>
        <w:t>设备及核心模块 </w:t>
      </w:r>
      <w:r>
        <w:rPr>
          <w:spacing w:val="-2"/>
        </w:rPr>
        <w:t>在中国轨道交通与高速铁路客运专线得到广泛应用，极大推动了中国轨道交通的智能化进程；公司智能清分产品也在短短几</w:t>
      </w:r>
      <w:r>
        <w:rPr>
          <w:spacing w:val="-64"/>
        </w:rPr>
        <w:t> </w:t>
      </w:r>
      <w:r>
        <w:rPr>
          <w:spacing w:val="-64"/>
        </w:rPr>
      </w:r>
      <w:r>
        <w:rPr/>
        <w:t>年批量应用于国有大行、股份制银行、城商行及农村信用社等，在清分市场夺得一席之地。</w:t>
      </w:r>
    </w:p>
    <w:p>
      <w:pPr>
        <w:pStyle w:val="BodyText"/>
        <w:spacing w:line="300" w:lineRule="auto" w:before="64"/>
        <w:ind w:right="112" w:firstLine="360"/>
        <w:jc w:val="both"/>
      </w:pPr>
      <w:r>
        <w:rPr>
          <w:rFonts w:ascii="Times New Roman" w:hAnsi="Times New Roman" w:cs="Times New Roman" w:eastAsia="Times New Roman" w:hint="default"/>
        </w:rPr>
        <w:t>2</w:t>
      </w:r>
      <w:r>
        <w:rPr/>
        <w:t>、技术研发优势：公司自成立以来一直专注于核心竞争优势的建设，坚持“高投入、高产出”的研发战略思维，以市 场为导向，走自主研发、自主品牌的技术驱动之路，已成为全球真正掌握</w:t>
      </w:r>
      <w:r>
        <w:rPr>
          <w:spacing w:val="-57"/>
        </w:rPr>
        <w:t> </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t>核心现金循环技术的少数几家企业之一。且 公司秉承以技术创新为用户创造价值，陆续研发了</w:t>
      </w:r>
      <w:r>
        <w:rPr>
          <w:spacing w:val="-36"/>
        </w:rPr>
        <w:t> </w:t>
      </w:r>
      <w:r>
        <w:rPr>
          <w:rFonts w:ascii="Times New Roman" w:hAnsi="Times New Roman" w:cs="Times New Roman" w:eastAsia="Times New Roman" w:hint="default"/>
        </w:rPr>
        <w:t>AFC</w:t>
      </w:r>
      <w:r>
        <w:rPr>
          <w:rFonts w:ascii="Times New Roman" w:hAnsi="Times New Roman" w:cs="Times New Roman" w:eastAsia="Times New Roman" w:hint="default"/>
          <w:spacing w:val="6"/>
        </w:rPr>
        <w:t> </w:t>
      </w:r>
      <w:r>
        <w:rPr/>
        <w:t>系统解决方案及智能清分系统解决方案，成功将公司的产业链拓展 到智能交通领域及清分领域。近几年，面对银行业业务流程重组及网点转型，公司不断开发出远程视频柜员机</w:t>
      </w:r>
      <w:r>
        <w:rPr>
          <w:spacing w:val="-44"/>
        </w:rPr>
        <w:t> </w:t>
      </w:r>
      <w:r>
        <w:rPr>
          <w:rFonts w:ascii="Times New Roman" w:hAnsi="Times New Roman" w:cs="Times New Roman" w:eastAsia="Times New Roman" w:hint="default"/>
        </w:rPr>
        <w:t>VTM</w:t>
      </w:r>
      <w:r>
        <w:rPr/>
        <w:t>、</w:t>
      </w:r>
      <w:r>
        <w:rPr>
          <w:rFonts w:ascii="Times New Roman" w:hAnsi="Times New Roman" w:cs="Times New Roman" w:eastAsia="Times New Roman" w:hint="default"/>
        </w:rPr>
        <w:t>i58</w:t>
      </w:r>
      <w:r>
        <w:rPr/>
        <w:t>、 </w:t>
      </w:r>
      <w:r>
        <w:rPr>
          <w:rFonts w:ascii="Times New Roman" w:hAnsi="Times New Roman" w:cs="Times New Roman" w:eastAsia="Times New Roman" w:hint="default"/>
        </w:rPr>
        <w:t>P </w:t>
      </w:r>
      <w:r>
        <w:rPr/>
        <w:t>系列、智能柜台金融终端设备等新产品，融合互联网技术，将产品链由“柜员机”向“智能网点”延伸。</w:t>
      </w: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t>年，公司 设立</w:t>
      </w:r>
      <w:r>
        <w:rPr>
          <w:spacing w:val="-64"/>
        </w:rPr>
        <w:t> </w:t>
      </w:r>
      <w:r>
        <w:rPr>
          <w:rFonts w:ascii="Times New Roman" w:hAnsi="Times New Roman" w:cs="Times New Roman" w:eastAsia="Times New Roman" w:hint="default"/>
        </w:rPr>
        <w:t>FinTech</w:t>
      </w:r>
      <w:r>
        <w:rPr>
          <w:rFonts w:ascii="Times New Roman" w:hAnsi="Times New Roman" w:cs="Times New Roman" w:eastAsia="Times New Roman" w:hint="default"/>
          <w:spacing w:val="-18"/>
        </w:rPr>
        <w:t> </w:t>
      </w:r>
      <w:r>
        <w:rPr/>
        <w:t>研究中心，策划成立人工智能研究院，深入开展生物识别、智能视频、智能语音、区块链等创新技术研发，在 多领域实现应用落地。</w:t>
      </w:r>
    </w:p>
    <w:p>
      <w:pPr>
        <w:pStyle w:val="BodyText"/>
        <w:spacing w:line="307" w:lineRule="auto" w:before="72"/>
        <w:ind w:right="149" w:firstLine="360"/>
        <w:jc w:val="both"/>
      </w:pPr>
      <w:r>
        <w:rPr>
          <w:rFonts w:ascii="Times New Roman" w:hAnsi="Times New Roman" w:cs="Times New Roman" w:eastAsia="Times New Roman" w:hint="default"/>
        </w:rPr>
        <w:t>3</w:t>
      </w:r>
      <w:r>
        <w:rPr/>
        <w:t>、服务优势：公司在构建产品售后服务体系的基础上不断挖掘产业链价值，拓展服务领域，公司的服务业务包括自助 设备维保业务和金融外包服务业务两大块。在自助设备维保服务方面，公司建立了覆盖全国的维保服务体系，在</w:t>
      </w:r>
      <w:r>
        <w:rPr>
          <w:spacing w:val="-40"/>
        </w:rPr>
        <w:t> </w:t>
      </w:r>
      <w:r>
        <w:rPr>
          <w:rFonts w:ascii="Times New Roman" w:hAnsi="Times New Roman" w:cs="Times New Roman" w:eastAsia="Times New Roman" w:hint="default"/>
        </w:rPr>
        <w:t>32</w:t>
      </w:r>
      <w:r>
        <w:rPr>
          <w:rFonts w:ascii="Times New Roman" w:hAnsi="Times New Roman" w:cs="Times New Roman" w:eastAsia="Times New Roman" w:hint="default"/>
          <w:spacing w:val="4"/>
        </w:rPr>
        <w:t> </w:t>
      </w:r>
      <w:r>
        <w:rPr/>
        <w:t>个省市 和自治区拥有超过</w:t>
      </w:r>
      <w:r>
        <w:rPr>
          <w:spacing w:val="-43"/>
        </w:rPr>
        <w:t> </w:t>
      </w:r>
      <w:r>
        <w:rPr>
          <w:rFonts w:ascii="Times New Roman" w:hAnsi="Times New Roman" w:cs="Times New Roman" w:eastAsia="Times New Roman" w:hint="default"/>
        </w:rPr>
        <w:t>890</w:t>
      </w:r>
      <w:r>
        <w:rPr>
          <w:rFonts w:ascii="Times New Roman" w:hAnsi="Times New Roman" w:cs="Times New Roman" w:eastAsia="Times New Roman" w:hint="default"/>
          <w:spacing w:val="3"/>
        </w:rPr>
        <w:t> </w:t>
      </w:r>
      <w:r>
        <w:rPr/>
        <w:t>个服务站，不仅保障了公司自有品牌</w:t>
      </w:r>
      <w:r>
        <w:rPr>
          <w:spacing w:val="-43"/>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的快速响应维保服务，还能承接其他品牌的</w:t>
      </w:r>
      <w:r>
        <w:rPr>
          <w:spacing w:val="-4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维保业 务和各种智能设备维保业务。在金融外包服务业务方面，公司搭建了现金外包服务系统，在全国范围内已有</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多家专业现 </w:t>
      </w:r>
      <w:r>
        <w:rPr>
          <w:spacing w:val="-2"/>
        </w:rPr>
        <w:t>金外包服务公司及押运公司，用现代化手段承接和整合银行传统业务，帮助银行实现现代化转型升级，并自主研发了钞票冠</w:t>
      </w:r>
      <w:r>
        <w:rPr>
          <w:spacing w:val="-63"/>
        </w:rPr>
        <w:t> </w:t>
      </w:r>
      <w:r>
        <w:rPr>
          <w:spacing w:val="-63"/>
        </w:rPr>
      </w:r>
      <w:r>
        <w:rPr>
          <w:spacing w:val="-2"/>
        </w:rPr>
        <w:t>字号识别与定位追踪、动态密码、视频监控等现金外包服务的核心技术，逐步形成了专业化、规模化、集成化的现金外包服</w:t>
      </w:r>
      <w:r>
        <w:rPr>
          <w:spacing w:val="-67"/>
        </w:rPr>
        <w:t> </w:t>
      </w:r>
      <w:r>
        <w:rPr>
          <w:spacing w:val="-67"/>
        </w:rPr>
      </w:r>
      <w:r>
        <w:rPr/>
        <w:t>务优势。同时公司还积极拓展了智慧银行、智能呼叫业务等创新服务业务。</w:t>
      </w:r>
    </w:p>
    <w:p>
      <w:pPr>
        <w:pStyle w:val="BodyText"/>
        <w:spacing w:line="300" w:lineRule="auto" w:before="67"/>
        <w:ind w:right="151" w:firstLine="360"/>
        <w:jc w:val="both"/>
      </w:pPr>
      <w:r>
        <w:rPr>
          <w:rFonts w:ascii="Times New Roman" w:hAnsi="Times New Roman" w:cs="Times New Roman" w:eastAsia="Times New Roman" w:hint="default"/>
        </w:rPr>
        <w:t>4</w:t>
      </w:r>
      <w:r>
        <w:rPr/>
        <w:t>、本土化优势：公司作为本土企业，较之国外厂商有较强的成本优势，且随着金融机具国产化趋势的加强，各大银行 采购国产品牌</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17"/>
        </w:rPr>
        <w:t> </w:t>
      </w:r>
      <w:r>
        <w:rPr/>
        <w:t>的比例不断提升，本土企业更能够享受到政策上的优惠。此外，公司作为本土企业更能紧跟国内银行业</w:t>
      </w:r>
    </w:p>
    <w:p>
      <w:pPr>
        <w:spacing w:after="0" w:line="300" w:lineRule="auto"/>
        <w:jc w:val="both"/>
        <w:sectPr>
          <w:pgSz w:w="11910" w:h="16840"/>
          <w:pgMar w:header="880" w:footer="979" w:top="1100" w:bottom="1160" w:left="980" w:right="980"/>
        </w:sectPr>
      </w:pPr>
    </w:p>
    <w:p>
      <w:pPr>
        <w:spacing w:line="240" w:lineRule="auto" w:before="0"/>
        <w:rPr>
          <w:rFonts w:ascii="宋体" w:hAnsi="宋体" w:cs="宋体" w:eastAsia="宋体" w:hint="default"/>
          <w:sz w:val="22"/>
          <w:szCs w:val="22"/>
        </w:rPr>
      </w:pPr>
    </w:p>
    <w:p>
      <w:pPr>
        <w:pStyle w:val="BodyText"/>
        <w:spacing w:line="316" w:lineRule="auto" w:before="44"/>
        <w:ind w:right="106"/>
        <w:jc w:val="left"/>
      </w:pPr>
      <w:r>
        <w:rPr>
          <w:spacing w:val="-2"/>
        </w:rPr>
        <w:t>网点转型步伐，及时了解银行最新动态，及时响应客户需求，快速应变，研制出更符合客户需求的新产品推向市场。且公司</w:t>
      </w:r>
      <w:r>
        <w:rPr>
          <w:spacing w:val="-66"/>
        </w:rPr>
        <w:t> </w:t>
      </w:r>
      <w:r>
        <w:rPr>
          <w:spacing w:val="-66"/>
        </w:rPr>
      </w:r>
      <w:r>
        <w:rPr/>
        <w:t>作为国有控股的本土企业，符合收购武装押运公司的政策要求，这为公司进军</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全产业链外包服务形成独特竞争优势。</w:t>
      </w:r>
    </w:p>
    <w:p>
      <w:pPr>
        <w:spacing w:after="0" w:line="316" w:lineRule="auto"/>
        <w:jc w:val="lef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87"/>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9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spacing w:val="-2"/>
        </w:rPr>
        <w:t>年，公司围绕“固本拓新</w:t>
      </w:r>
      <w:r>
        <w:rPr>
          <w:rFonts w:ascii="Times New Roman" w:hAnsi="Times New Roman" w:cs="Times New Roman" w:eastAsia="Times New Roman" w:hint="default"/>
          <w:spacing w:val="-2"/>
        </w:rPr>
        <w:t>•</w:t>
      </w:r>
      <w:r>
        <w:rPr>
          <w:spacing w:val="-2"/>
        </w:rPr>
        <w:t>资本助力，全球竞合</w:t>
      </w:r>
      <w:r>
        <w:rPr>
          <w:rFonts w:ascii="Times New Roman" w:hAnsi="Times New Roman" w:cs="Times New Roman" w:eastAsia="Times New Roman" w:hint="default"/>
          <w:spacing w:val="-2"/>
        </w:rPr>
        <w:t>•</w:t>
      </w:r>
      <w:r>
        <w:rPr>
          <w:spacing w:val="-2"/>
        </w:rPr>
        <w:t>发展共赢”的年度发展主题，克服传统现金设备市场需求增速下滑</w:t>
      </w:r>
      <w:r>
        <w:rPr/>
        <w:t> </w:t>
      </w:r>
      <w:r>
        <w:rPr>
          <w:spacing w:val="-2"/>
        </w:rPr>
        <w:t>影响，规划部署战略转型策略，深入拓展海外、智慧交通市场，积极创新服务模式，布局并推动人工智能技术应用，各项经</w:t>
      </w:r>
      <w:r>
        <w:rPr>
          <w:spacing w:val="-67"/>
        </w:rPr>
        <w:t> </w:t>
      </w:r>
      <w:r>
        <w:rPr>
          <w:spacing w:val="-67"/>
        </w:rPr>
      </w:r>
      <w:r>
        <w:rPr/>
        <w:t>营活动平稳有序开展。</w:t>
      </w:r>
    </w:p>
    <w:p>
      <w:pPr>
        <w:pStyle w:val="Heading5"/>
        <w:spacing w:line="240" w:lineRule="auto" w:before="60"/>
        <w:ind w:left="513" w:right="87"/>
        <w:jc w:val="left"/>
        <w:rPr>
          <w:b w:val="0"/>
          <w:bCs w:val="0"/>
        </w:rPr>
      </w:pPr>
      <w:r>
        <w:rPr>
          <w:rFonts w:ascii="Times New Roman" w:hAnsi="Times New Roman" w:cs="Times New Roman" w:eastAsia="Times New Roman" w:hint="default"/>
        </w:rPr>
        <w:t>1</w:t>
      </w:r>
      <w:r>
        <w:rPr/>
        <w:t>、传统领域</w:t>
      </w:r>
      <w:r>
        <w:rPr>
          <w:b w:val="0"/>
          <w:bCs w:val="0"/>
        </w:rPr>
      </w:r>
    </w:p>
    <w:p>
      <w:pPr>
        <w:pStyle w:val="BodyText"/>
        <w:spacing w:line="304" w:lineRule="auto" w:before="106"/>
        <w:ind w:right="188" w:firstLine="360"/>
        <w:jc w:val="both"/>
      </w:pPr>
      <w:r>
        <w:rPr/>
        <w:t>在国内市场上，随着移动支付技术应用及银行网点转型的不断深入，传统</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4"/>
        </w:rPr>
        <w:t> </w:t>
      </w:r>
      <w:r>
        <w:rPr/>
        <w:t>设备市场需求增速放缓、设备价格继续 下滑，行业洗牌加速，报告期公司新签合同订单同比有所下降。面对持续发酵的行业变革，公司一方面继续抢占传统</w:t>
      </w:r>
      <w:r>
        <w:rPr>
          <w:spacing w:val="-34"/>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市场，首次入围工行，一体机重新入围农行、光大银行，新增省</w:t>
      </w:r>
      <w:r>
        <w:rPr>
          <w:rFonts w:ascii="Times New Roman" w:hAnsi="Times New Roman" w:cs="Times New Roman" w:eastAsia="Times New Roman" w:hint="default"/>
        </w:rPr>
        <w:t>/</w:t>
      </w:r>
      <w:r>
        <w:rPr/>
        <w:t>市分行客户</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spacing w:val="-3"/>
        </w:rPr>
        <w:t>家、村镇银行</w:t>
      </w:r>
      <w:r>
        <w:rPr>
          <w:spacing w:val="-54"/>
        </w:rPr>
        <w:t> </w:t>
      </w:r>
      <w:r>
        <w:rPr>
          <w:rFonts w:ascii="Times New Roman" w:hAnsi="Times New Roman" w:cs="Times New Roman" w:eastAsia="Times New Roman" w:hint="default"/>
        </w:rPr>
        <w:t>49</w:t>
      </w:r>
      <w:r>
        <w:rPr>
          <w:rFonts w:ascii="Times New Roman" w:hAnsi="Times New Roman" w:cs="Times New Roman" w:eastAsia="Times New Roman" w:hint="default"/>
          <w:spacing w:val="-9"/>
        </w:rPr>
        <w:t> </w:t>
      </w:r>
      <w:r>
        <w:rPr>
          <w:spacing w:val="-4"/>
        </w:rPr>
        <w:t>家，传统</w:t>
      </w:r>
      <w:r>
        <w:rPr>
          <w:spacing w:val="-53"/>
        </w:rPr>
        <w:t> </w:t>
      </w:r>
      <w:r>
        <w:rPr>
          <w:rFonts w:ascii="Times New Roman" w:hAnsi="Times New Roman" w:cs="Times New Roman" w:eastAsia="Times New Roman" w:hint="default"/>
        </w:rPr>
        <w:t>ATM</w:t>
      </w:r>
      <w:r>
        <w:rPr>
          <w:rFonts w:ascii="Times New Roman" w:hAnsi="Times New Roman" w:cs="Times New Roman" w:eastAsia="Times New Roman" w:hint="default"/>
          <w:spacing w:val="-9"/>
        </w:rPr>
        <w:t> </w:t>
      </w:r>
      <w:r>
        <w:rPr/>
        <w:t>市场继续保 </w:t>
      </w:r>
      <w:r>
        <w:rPr>
          <w:spacing w:val="-2"/>
        </w:rPr>
        <w:t>持第一的地位；另一方面，积极拓展银行创新产品市场，大额存取款机实现平安银行入围，自助超级柜台进入农行，智能网</w:t>
      </w:r>
      <w:r>
        <w:rPr>
          <w:spacing w:val="-67"/>
        </w:rPr>
        <w:t> </w:t>
      </w:r>
      <w:r>
        <w:rPr>
          <w:spacing w:val="-67"/>
        </w:rPr>
      </w:r>
      <w:r>
        <w:rPr/>
        <w:t>点产品在交行、浦发、兴业等总行实现批量销售。</w:t>
      </w:r>
    </w:p>
    <w:p>
      <w:pPr>
        <w:pStyle w:val="BodyText"/>
        <w:spacing w:line="309" w:lineRule="auto" w:before="68"/>
        <w:ind w:right="191" w:firstLine="360"/>
        <w:jc w:val="both"/>
      </w:pPr>
      <w:r>
        <w:rPr>
          <w:spacing w:val="-2"/>
        </w:rPr>
        <w:t>在海外市场上，围绕“转化思维、扩大格局、加快国际化转型”的工作思路，公司坚持全球本地化策略，对各区域市场</w:t>
      </w:r>
      <w:r>
        <w:rPr/>
        <w:t> 进行分析和调整，重点市场精耕细作，全面出击，巩固了多点并进的发展态势，</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年业绩保持增长。其中，美洲区、非 洲区、亚太区增长显著；土耳其市场优势持续巩固，全年签订合同</w:t>
      </w:r>
      <w:r>
        <w:rPr>
          <w:spacing w:val="-66"/>
        </w:rPr>
        <w:t> </w:t>
      </w:r>
      <w:r>
        <w:rPr>
          <w:rFonts w:ascii="Times New Roman" w:hAnsi="Times New Roman" w:cs="Times New Roman" w:eastAsia="Times New Roman" w:hint="default"/>
        </w:rPr>
        <w:t>8,600</w:t>
      </w:r>
      <w:r>
        <w:rPr>
          <w:rFonts w:ascii="Times New Roman" w:hAnsi="Times New Roman" w:cs="Times New Roman" w:eastAsia="Times New Roman" w:hint="default"/>
          <w:spacing w:val="-21"/>
        </w:rPr>
        <w:t> </w:t>
      </w:r>
      <w:r>
        <w:rPr/>
        <w:t>多万元；哈萨克斯坦市场取得批量突破，与代理签</w:t>
      </w:r>
    </w:p>
    <w:p>
      <w:pPr>
        <w:pStyle w:val="BodyText"/>
        <w:spacing w:line="300" w:lineRule="auto" w:before="5"/>
        <w:ind w:right="192"/>
        <w:jc w:val="both"/>
      </w:pPr>
      <w:r>
        <w:rPr/>
        <w:t>订</w:t>
      </w:r>
      <w:r>
        <w:rPr>
          <w:spacing w:val="-4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多万元合同；意大利市场循环机芯销售持续超</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台；泰国、巴基斯坦市场取得批量突破；清分机在多地区销售 良好；</w:t>
      </w:r>
      <w:r>
        <w:rPr>
          <w:rFonts w:ascii="Times New Roman" w:hAnsi="Times New Roman" w:cs="Times New Roman" w:eastAsia="Times New Roman" w:hint="default"/>
        </w:rPr>
        <w:t>P </w:t>
      </w:r>
      <w:r>
        <w:rPr/>
        <w:t>系列产品在中东区继续保持良好势头；此外，还获得中银澳门跨平台软件项目。</w:t>
      </w:r>
    </w:p>
    <w:p>
      <w:pPr>
        <w:pStyle w:val="Heading5"/>
        <w:spacing w:line="240" w:lineRule="auto" w:before="49"/>
        <w:ind w:left="513" w:right="87"/>
        <w:jc w:val="left"/>
        <w:rPr>
          <w:b w:val="0"/>
          <w:bCs w:val="0"/>
        </w:rPr>
      </w:pPr>
      <w:r>
        <w:rPr>
          <w:rFonts w:ascii="Times New Roman" w:hAnsi="Times New Roman" w:cs="Times New Roman" w:eastAsia="Times New Roman" w:hint="default"/>
        </w:rPr>
        <w:t>2</w:t>
      </w:r>
      <w:r>
        <w:rPr/>
        <w:t>、服务领域</w:t>
      </w:r>
      <w:r>
        <w:rPr>
          <w:b w:val="0"/>
          <w:bCs w:val="0"/>
        </w:rPr>
      </w:r>
    </w:p>
    <w:p>
      <w:pPr>
        <w:pStyle w:val="BodyText"/>
        <w:spacing w:line="300" w:lineRule="auto" w:before="106"/>
        <w:ind w:right="19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spacing w:val="-2"/>
        </w:rPr>
        <w:t>年，公司稳步推进设备维保、金融服务外包业务布局，积极探索“互联网</w:t>
      </w:r>
      <w:r>
        <w:rPr>
          <w:rFonts w:ascii="Times New Roman" w:hAnsi="Times New Roman" w:cs="Times New Roman" w:eastAsia="Times New Roman" w:hint="default"/>
          <w:spacing w:val="-2"/>
        </w:rPr>
        <w:t>+</w:t>
      </w:r>
      <w:r>
        <w:rPr>
          <w:spacing w:val="-2"/>
        </w:rPr>
        <w:t>服务”新业务模式，服务业收入延续高</w:t>
      </w:r>
      <w:r>
        <w:rPr/>
        <w:t> 速增长态势。</w:t>
      </w:r>
    </w:p>
    <w:p>
      <w:pPr>
        <w:pStyle w:val="BodyText"/>
        <w:spacing w:line="307" w:lineRule="auto" w:before="72"/>
        <w:ind w:right="152" w:firstLine="360"/>
        <w:jc w:val="both"/>
      </w:pPr>
      <w:r>
        <w:rPr>
          <w:spacing w:val="-2"/>
        </w:rPr>
        <w:t>在金融维保服务市场上，银行业变革转型持续，维保业务价格继续下行，面对如此经营环境，广州银通推广应用全设备</w:t>
      </w:r>
      <w:r>
        <w:rPr/>
        <w:t> 管理云平台、全生命周期管理，策划推动全成本管理，努力提高维保效能，</w:t>
      </w:r>
      <w:r>
        <w:rPr>
          <w:rFonts w:ascii="Times New Roman" w:hAnsi="Times New Roman" w:cs="Times New Roman" w:eastAsia="Times New Roman" w:hint="default"/>
        </w:rPr>
        <w:t>2017 </w:t>
      </w:r>
      <w:r>
        <w:rPr/>
        <w:t>年维保业务仍保持增长。截止</w:t>
      </w:r>
      <w:r>
        <w:rPr>
          <w:spacing w:val="-47"/>
        </w:rPr>
        <w:t> </w:t>
      </w:r>
      <w:r>
        <w:rPr>
          <w:rFonts w:ascii="Times New Roman" w:hAnsi="Times New Roman" w:cs="Times New Roman" w:eastAsia="Times New Roman" w:hint="default"/>
        </w:rPr>
        <w:t>2017 </w:t>
      </w:r>
      <w:r>
        <w:rPr/>
        <w:t>年底， 广州银通下设服务站</w:t>
      </w:r>
      <w:r>
        <w:rPr>
          <w:spacing w:val="-50"/>
        </w:rPr>
        <w:t> </w:t>
      </w:r>
      <w:r>
        <w:rPr>
          <w:rFonts w:ascii="Times New Roman" w:hAnsi="Times New Roman" w:cs="Times New Roman" w:eastAsia="Times New Roman" w:hint="default"/>
        </w:rPr>
        <w:t>890</w:t>
      </w:r>
      <w:r>
        <w:rPr>
          <w:rFonts w:ascii="Times New Roman" w:hAnsi="Times New Roman" w:cs="Times New Roman" w:eastAsia="Times New Roman" w:hint="default"/>
          <w:spacing w:val="-5"/>
        </w:rPr>
        <w:t> </w:t>
      </w:r>
      <w:r>
        <w:rPr/>
        <w:t>多个，维保设备总量达</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万多台，一线服务工程师</w:t>
      </w:r>
      <w:r>
        <w:rPr>
          <w:spacing w:val="-50"/>
        </w:rPr>
        <w:t> </w:t>
      </w:r>
      <w:r>
        <w:rPr>
          <w:rFonts w:ascii="Times New Roman" w:hAnsi="Times New Roman" w:cs="Times New Roman" w:eastAsia="Times New Roman" w:hint="default"/>
        </w:rPr>
        <w:t>3,500</w:t>
      </w:r>
      <w:r>
        <w:rPr>
          <w:rFonts w:ascii="Times New Roman" w:hAnsi="Times New Roman" w:cs="Times New Roman" w:eastAsia="Times New Roman" w:hint="default"/>
          <w:spacing w:val="-5"/>
        </w:rPr>
        <w:t> </w:t>
      </w:r>
      <w:r>
        <w:rPr/>
        <w:t>多人，数据直连</w:t>
      </w:r>
      <w:r>
        <w:rPr>
          <w:spacing w:val="-50"/>
        </w:rPr>
        <w:t> </w:t>
      </w:r>
      <w:r>
        <w:rPr>
          <w:rFonts w:ascii="Times New Roman" w:hAnsi="Times New Roman" w:cs="Times New Roman" w:eastAsia="Times New Roman" w:hint="default"/>
        </w:rPr>
        <w:t>44</w:t>
      </w:r>
      <w:r>
        <w:rPr>
          <w:rFonts w:ascii="Times New Roman" w:hAnsi="Times New Roman" w:cs="Times New Roman" w:eastAsia="Times New Roman" w:hint="default"/>
          <w:spacing w:val="-5"/>
        </w:rPr>
        <w:t> </w:t>
      </w:r>
      <w:r>
        <w:rPr/>
        <w:t>家，大行开机率保持 </w:t>
      </w:r>
      <w:r>
        <w:rPr>
          <w:spacing w:val="-2"/>
        </w:rPr>
        <w:t>前三。依托强大的服务网络，广州银通积极抢占多品牌维保市场，中标陕西邮政、贵州建行等多个维保项目，并积极拓展金</w:t>
      </w:r>
      <w:r>
        <w:rPr>
          <w:spacing w:val="-67"/>
        </w:rPr>
        <w:t> </w:t>
      </w:r>
      <w:r>
        <w:rPr>
          <w:spacing w:val="-67"/>
        </w:rPr>
      </w:r>
      <w:r>
        <w:rPr/>
        <w:t>融、电信、电力、零售等领域智能设备维保业务。报告期内，控股设立了平云小匠，探索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业务模式，与粤铁</w:t>
      </w:r>
      <w:r>
        <w:rPr>
          <w:spacing w:val="-77"/>
        </w:rPr>
        <w:t> </w:t>
      </w:r>
      <w:r>
        <w:rPr>
          <w:spacing w:val="-77"/>
        </w:rPr>
      </w:r>
      <w:r>
        <w:rPr/>
        <w:t>天福、神州光大、四川百能结成战略合作伙伴，平台注册用户已近 </w:t>
      </w:r>
      <w:r>
        <w:rPr>
          <w:rFonts w:ascii="Times New Roman" w:hAnsi="Times New Roman" w:cs="Times New Roman" w:eastAsia="Times New Roman" w:hint="default"/>
        </w:rPr>
        <w:t>4 </w:t>
      </w:r>
      <w:r>
        <w:rPr/>
        <w:t>万人，积极开拓自助设备、商业显示屏、</w:t>
      </w:r>
      <w:r>
        <w:rPr>
          <w:rFonts w:ascii="Times New Roman" w:hAnsi="Times New Roman" w:cs="Times New Roman" w:eastAsia="Times New Roman" w:hint="default"/>
        </w:rPr>
        <w:t>IT</w:t>
      </w:r>
      <w:r>
        <w:rPr>
          <w:rFonts w:ascii="Times New Roman" w:hAnsi="Times New Roman" w:cs="Times New Roman" w:eastAsia="Times New Roman" w:hint="default"/>
          <w:spacing w:val="18"/>
        </w:rPr>
        <w:t> </w:t>
      </w:r>
      <w:r>
        <w:rPr/>
        <w:t>网络设备 等方面的服务。</w:t>
      </w:r>
    </w:p>
    <w:p>
      <w:pPr>
        <w:pStyle w:val="BodyText"/>
        <w:spacing w:line="300" w:lineRule="auto" w:before="65"/>
        <w:ind w:right="191" w:firstLine="360"/>
        <w:jc w:val="both"/>
      </w:pPr>
      <w:r>
        <w:rPr/>
        <w:t>在现金外包服务业务方面，</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年，深入拓展现金全外包服务业务，突破成都建行、贵阳建行、重庆建行、武汉招行 等项目，成功与交行、民生、中信等总行签订外包服务业务合作项目，新增设备</w:t>
      </w:r>
      <w:r>
        <w:rPr>
          <w:spacing w:val="-45"/>
        </w:rPr>
        <w:t> </w:t>
      </w:r>
      <w:r>
        <w:rPr>
          <w:rFonts w:ascii="Times New Roman" w:hAnsi="Times New Roman" w:cs="Times New Roman" w:eastAsia="Times New Roman" w:hint="default"/>
        </w:rPr>
        <w:t>2,800</w:t>
      </w:r>
      <w:r>
        <w:rPr>
          <w:rFonts w:ascii="Times New Roman" w:hAnsi="Times New Roman" w:cs="Times New Roman" w:eastAsia="Times New Roman" w:hint="default"/>
          <w:spacing w:val="1"/>
        </w:rPr>
        <w:t> </w:t>
      </w:r>
      <w:r>
        <w:rPr/>
        <w:t>多台，现金设备总量近</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万台。其</w:t>
      </w:r>
    </w:p>
    <w:p>
      <w:pPr>
        <w:pStyle w:val="BodyText"/>
        <w:spacing w:line="309" w:lineRule="auto" w:before="13"/>
        <w:ind w:right="191"/>
        <w:jc w:val="both"/>
      </w:pPr>
      <w:r>
        <w:rPr/>
        <w:t>中，广州穗通聚焦广州现金外包服务业务，全年实现收入近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亿元。新收购</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家押运公司，押运公司总数</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家；拓展押运 </w:t>
      </w:r>
      <w:r>
        <w:rPr>
          <w:spacing w:val="-2"/>
        </w:rPr>
        <w:t>公司业务链，积极推广智能押运、贵重物品及档案管理等信息化解决方案。外包服务基地建设全面铺开，广州、武汉、南昌</w:t>
      </w:r>
      <w:r>
        <w:rPr>
          <w:spacing w:val="-70"/>
        </w:rPr>
        <w:t> </w:t>
      </w:r>
      <w:r>
        <w:rPr>
          <w:spacing w:val="-70"/>
        </w:rPr>
      </w:r>
      <w:r>
        <w:rPr/>
        <w:t>服务基地已竣工启用。</w:t>
      </w:r>
    </w:p>
    <w:p>
      <w:pPr>
        <w:pStyle w:val="BodyText"/>
        <w:spacing w:line="316" w:lineRule="auto" w:before="65"/>
        <w:ind w:right="101" w:firstLine="360"/>
        <w:jc w:val="both"/>
      </w:pPr>
      <w:r>
        <w:rPr>
          <w:spacing w:val="-4"/>
        </w:rPr>
        <w:t>在非现金外包服务业务方面，江苏汇通克服交行业务下滑影响，大力拓展中行、光大、兴业等客户，积极推进智慧银行、</w:t>
      </w:r>
      <w:r>
        <w:rPr/>
        <w:t> 智能呼叫业务等创新业务，全年实现业务收入超过</w:t>
      </w:r>
      <w:r>
        <w:rPr>
          <w:spacing w:val="-46"/>
        </w:rPr>
        <w:t> </w:t>
      </w:r>
      <w:r>
        <w:rPr>
          <w:rFonts w:ascii="Times New Roman" w:hAnsi="Times New Roman" w:cs="Times New Roman" w:eastAsia="Times New Roman" w:hint="default"/>
        </w:rPr>
        <w:t>2 </w:t>
      </w:r>
      <w:r>
        <w:rPr/>
        <w:t>亿元。</w:t>
      </w:r>
    </w:p>
    <w:p>
      <w:pPr>
        <w:pStyle w:val="BodyText"/>
        <w:spacing w:line="340" w:lineRule="auto" w:before="37"/>
        <w:ind w:left="513" w:right="87"/>
        <w:jc w:val="left"/>
      </w:pPr>
      <w:r>
        <w:rPr>
          <w:rFonts w:ascii="Times New Roman" w:hAnsi="Times New Roman" w:cs="Times New Roman" w:eastAsia="Times New Roman" w:hint="default"/>
          <w:b/>
          <w:bCs/>
        </w:rPr>
        <w:t>3</w:t>
      </w:r>
      <w:r>
        <w:rPr>
          <w:rFonts w:ascii="宋体" w:hAnsi="宋体" w:cs="宋体" w:eastAsia="宋体" w:hint="default"/>
          <w:b/>
          <w:bCs/>
        </w:rPr>
        <w:t>、拓展领域</w:t>
      </w:r>
      <w:r>
        <w:rPr>
          <w:rFonts w:ascii="宋体" w:hAnsi="宋体" w:cs="宋体" w:eastAsia="宋体" w:hint="default"/>
          <w:b/>
          <w:bCs/>
          <w:w w:val="99"/>
        </w:rPr>
        <w:t> </w:t>
      </w:r>
      <w:r>
        <w:rPr>
          <w:spacing w:val="-2"/>
        </w:rPr>
        <w:t>在智慧交通市场，已全面独立运作的全资子公司运通智能坚持整机与模块销售并行的策略，深挖地铁、高铁市场，持续</w:t>
      </w:r>
    </w:p>
    <w:p>
      <w:pPr>
        <w:pStyle w:val="BodyText"/>
        <w:spacing w:line="307" w:lineRule="auto" w:before="1"/>
        <w:ind w:right="189"/>
        <w:jc w:val="both"/>
      </w:pPr>
      <w:r>
        <w:rPr/>
        <w:t>拓展客运、影院、旅游等零售市场，积极顺应科技潮流，加速布局互联网</w:t>
      </w:r>
      <w:r>
        <w:rPr>
          <w:rFonts w:ascii="Times New Roman" w:hAnsi="Times New Roman" w:cs="Times New Roman" w:eastAsia="Times New Roman" w:hint="default"/>
        </w:rPr>
        <w:t>+AFC</w:t>
      </w:r>
      <w:r>
        <w:rPr>
          <w:rFonts w:ascii="Times New Roman" w:hAnsi="Times New Roman" w:cs="Times New Roman" w:eastAsia="Times New Roman" w:hint="default"/>
          <w:spacing w:val="-30"/>
        </w:rPr>
        <w:t> </w:t>
      </w:r>
      <w:r>
        <w:rPr>
          <w:spacing w:val="-3"/>
        </w:rPr>
        <w:t>产品，</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9"/>
        </w:rPr>
        <w:t> </w:t>
      </w:r>
      <w:r>
        <w:rPr/>
        <w:t>年业绩保持较快增长。地铁市场 </w:t>
      </w:r>
      <w:r>
        <w:rPr>
          <w:spacing w:val="-2"/>
        </w:rPr>
        <w:t>上，继续提高北京、广州、深圳等一线城市的市场占有率，深化二线城市的开拓，中标北京、广州、西安、武汉、天津、大</w:t>
      </w:r>
      <w:r>
        <w:rPr>
          <w:spacing w:val="-70"/>
        </w:rPr>
        <w:t> </w:t>
      </w:r>
      <w:r>
        <w:rPr>
          <w:spacing w:val="-70"/>
        </w:rPr>
      </w:r>
      <w:r>
        <w:rPr/>
        <w:t>连、三亚、宁波等城市多条线路；高铁市场上，持续推进非现金设备、闸机等产品的开拓；海外市场上，</w:t>
      </w:r>
      <w:r>
        <w:rPr>
          <w:rFonts w:ascii="Times New Roman" w:hAnsi="Times New Roman" w:cs="Times New Roman" w:eastAsia="Times New Roman" w:hint="default"/>
        </w:rPr>
        <w:t>TVM</w:t>
      </w:r>
      <w:r>
        <w:rPr>
          <w:rFonts w:ascii="Times New Roman" w:hAnsi="Times New Roman" w:cs="Times New Roman" w:eastAsia="Times New Roman" w:hint="default"/>
          <w:spacing w:val="12"/>
        </w:rPr>
        <w:t> </w:t>
      </w:r>
      <w:r>
        <w:rPr/>
        <w:t>整机及模块 </w:t>
      </w:r>
      <w:r>
        <w:rPr>
          <w:spacing w:val="-2"/>
        </w:rPr>
        <w:t>进入马来西亚、泰国；在旅游、客运、影院市场成功开拓茅台天酿、华强方特、保利文化、珠江船务、香港娱艺等客户；纸</w:t>
      </w:r>
    </w:p>
    <w:p>
      <w:pPr>
        <w:spacing w:after="0" w:line="307" w:lineRule="auto"/>
        <w:jc w:val="both"/>
        <w:sectPr>
          <w:pgSz w:w="11910" w:h="16840"/>
          <w:pgMar w:header="880" w:footer="979" w:top="1100" w:bottom="1160" w:left="980" w:right="940"/>
        </w:sectPr>
      </w:pPr>
    </w:p>
    <w:p>
      <w:pPr>
        <w:spacing w:line="240" w:lineRule="auto" w:before="0"/>
        <w:rPr>
          <w:rFonts w:ascii="宋体" w:hAnsi="宋体" w:cs="宋体" w:eastAsia="宋体" w:hint="default"/>
          <w:sz w:val="22"/>
          <w:szCs w:val="22"/>
        </w:rPr>
      </w:pPr>
    </w:p>
    <w:p>
      <w:pPr>
        <w:pStyle w:val="BodyText"/>
        <w:spacing w:line="309" w:lineRule="auto" w:before="44"/>
        <w:ind w:right="95"/>
        <w:jc w:val="left"/>
      </w:pPr>
      <w:r>
        <w:rPr>
          <w:spacing w:val="-5"/>
        </w:rPr>
        <w:t>硬币兑换一体机、银医通、停车场自助缴费机、存款找零一体机等新型产品推广良好；云购票机、自助客服终端（云</w:t>
      </w:r>
      <w:r>
        <w:rPr>
          <w:spacing w:val="-26"/>
        </w:rPr>
        <w:t> </w:t>
      </w:r>
      <w:r>
        <w:rPr>
          <w:rFonts w:ascii="Times New Roman" w:hAnsi="Times New Roman" w:cs="Times New Roman" w:eastAsia="Times New Roman" w:hint="default"/>
          <w:spacing w:val="-8"/>
        </w:rPr>
        <w:t>BOM</w:t>
      </w:r>
      <w:r>
        <w:rPr>
          <w:spacing w:val="-8"/>
        </w:rPr>
        <w:t>）、</w:t>
      </w:r>
      <w:r>
        <w:rPr>
          <w:spacing w:val="-86"/>
        </w:rPr>
        <w:t> </w:t>
      </w:r>
      <w:r>
        <w:rPr>
          <w:spacing w:val="-86"/>
        </w:rPr>
      </w:r>
      <w:r>
        <w:rPr>
          <w:spacing w:val="-2"/>
        </w:rPr>
        <w:t>人脸识别闸机等创新产品，在广州、北京、武汉、宁波、杭州、深圳等批量开通上线，自主开发的互联网支付云平台系统在</w:t>
      </w:r>
      <w:r>
        <w:rPr>
          <w:spacing w:val="-69"/>
        </w:rPr>
        <w:t> </w:t>
      </w:r>
      <w:r>
        <w:rPr>
          <w:spacing w:val="-69"/>
        </w:rPr>
      </w:r>
      <w:r>
        <w:rPr/>
        <w:t>深圳地铁成功上线。</w:t>
      </w:r>
    </w:p>
    <w:p>
      <w:pPr>
        <w:pStyle w:val="BodyText"/>
        <w:spacing w:line="309" w:lineRule="auto" w:before="65"/>
        <w:ind w:right="189" w:firstLine="360"/>
        <w:jc w:val="both"/>
        <w:rPr>
          <w:rFonts w:ascii="Times New Roman" w:hAnsi="Times New Roman" w:cs="Times New Roman" w:eastAsia="Times New Roman" w:hint="default"/>
        </w:rPr>
      </w:pPr>
      <w:r>
        <w:rPr>
          <w:spacing w:val="-2"/>
        </w:rPr>
        <w:t>在清分机市场，受现金清分业务量下滑、全额清分监管放松、行业标准未定银行采购放缓等因素影响，清分机市场需求</w:t>
      </w:r>
      <w:r>
        <w:rPr/>
        <w:t> 继续下行，经过激烈的竞争后，设备价格趋于稳定。围绕</w:t>
      </w:r>
      <w:r>
        <w:rPr>
          <w:rFonts w:ascii="Times New Roman" w:hAnsi="Times New Roman" w:cs="Times New Roman" w:eastAsia="Times New Roman" w:hint="default"/>
        </w:rPr>
        <w:t>“</w:t>
      </w:r>
      <w:r>
        <w:rPr/>
        <w:t>降本增效保盈利，开拓创新稳增长</w:t>
      </w:r>
      <w:r>
        <w:rPr>
          <w:rFonts w:ascii="Times New Roman" w:hAnsi="Times New Roman" w:cs="Times New Roman" w:eastAsia="Times New Roman" w:hint="default"/>
        </w:rPr>
        <w:t>”</w:t>
      </w:r>
      <w:r>
        <w:rPr/>
        <w:t>的年度发展主题，中智融通</w:t>
      </w:r>
      <w:r>
        <w:rPr>
          <w:spacing w:val="13"/>
        </w:rPr>
        <w:t> </w:t>
      </w:r>
      <w:r>
        <w:rPr>
          <w:rFonts w:ascii="Times New Roman" w:hAnsi="Times New Roman" w:cs="Times New Roman" w:eastAsia="Times New Roman" w:hint="default"/>
        </w:rPr>
        <w:t>2017 </w:t>
      </w:r>
      <w:r>
        <w:rPr>
          <w:spacing w:val="-2"/>
        </w:rPr>
        <w:t>年新入围工行、中行，基本实现总行全面入围，跻身清分产品主流厂商行列；继续保持入围中信、兴业、广发、平安</w:t>
      </w:r>
      <w:r>
        <w:rPr>
          <w:spacing w:val="-33"/>
        </w:rPr>
        <w:t> </w:t>
      </w:r>
      <w:r>
        <w:rPr>
          <w:rFonts w:ascii="Times New Roman" w:hAnsi="Times New Roman" w:cs="Times New Roman" w:eastAsia="Times New Roman" w:hint="default"/>
        </w:rPr>
        <w:t>4</w:t>
      </w:r>
    </w:p>
    <w:p>
      <w:pPr>
        <w:pStyle w:val="BodyText"/>
        <w:spacing w:line="309" w:lineRule="auto" w:before="5"/>
        <w:ind w:right="193"/>
        <w:jc w:val="both"/>
      </w:pPr>
      <w:r>
        <w:rPr>
          <w:spacing w:val="-3"/>
        </w:rPr>
        <w:t>家股份制银行总行；成功入围山西、山东、四川、陕西</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家省级农信；全年新增客户</w:t>
      </w:r>
      <w:r>
        <w:rPr>
          <w:spacing w:val="-50"/>
        </w:rPr>
        <w:t> </w:t>
      </w:r>
      <w:r>
        <w:rPr>
          <w:rFonts w:ascii="Times New Roman" w:hAnsi="Times New Roman" w:cs="Times New Roman" w:eastAsia="Times New Roman" w:hint="default"/>
        </w:rPr>
        <w:t>392</w:t>
      </w:r>
      <w:r>
        <w:rPr>
          <w:rFonts w:ascii="Times New Roman" w:hAnsi="Times New Roman" w:cs="Times New Roman" w:eastAsia="Times New Roman" w:hint="default"/>
          <w:spacing w:val="-7"/>
        </w:rPr>
        <w:t> </w:t>
      </w:r>
      <w:r>
        <w:rPr/>
        <w:t>个。同时，冠字号软件及其衍生产 </w:t>
      </w:r>
      <w:r>
        <w:rPr>
          <w:spacing w:val="-2"/>
        </w:rPr>
        <w:t>品中标山西农信、恒丰银行总行等；智慧金库入围中信总行，建立行业标杆案例，并在农行积极试点；智能仓储在天津农商</w:t>
      </w:r>
      <w:r>
        <w:rPr>
          <w:spacing w:val="-67"/>
        </w:rPr>
        <w:t> </w:t>
      </w:r>
      <w:r>
        <w:rPr>
          <w:spacing w:val="-67"/>
        </w:rPr>
      </w:r>
      <w:r>
        <w:rPr/>
        <w:t>行建立了样板工程；纸硬币兑换机、包装机、清分流水线、营运机具等产品推广良好。</w:t>
      </w:r>
    </w:p>
    <w:p>
      <w:pPr>
        <w:pStyle w:val="BodyText"/>
        <w:spacing w:line="314" w:lineRule="auto" w:before="62"/>
        <w:ind w:right="111" w:firstLine="360"/>
        <w:jc w:val="both"/>
      </w:pPr>
      <w:r>
        <w:rPr/>
        <w:t>在创新业务方面，公司设立</w:t>
      </w:r>
      <w:r>
        <w:rPr>
          <w:spacing w:val="-47"/>
        </w:rPr>
        <w:t> </w:t>
      </w:r>
      <w:r>
        <w:rPr>
          <w:rFonts w:ascii="Times New Roman" w:hAnsi="Times New Roman" w:cs="Times New Roman" w:eastAsia="Times New Roman" w:hint="default"/>
        </w:rPr>
        <w:t>FinTech </w:t>
      </w:r>
      <w:r>
        <w:rPr/>
        <w:t>研究中心，策划成立人工智能研究院，深入开展生物识别、智能视频、智能语音、 </w:t>
      </w:r>
      <w:r>
        <w:rPr>
          <w:spacing w:val="-2"/>
        </w:rPr>
        <w:t>区块链等创新技术研发，并在多领域实现应用落地，其中：以广电卓识为平台，开展生物识别业务，指静脉模块、人证核检</w:t>
      </w:r>
      <w:r>
        <w:rPr>
          <w:spacing w:val="-68"/>
        </w:rPr>
        <w:t> </w:t>
      </w:r>
      <w:r>
        <w:rPr>
          <w:spacing w:val="-68"/>
        </w:rPr>
      </w:r>
      <w:r>
        <w:rPr>
          <w:spacing w:val="-2"/>
        </w:rPr>
        <w:t>终端等产品已获得批量应用；与美电贝尔协同开发智能视频预警平台，已在河北、云南、从化等地监狱上线使用；与汇通金</w:t>
      </w:r>
      <w:r>
        <w:rPr>
          <w:spacing w:val="-65"/>
        </w:rPr>
        <w:t> </w:t>
      </w:r>
      <w:r>
        <w:rPr>
          <w:spacing w:val="-65"/>
        </w:rPr>
      </w:r>
      <w:r>
        <w:rPr>
          <w:spacing w:val="-2"/>
        </w:rPr>
        <w:t>融协同开发智能金融助理项目，在广发、浦发等多家客户上线应用；与广东建行共建智能金融联合创新实验室，探索创新技</w:t>
      </w:r>
      <w:r>
        <w:rPr>
          <w:spacing w:val="-63"/>
        </w:rPr>
        <w:t> </w:t>
      </w:r>
      <w:r>
        <w:rPr>
          <w:spacing w:val="-63"/>
        </w:rPr>
      </w:r>
      <w:r>
        <w:rPr/>
        <w:t>术应用场景。除外，以运通信息为平台，推进大数据应用、聚合支付等技术研发，重点拓展金融、航空、政府国资等行业； 以广电汇通为平台，探索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w:t>
      </w:r>
      <w:r>
        <w:rPr>
          <w:rFonts w:ascii="Times New Roman" w:hAnsi="Times New Roman" w:cs="Times New Roman" w:eastAsia="Times New Roman" w:hint="default"/>
        </w:rPr>
        <w:t>”</w:t>
      </w:r>
      <w:r>
        <w:rPr/>
        <w:t>业务模式，初步形成智能政务综合解决方案，中标广州开发区政务项目。</w:t>
      </w:r>
    </w:p>
    <w:p>
      <w:pPr>
        <w:pStyle w:val="BodyText"/>
        <w:spacing w:line="240" w:lineRule="auto" w:before="42"/>
        <w:ind w:left="513" w:right="0"/>
        <w:jc w:val="left"/>
      </w:pPr>
      <w:r>
        <w:rPr/>
        <w:t>公司读卡器业务深耕金融、通信模块市场，拓展能源、彩票等行业，全年签订合同</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亿多元；龙源环保推进厂房租售、</w:t>
      </w:r>
    </w:p>
    <w:p>
      <w:pPr>
        <w:pStyle w:val="BodyText"/>
        <w:spacing w:line="240" w:lineRule="auto" w:before="63"/>
        <w:ind w:right="87"/>
        <w:jc w:val="left"/>
      </w:pPr>
      <w:r>
        <w:rPr/>
        <w:t>污水处理、对外技术合作等工作，全年实现营业收入</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多万元。</w:t>
      </w:r>
    </w:p>
    <w:p>
      <w:pPr>
        <w:pStyle w:val="Heading5"/>
        <w:spacing w:line="240" w:lineRule="auto" w:before="101"/>
        <w:ind w:left="513" w:right="87"/>
        <w:jc w:val="left"/>
        <w:rPr>
          <w:b w:val="0"/>
          <w:bCs w:val="0"/>
        </w:rPr>
      </w:pPr>
      <w:r>
        <w:rPr>
          <w:rFonts w:ascii="Times New Roman" w:hAnsi="Times New Roman" w:cs="Times New Roman" w:eastAsia="Times New Roman" w:hint="default"/>
        </w:rPr>
        <w:t>4</w:t>
      </w:r>
      <w:r>
        <w:rPr/>
        <w:t>、资质荣誉</w:t>
      </w:r>
      <w:r>
        <w:rPr>
          <w:b w:val="0"/>
          <w:bCs w:val="0"/>
        </w:rPr>
      </w:r>
    </w:p>
    <w:p>
      <w:pPr>
        <w:spacing w:line="240" w:lineRule="auto" w:before="12"/>
        <w:rPr>
          <w:rFonts w:ascii="宋体" w:hAnsi="宋体" w:cs="宋体" w:eastAsia="宋体" w:hint="default"/>
          <w:b/>
          <w:bCs/>
          <w:sz w:val="16"/>
          <w:szCs w:val="16"/>
        </w:rPr>
      </w:pPr>
    </w:p>
    <w:p>
      <w:pPr>
        <w:pStyle w:val="BodyText"/>
        <w:spacing w:line="307" w:lineRule="auto"/>
        <w:ind w:right="190" w:firstLine="360"/>
        <w:jc w:val="both"/>
      </w:pPr>
      <w:r>
        <w:rPr>
          <w:spacing w:val="-2"/>
        </w:rPr>
        <w:t>公司连续十年被评为软件业务收入前百家（第</w:t>
      </w:r>
      <w:r>
        <w:rPr>
          <w:rFonts w:ascii="Times New Roman" w:hAnsi="Times New Roman" w:cs="Times New Roman" w:eastAsia="Times New Roman" w:hint="default"/>
          <w:spacing w:val="-2"/>
        </w:rPr>
        <w:t>53</w:t>
      </w:r>
      <w:r>
        <w:rPr>
          <w:spacing w:val="-2"/>
        </w:rPr>
        <w:t>位），获得软件服务综合竞争力百强（第</w:t>
      </w:r>
      <w:r>
        <w:rPr>
          <w:rFonts w:ascii="Times New Roman" w:hAnsi="Times New Roman" w:cs="Times New Roman" w:eastAsia="Times New Roman" w:hint="default"/>
          <w:spacing w:val="-2"/>
        </w:rPr>
        <w:t>36</w:t>
      </w:r>
      <w:r>
        <w:rPr>
          <w:spacing w:val="-2"/>
        </w:rPr>
        <w:t>位）、吴文俊人工智能科学</w:t>
      </w:r>
      <w:r>
        <w:rPr/>
        <w:t> </w:t>
      </w:r>
      <w:r>
        <w:rPr>
          <w:spacing w:val="-2"/>
        </w:rPr>
        <w:t>技术奖、省科技进步奖等荣誉称号，顺利通过国家高新技术企业、系统集成及服务一级资质、安防一级资质、国家级工业设</w:t>
      </w:r>
      <w:r>
        <w:rPr>
          <w:spacing w:val="-67"/>
        </w:rPr>
        <w:t> </w:t>
      </w:r>
      <w:r>
        <w:rPr>
          <w:spacing w:val="-67"/>
        </w:rPr>
      </w:r>
      <w:r>
        <w:rPr>
          <w:spacing w:val="-2"/>
        </w:rPr>
        <w:t>计中心重新认定，入选国家知识产权示范企业、</w:t>
      </w:r>
      <w:r>
        <w:rPr>
          <w:rFonts w:ascii="Times New Roman" w:hAnsi="Times New Roman" w:cs="Times New Roman" w:eastAsia="Times New Roman" w:hint="default"/>
          <w:spacing w:val="-2"/>
        </w:rPr>
        <w:t>2017</w:t>
      </w:r>
      <w:r>
        <w:rPr>
          <w:spacing w:val="-2"/>
        </w:rPr>
        <w:t>年中国服务型制造示范企业、广东省大数据骨干企业、广东省供应链示</w:t>
      </w:r>
      <w:r>
        <w:rPr>
          <w:spacing w:val="-61"/>
        </w:rPr>
        <w:t> </w:t>
      </w:r>
      <w:r>
        <w:rPr>
          <w:spacing w:val="-61"/>
        </w:rPr>
      </w:r>
      <w:r>
        <w:rPr/>
        <w:t>范企业。</w:t>
      </w:r>
    </w:p>
    <w:p>
      <w:pPr>
        <w:spacing w:line="240" w:lineRule="auto" w:before="12"/>
        <w:rPr>
          <w:rFonts w:ascii="宋体" w:hAnsi="宋体" w:cs="宋体" w:eastAsia="宋体" w:hint="default"/>
          <w:sz w:val="13"/>
          <w:szCs w:val="13"/>
        </w:rPr>
      </w:pPr>
    </w:p>
    <w:p>
      <w:pPr>
        <w:pStyle w:val="BodyText"/>
        <w:spacing w:line="300" w:lineRule="auto"/>
        <w:ind w:right="179" w:firstLine="360"/>
        <w:jc w:val="both"/>
      </w:pPr>
      <w:r>
        <w:rPr/>
        <w:t>报告期内，公司经营业绩保持平稳，实现营业总收入</w:t>
      </w:r>
      <w:r>
        <w:rPr>
          <w:rFonts w:ascii="Times New Roman" w:hAnsi="Times New Roman" w:cs="Times New Roman" w:eastAsia="Times New Roman" w:hint="default"/>
        </w:rPr>
        <w:t>438,357.70</w:t>
      </w:r>
      <w:r>
        <w:rPr/>
        <w:t>万元，同比下降</w:t>
      </w:r>
      <w:r>
        <w:rPr>
          <w:rFonts w:ascii="Times New Roman" w:hAnsi="Times New Roman" w:cs="Times New Roman" w:eastAsia="Times New Roman" w:hint="default"/>
        </w:rPr>
        <w:t>0.91%</w:t>
      </w:r>
      <w:r>
        <w:rPr/>
        <w:t>；实现利润总额</w:t>
      </w:r>
      <w:r>
        <w:rPr>
          <w:rFonts w:ascii="Times New Roman" w:hAnsi="Times New Roman" w:cs="Times New Roman" w:eastAsia="Times New Roman" w:hint="default"/>
        </w:rPr>
        <w:t>112,199.81</w:t>
      </w:r>
      <w:r>
        <w:rPr/>
        <w:t>万元， 同比上升</w:t>
      </w:r>
      <w:r>
        <w:rPr>
          <w:rFonts w:ascii="Times New Roman" w:hAnsi="Times New Roman" w:cs="Times New Roman" w:eastAsia="Times New Roman" w:hint="default"/>
        </w:rPr>
        <w:t>11.92%</w:t>
      </w:r>
      <w:r>
        <w:rPr/>
        <w:t>；实现归属于上市公司股东的净利润</w:t>
      </w:r>
      <w:r>
        <w:rPr>
          <w:rFonts w:ascii="Times New Roman" w:hAnsi="Times New Roman" w:cs="Times New Roman" w:eastAsia="Times New Roman" w:hint="default"/>
        </w:rPr>
        <w:t>89,948.50</w:t>
      </w:r>
      <w:r>
        <w:rPr/>
        <w:t>万元，同比上升</w:t>
      </w:r>
      <w:r>
        <w:rPr>
          <w:rFonts w:ascii="Times New Roman" w:hAnsi="Times New Roman" w:cs="Times New Roman" w:eastAsia="Times New Roman" w:hint="default"/>
        </w:rPr>
        <w:t>6.58%</w:t>
      </w:r>
      <w:r>
        <w:rPr/>
        <w:t>。</w:t>
      </w:r>
    </w:p>
    <w:p>
      <w:pPr>
        <w:spacing w:line="240" w:lineRule="auto" w:before="0"/>
        <w:rPr>
          <w:rFonts w:ascii="宋体" w:hAnsi="宋体" w:cs="宋体" w:eastAsia="宋体" w:hint="default"/>
          <w:sz w:val="20"/>
          <w:szCs w:val="20"/>
        </w:rPr>
      </w:pPr>
    </w:p>
    <w:p>
      <w:pPr>
        <w:pStyle w:val="Heading2"/>
        <w:spacing w:line="240" w:lineRule="auto"/>
        <w:ind w:right="87"/>
        <w:jc w:val="left"/>
        <w:rPr>
          <w:b w:val="0"/>
          <w:bCs w:val="0"/>
        </w:rPr>
      </w:pPr>
      <w:r>
        <w:rPr/>
        <w:t>二、主营业务分析</w:t>
      </w:r>
      <w:r>
        <w:rPr>
          <w:b w:val="0"/>
          <w:bCs w:val="0"/>
        </w:rPr>
      </w:r>
    </w:p>
    <w:p>
      <w:pPr>
        <w:spacing w:line="240" w:lineRule="auto" w:before="6"/>
        <w:rPr>
          <w:rFonts w:ascii="宋体" w:hAnsi="宋体" w:cs="宋体" w:eastAsia="宋体" w:hint="default"/>
          <w:b/>
          <w:bCs/>
          <w:sz w:val="25"/>
          <w:szCs w:val="25"/>
        </w:rPr>
      </w:pPr>
    </w:p>
    <w:p>
      <w:pPr>
        <w:spacing w:line="559" w:lineRule="auto" w:before="0"/>
        <w:ind w:left="152" w:right="553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、概述</w:t>
      </w:r>
      <w:r>
        <w:rPr>
          <w:rFonts w:ascii="宋体" w:hAnsi="宋体" w:cs="宋体" w:eastAsia="宋体" w:hint="default"/>
          <w:b/>
          <w:bCs/>
          <w:spacing w:val="2"/>
          <w:w w:val="99"/>
          <w:sz w:val="20"/>
          <w:szCs w:val="20"/>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、收入与成本</w:t>
      </w:r>
      <w:r>
        <w:rPr>
          <w:rFonts w:ascii="宋体" w:hAnsi="宋体" w:cs="宋体" w:eastAsia="宋体" w:hint="default"/>
          <w:sz w:val="20"/>
          <w:szCs w:val="20"/>
        </w:rPr>
      </w:r>
    </w:p>
    <w:p>
      <w:pPr>
        <w:pStyle w:val="Heading4"/>
        <w:spacing w:line="240" w:lineRule="auto" w:before="43"/>
        <w:ind w:right="87"/>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9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9"/>
        <w:gridCol w:w="2127"/>
        <w:gridCol w:w="1413"/>
        <w:gridCol w:w="1707"/>
        <w:gridCol w:w="1405"/>
        <w:gridCol w:w="925"/>
      </w:tblGrid>
      <w:tr>
        <w:trPr>
          <w:trHeight w:val="206" w:hRule="exact"/>
        </w:trPr>
        <w:tc>
          <w:tcPr>
            <w:tcW w:w="1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979" w:type="dxa"/>
            <w:vMerge w:val="restart"/>
            <w:tcBorders>
              <w:top w:val="nil" w:sz="6" w:space="0" w:color="auto"/>
              <w:left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c>
          <w:tcPr>
            <w:tcW w:w="3112" w:type="dxa"/>
            <w:gridSpan w:val="2"/>
            <w:vMerge/>
            <w:tcBorders>
              <w:left w:val="single" w:sz="4" w:space="0" w:color="000000"/>
              <w:bottom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7" w:hRule="exact"/>
        </w:trPr>
        <w:tc>
          <w:tcPr>
            <w:tcW w:w="1979" w:type="dxa"/>
            <w:vMerge/>
            <w:tcBorders>
              <w:left w:val="single" w:sz="4" w:space="0" w:color="000000"/>
              <w:bottom w:val="nil" w:sz="6" w:space="0" w:color="auto"/>
              <w:right w:val="single" w:sz="4" w:space="0" w:color="000000"/>
            </w:tcBorders>
            <w:shd w:val="clear" w:color="auto" w:fill="D2D2D2"/>
          </w:tcPr>
          <w:p>
            <w:pP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25"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1707" w:type="dxa"/>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1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4,383,577,016.09</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70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4,423,649,958.72</w:t>
            </w: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100%</w:t>
            </w:r>
          </w:p>
        </w:tc>
        <w:tc>
          <w:tcPr>
            <w:tcW w:w="9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-0.91%</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2,216,311,233.00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2,978,761,761.87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67.34%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-25.60%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85"/>
        <w:gridCol w:w="2127"/>
        <w:gridCol w:w="1419"/>
        <w:gridCol w:w="1702"/>
        <w:gridCol w:w="1417"/>
        <w:gridCol w:w="91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2,167,265,783.09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1,444,888,196.85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1,797,065,994.17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2,509,172,145.96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1,618,361,717.01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0"/>
                <w:szCs w:val="20"/>
              </w:rPr>
            </w:pPr>
            <w:r>
              <w:rPr>
                <w:rFonts w:ascii="Times New Roman"/>
                <w:sz w:val="20"/>
              </w:rPr>
              <w:t>36.92%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2,291,440,085.78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-29.37%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AFC</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47,685,433.26</w:t>
            </w:r>
            <w:r>
              <w:rPr>
                <w:rFonts w:ascii="Times New Roman"/>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sz w:val="20"/>
              </w:rPr>
              <w:t>1.09%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86,683,613.45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-44.99%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w w:val="95"/>
                <w:sz w:val="20"/>
              </w:rPr>
              <w:t>131,018,843.90</w:t>
            </w:r>
            <w:r>
              <w:rPr>
                <w:rFonts w:ascii="Times New Roman"/>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z w:val="20"/>
              </w:rPr>
              <w:t>2.99%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131,048,446.73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308,909,061.12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392,990,108.30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营运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55,368,692.56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37,144,983.37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49.06%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1,783,994,084.93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1,306,998,254.31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438,239,183.31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177,344,466.78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3,762,116,751.33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3,965,227,469.60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89.64%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621,460,264.76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458,422,489.12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35.56%</w:t>
            </w:r>
          </w:p>
        </w:tc>
      </w:tr>
    </w:tbl>
    <w:p>
      <w:pPr>
        <w:pStyle w:val="BodyText"/>
        <w:spacing w:line="240" w:lineRule="auto" w:before="51"/>
        <w:ind w:left="513" w:right="87"/>
        <w:jc w:val="left"/>
      </w:pPr>
      <w:r>
        <w:rPr/>
        <w:t>营业收入情况的说明：</w:t>
      </w:r>
    </w:p>
    <w:p>
      <w:pPr>
        <w:pStyle w:val="BodyText"/>
        <w:spacing w:line="300" w:lineRule="auto" w:before="115"/>
        <w:ind w:right="87" w:firstLine="360"/>
        <w:jc w:val="left"/>
      </w:pPr>
      <w:r>
        <w:rPr/>
        <w:t>报告期内，公司实现营业收入</w:t>
      </w:r>
      <w:r>
        <w:rPr>
          <w:spacing w:val="-47"/>
        </w:rPr>
        <w:t> </w:t>
      </w:r>
      <w:r>
        <w:rPr>
          <w:rFonts w:ascii="Times New Roman" w:hAnsi="Times New Roman" w:cs="Times New Roman" w:eastAsia="Times New Roman" w:hint="default"/>
        </w:rPr>
        <w:t>438,357.70</w:t>
      </w:r>
      <w:r>
        <w:rPr>
          <w:rFonts w:ascii="Times New Roman" w:hAnsi="Times New Roman" w:cs="Times New Roman" w:eastAsia="Times New Roman" w:hint="default"/>
          <w:spacing w:val="-1"/>
        </w:rPr>
        <w:t> </w:t>
      </w:r>
      <w:r>
        <w:rPr/>
        <w:t>万元，比上年同期的</w:t>
      </w:r>
      <w:r>
        <w:rPr>
          <w:spacing w:val="-48"/>
        </w:rPr>
        <w:t> </w:t>
      </w:r>
      <w:r>
        <w:rPr>
          <w:rFonts w:ascii="Times New Roman" w:hAnsi="Times New Roman" w:cs="Times New Roman" w:eastAsia="Times New Roman" w:hint="default"/>
        </w:rPr>
        <w:t>442,365.00</w:t>
      </w:r>
      <w:r>
        <w:rPr>
          <w:rFonts w:ascii="Times New Roman" w:hAnsi="Times New Roman" w:cs="Times New Roman" w:eastAsia="Times New Roman" w:hint="default"/>
          <w:spacing w:val="-1"/>
        </w:rPr>
        <w:t> </w:t>
      </w:r>
      <w:r>
        <w:rPr/>
        <w:t>万元减少</w:t>
      </w:r>
      <w:r>
        <w:rPr>
          <w:spacing w:val="-50"/>
        </w:rPr>
        <w:t> </w:t>
      </w:r>
      <w:r>
        <w:rPr>
          <w:rFonts w:ascii="Times New Roman" w:hAnsi="Times New Roman" w:cs="Times New Roman" w:eastAsia="Times New Roman" w:hint="default"/>
        </w:rPr>
        <w:t>4,007.30</w:t>
      </w:r>
      <w:r>
        <w:rPr>
          <w:rFonts w:ascii="Times New Roman" w:hAnsi="Times New Roman" w:cs="Times New Roman" w:eastAsia="Times New Roman" w:hint="default"/>
          <w:spacing w:val="-2"/>
        </w:rPr>
        <w:t> </w:t>
      </w:r>
      <w:r>
        <w:rPr/>
        <w:t>万元，下降</w:t>
      </w:r>
      <w:r>
        <w:rPr>
          <w:spacing w:val="-47"/>
        </w:rPr>
        <w:t> </w:t>
      </w:r>
      <w:r>
        <w:rPr>
          <w:rFonts w:ascii="Times New Roman" w:hAnsi="Times New Roman" w:cs="Times New Roman" w:eastAsia="Times New Roman" w:hint="default"/>
        </w:rPr>
        <w:t>0.91%</w:t>
      </w:r>
      <w:r>
        <w:rPr/>
        <w:t>，其中： 货币自动处理设备营业收入</w:t>
      </w:r>
      <w:r>
        <w:rPr>
          <w:spacing w:val="-47"/>
        </w:rPr>
        <w:t> </w:t>
      </w:r>
      <w:r>
        <w:rPr>
          <w:rFonts w:ascii="Times New Roman" w:hAnsi="Times New Roman" w:cs="Times New Roman" w:eastAsia="Times New Roman" w:hint="default"/>
        </w:rPr>
        <w:t>179,706.60 </w:t>
      </w:r>
      <w:r>
        <w:rPr/>
        <w:t>万元，比上年同期减少</w:t>
      </w:r>
      <w:r>
        <w:rPr>
          <w:spacing w:val="-47"/>
        </w:rPr>
        <w:t> </w:t>
      </w:r>
      <w:r>
        <w:rPr>
          <w:rFonts w:ascii="Times New Roman" w:hAnsi="Times New Roman" w:cs="Times New Roman" w:eastAsia="Times New Roman" w:hint="default"/>
        </w:rPr>
        <w:t>28.38%</w:t>
      </w:r>
      <w:r>
        <w:rPr/>
        <w:t>。</w:t>
      </w:r>
    </w:p>
    <w:p>
      <w:pPr>
        <w:pStyle w:val="BodyText"/>
        <w:spacing w:line="240" w:lineRule="auto" w:before="53"/>
        <w:ind w:left="424" w:right="0"/>
        <w:jc w:val="left"/>
      </w:pPr>
      <w:r>
        <w:rPr/>
        <w:t>①</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设备营业收入</w:t>
      </w:r>
      <w:r>
        <w:rPr>
          <w:spacing w:val="-47"/>
        </w:rPr>
        <w:t> </w:t>
      </w:r>
      <w:r>
        <w:rPr>
          <w:rFonts w:ascii="Times New Roman" w:hAnsi="Times New Roman" w:cs="Times New Roman" w:eastAsia="Times New Roman" w:hint="default"/>
        </w:rPr>
        <w:t>161,836.17</w:t>
      </w:r>
      <w:r>
        <w:rPr>
          <w:rFonts w:ascii="Times New Roman" w:hAnsi="Times New Roman" w:cs="Times New Roman" w:eastAsia="Times New Roman" w:hint="default"/>
          <w:spacing w:val="1"/>
        </w:rPr>
        <w:t> </w:t>
      </w:r>
      <w:r>
        <w:rPr/>
        <w:t>万元，与上年同期减少</w:t>
      </w:r>
      <w:r>
        <w:rPr>
          <w:spacing w:val="-49"/>
        </w:rPr>
        <w:t> </w:t>
      </w:r>
      <w:r>
        <w:rPr>
          <w:rFonts w:ascii="Times New Roman" w:hAnsi="Times New Roman" w:cs="Times New Roman" w:eastAsia="Times New Roman" w:hint="default"/>
        </w:rPr>
        <w:t>29.37%</w:t>
      </w:r>
      <w:r>
        <w:rPr/>
        <w:t>，主要是国内</w:t>
      </w:r>
      <w:r>
        <w:rPr>
          <w:spacing w:val="-47"/>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市场需求缩减及产品价格下滑所致。</w:t>
      </w:r>
    </w:p>
    <w:p>
      <w:pPr>
        <w:pStyle w:val="BodyText"/>
        <w:spacing w:line="240" w:lineRule="auto" w:before="101"/>
        <w:ind w:left="424" w:right="87"/>
        <w:jc w:val="left"/>
      </w:pPr>
      <w:r>
        <w:rPr/>
        <w:t>②</w:t>
      </w:r>
      <w:r>
        <w:rPr>
          <w:rFonts w:ascii="Times New Roman" w:hAnsi="Times New Roman" w:cs="Times New Roman" w:eastAsia="Times New Roman" w:hint="default"/>
        </w:rPr>
        <w:t>AFC</w:t>
      </w:r>
      <w:r>
        <w:rPr>
          <w:rFonts w:ascii="Times New Roman" w:hAnsi="Times New Roman" w:cs="Times New Roman" w:eastAsia="Times New Roman" w:hint="default"/>
          <w:spacing w:val="-2"/>
        </w:rPr>
        <w:t> </w:t>
      </w:r>
      <w:r>
        <w:rPr/>
        <w:t>设备营业收入</w:t>
      </w:r>
      <w:r>
        <w:rPr>
          <w:spacing w:val="-47"/>
        </w:rPr>
        <w:t> </w:t>
      </w:r>
      <w:r>
        <w:rPr>
          <w:rFonts w:ascii="Times New Roman" w:hAnsi="Times New Roman" w:cs="Times New Roman" w:eastAsia="Times New Roman" w:hint="default"/>
        </w:rPr>
        <w:t>4,768.54</w:t>
      </w:r>
      <w:r>
        <w:rPr>
          <w:rFonts w:ascii="Times New Roman" w:hAnsi="Times New Roman" w:cs="Times New Roman" w:eastAsia="Times New Roman" w:hint="default"/>
          <w:spacing w:val="-2"/>
        </w:rPr>
        <w:t> </w:t>
      </w:r>
      <w:r>
        <w:rPr/>
        <w:t>万元，比上年同期减少</w:t>
      </w:r>
      <w:r>
        <w:rPr>
          <w:spacing w:val="-46"/>
        </w:rPr>
        <w:t> </w:t>
      </w:r>
      <w:r>
        <w:rPr>
          <w:rFonts w:ascii="Times New Roman" w:hAnsi="Times New Roman" w:cs="Times New Roman" w:eastAsia="Times New Roman" w:hint="default"/>
        </w:rPr>
        <w:t>44.99%</w:t>
      </w:r>
      <w:r>
        <w:rPr/>
        <w:t>，主要是项目收入确认同比减少所致。</w:t>
      </w:r>
    </w:p>
    <w:p>
      <w:pPr>
        <w:pStyle w:val="BodyText"/>
        <w:spacing w:line="240" w:lineRule="auto" w:before="103"/>
        <w:ind w:left="424" w:right="87"/>
        <w:jc w:val="left"/>
      </w:pPr>
      <w:r>
        <w:rPr/>
        <w:t>③清分机营业收入</w:t>
      </w:r>
      <w:r>
        <w:rPr>
          <w:spacing w:val="-47"/>
        </w:rPr>
        <w:t> </w:t>
      </w:r>
      <w:r>
        <w:rPr>
          <w:rFonts w:ascii="Times New Roman" w:hAnsi="Times New Roman" w:cs="Times New Roman" w:eastAsia="Times New Roman" w:hint="default"/>
        </w:rPr>
        <w:t>13,101.88</w:t>
      </w:r>
      <w:r>
        <w:rPr>
          <w:rFonts w:ascii="Times New Roman" w:hAnsi="Times New Roman" w:cs="Times New Roman" w:eastAsia="Times New Roman" w:hint="default"/>
          <w:spacing w:val="-1"/>
        </w:rPr>
        <w:t> </w:t>
      </w:r>
      <w:r>
        <w:rPr/>
        <w:t>万元，与上年同期基本持平，主要是国内清分机市场需求持续低迷。</w:t>
      </w:r>
    </w:p>
    <w:p>
      <w:pPr>
        <w:pStyle w:val="BodyText"/>
        <w:spacing w:line="240" w:lineRule="auto" w:before="103"/>
        <w:ind w:left="424" w:right="87"/>
        <w:jc w:val="left"/>
      </w:pPr>
      <w:r>
        <w:rPr/>
        <w:t>④设备配件营业收入</w:t>
      </w:r>
      <w:r>
        <w:rPr>
          <w:spacing w:val="-46"/>
        </w:rPr>
        <w:t> </w:t>
      </w:r>
      <w:r>
        <w:rPr>
          <w:rFonts w:ascii="Times New Roman" w:hAnsi="Times New Roman" w:cs="Times New Roman" w:eastAsia="Times New Roman" w:hint="default"/>
        </w:rPr>
        <w:t>30,890.91</w:t>
      </w:r>
      <w:r>
        <w:rPr>
          <w:rFonts w:ascii="Times New Roman" w:hAnsi="Times New Roman" w:cs="Times New Roman" w:eastAsia="Times New Roman" w:hint="default"/>
          <w:spacing w:val="-1"/>
        </w:rPr>
        <w:t> </w:t>
      </w:r>
      <w:r>
        <w:rPr/>
        <w:t>万元，比上年同期减少</w:t>
      </w:r>
      <w:r>
        <w:rPr>
          <w:spacing w:val="-46"/>
        </w:rPr>
        <w:t> </w:t>
      </w:r>
      <w:r>
        <w:rPr>
          <w:rFonts w:ascii="Times New Roman" w:hAnsi="Times New Roman" w:cs="Times New Roman" w:eastAsia="Times New Roman" w:hint="default"/>
        </w:rPr>
        <w:t>21.40%</w:t>
      </w:r>
      <w:r>
        <w:rPr/>
        <w:t>，主要是市场需求缩减。</w:t>
      </w:r>
    </w:p>
    <w:p>
      <w:pPr>
        <w:pStyle w:val="BodyText"/>
        <w:spacing w:line="240" w:lineRule="auto" w:before="101"/>
        <w:ind w:left="424" w:right="87"/>
        <w:jc w:val="left"/>
      </w:pPr>
      <w:r>
        <w:rPr/>
        <w:t>⑤</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营运营业收入</w:t>
      </w:r>
      <w:r>
        <w:rPr>
          <w:spacing w:val="-47"/>
        </w:rPr>
        <w:t> </w:t>
      </w:r>
      <w:r>
        <w:rPr>
          <w:rFonts w:ascii="Times New Roman" w:hAnsi="Times New Roman" w:cs="Times New Roman" w:eastAsia="Times New Roman" w:hint="default"/>
        </w:rPr>
        <w:t>5,536.87</w:t>
      </w:r>
      <w:r>
        <w:rPr>
          <w:rFonts w:ascii="Times New Roman" w:hAnsi="Times New Roman" w:cs="Times New Roman" w:eastAsia="Times New Roman" w:hint="default"/>
          <w:spacing w:val="-2"/>
        </w:rPr>
        <w:t> </w:t>
      </w:r>
      <w:r>
        <w:rPr/>
        <w:t>万元，比上年同期增长</w:t>
      </w:r>
      <w:r>
        <w:rPr>
          <w:spacing w:val="-47"/>
        </w:rPr>
        <w:t> </w:t>
      </w:r>
      <w:r>
        <w:rPr>
          <w:rFonts w:ascii="Times New Roman" w:hAnsi="Times New Roman" w:cs="Times New Roman" w:eastAsia="Times New Roman" w:hint="default"/>
        </w:rPr>
        <w:t>49.06%</w:t>
      </w:r>
      <w:r>
        <w:rPr/>
        <w:t>，主要是合作运营</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机的数量增加。</w:t>
      </w:r>
    </w:p>
    <w:p>
      <w:pPr>
        <w:pStyle w:val="BodyText"/>
        <w:spacing w:line="300" w:lineRule="auto" w:before="103"/>
        <w:ind w:right="178" w:firstLine="271"/>
        <w:jc w:val="left"/>
      </w:pPr>
      <w:r>
        <w:rPr/>
        <w:t>⑥设备维护及服务营业收入</w:t>
      </w:r>
      <w:r>
        <w:rPr>
          <w:spacing w:val="-54"/>
        </w:rPr>
        <w:t> </w:t>
      </w:r>
      <w:r>
        <w:rPr>
          <w:rFonts w:ascii="Times New Roman" w:hAnsi="Times New Roman" w:cs="Times New Roman" w:eastAsia="Times New Roman" w:hint="default"/>
        </w:rPr>
        <w:t>178,399.41</w:t>
      </w:r>
      <w:r>
        <w:rPr>
          <w:rFonts w:ascii="Times New Roman" w:hAnsi="Times New Roman" w:cs="Times New Roman" w:eastAsia="Times New Roman" w:hint="default"/>
          <w:spacing w:val="-7"/>
        </w:rPr>
        <w:t> </w:t>
      </w:r>
      <w:r>
        <w:rPr>
          <w:spacing w:val="-3"/>
        </w:rPr>
        <w:t>万元，比上年同期增长</w:t>
      </w:r>
      <w:r>
        <w:rPr>
          <w:spacing w:val="-54"/>
        </w:rPr>
        <w:t> </w:t>
      </w:r>
      <w:r>
        <w:rPr>
          <w:rFonts w:ascii="Times New Roman" w:hAnsi="Times New Roman" w:cs="Times New Roman" w:eastAsia="Times New Roman" w:hint="default"/>
        </w:rPr>
        <w:t>36.50%</w:t>
      </w:r>
      <w:r>
        <w:rPr/>
        <w:t>，主要是稳步推进金融武装押运业务的全国布局实 现武装押运收入的快速增长及维护收入的稳定增长。</w:t>
      </w:r>
    </w:p>
    <w:p>
      <w:pPr>
        <w:pStyle w:val="BodyText"/>
        <w:spacing w:line="338" w:lineRule="auto" w:before="72"/>
        <w:ind w:left="424" w:right="665"/>
        <w:jc w:val="left"/>
      </w:pPr>
      <w:r>
        <w:rPr/>
        <w:t>⑦其他营业收入</w:t>
      </w:r>
      <w:r>
        <w:rPr>
          <w:spacing w:val="-47"/>
        </w:rPr>
        <w:t> </w:t>
      </w:r>
      <w:r>
        <w:rPr>
          <w:rFonts w:ascii="Times New Roman" w:hAnsi="Times New Roman" w:cs="Times New Roman" w:eastAsia="Times New Roman" w:hint="default"/>
        </w:rPr>
        <w:t>43,823.92 </w:t>
      </w:r>
      <w:r>
        <w:rPr/>
        <w:t>万元，比上年同期增长</w:t>
      </w:r>
      <w:r>
        <w:rPr>
          <w:spacing w:val="-46"/>
        </w:rPr>
        <w:t> </w:t>
      </w:r>
      <w:r>
        <w:rPr>
          <w:rFonts w:ascii="Times New Roman" w:hAnsi="Times New Roman" w:cs="Times New Roman" w:eastAsia="Times New Roman" w:hint="default"/>
        </w:rPr>
        <w:t>147.11%</w:t>
      </w:r>
      <w:r>
        <w:rPr/>
        <w:t>，主要是读卡器领域、呼叫中心业务带来的收入增长。 主营业务收入地区分类情况的说明：</w:t>
      </w:r>
    </w:p>
    <w:p>
      <w:pPr>
        <w:pStyle w:val="BodyText"/>
        <w:spacing w:line="240" w:lineRule="auto" w:before="43"/>
        <w:ind w:left="424" w:right="87"/>
        <w:jc w:val="left"/>
      </w:pPr>
      <w:r>
        <w:rPr/>
        <w:t>①国内市场营业收入小幅下降，比上年同期减少</w:t>
      </w:r>
      <w:r>
        <w:rPr>
          <w:spacing w:val="-46"/>
        </w:rPr>
        <w:t> </w:t>
      </w:r>
      <w:r>
        <w:rPr>
          <w:rFonts w:ascii="Times New Roman" w:hAnsi="Times New Roman" w:cs="Times New Roman" w:eastAsia="Times New Roman" w:hint="default"/>
        </w:rPr>
        <w:t>5.12%</w:t>
      </w:r>
      <w:r>
        <w:rPr/>
        <w:t>，主要是国内</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市场需求缩减及产品价格下滑所致。</w:t>
      </w:r>
    </w:p>
    <w:p>
      <w:pPr>
        <w:pStyle w:val="BodyText"/>
        <w:spacing w:line="300" w:lineRule="auto" w:before="104"/>
        <w:ind w:right="181" w:firstLine="271"/>
        <w:jc w:val="left"/>
      </w:pPr>
      <w:r>
        <w:rPr/>
        <w:t>②国外市场营业收入比上年同期增长</w:t>
      </w:r>
      <w:r>
        <w:rPr>
          <w:spacing w:val="-25"/>
        </w:rPr>
        <w:t> </w:t>
      </w:r>
      <w:r>
        <w:rPr>
          <w:rFonts w:ascii="Times New Roman" w:hAnsi="Times New Roman" w:cs="Times New Roman" w:eastAsia="Times New Roman" w:hint="default"/>
          <w:spacing w:val="-2"/>
        </w:rPr>
        <w:t>35.56%</w:t>
      </w:r>
      <w:r>
        <w:rPr>
          <w:spacing w:val="-2"/>
        </w:rPr>
        <w:t>，主要是中东区和亚太区等部分重点区域市场业务保持稳定增长和设备配件</w:t>
      </w:r>
      <w:r>
        <w:rPr/>
        <w:t> 销售收入的增加。</w:t>
      </w:r>
    </w:p>
    <w:p>
      <w:pPr>
        <w:spacing w:line="240" w:lineRule="auto" w:before="12"/>
        <w:rPr>
          <w:rFonts w:ascii="宋体" w:hAnsi="宋体" w:cs="宋体" w:eastAsia="宋体" w:hint="default"/>
          <w:sz w:val="23"/>
          <w:szCs w:val="23"/>
        </w:rPr>
      </w:pPr>
    </w:p>
    <w:p>
      <w:pPr>
        <w:pStyle w:val="Heading4"/>
        <w:spacing w:line="240" w:lineRule="auto"/>
        <w:ind w:right="87"/>
        <w:jc w:val="left"/>
        <w:rPr>
          <w:b w:val="0"/>
          <w:bCs w:val="0"/>
        </w:rPr>
      </w:pP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9" w:top="1100" w:bottom="1160" w:left="980" w:right="94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1160" w:left="980" w:right="940"/>
          <w:cols w:num="2" w:equalWidth="0">
            <w:col w:w="3213" w:space="5707"/>
            <w:col w:w="107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1699"/>
        <w:gridCol w:w="992"/>
        <w:gridCol w:w="1277"/>
        <w:gridCol w:w="1277"/>
        <w:gridCol w:w="1133"/>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4" w:right="89"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2"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08"/>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3"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1699"/>
        <w:gridCol w:w="992"/>
        <w:gridCol w:w="1277"/>
        <w:gridCol w:w="1277"/>
        <w:gridCol w:w="1133"/>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2,216,311,233.00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1,239,501,872.44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2,167,265,783.09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1,310,963,463.96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4,383,577,016.09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2,550,465,336.40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3"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 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1,797,065,994.17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1,062,171,210.02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1,618,361,717.01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964,793,171.05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8"/>
              <w:jc w:val="center"/>
              <w:rPr>
                <w:rFonts w:ascii="Times New Roman" w:hAnsi="Times New Roman" w:cs="Times New Roman" w:eastAsia="Times New Roman" w:hint="default"/>
                <w:sz w:val="18"/>
                <w:szCs w:val="18"/>
              </w:rPr>
            </w:pPr>
            <w:r>
              <w:rPr>
                <w:rFonts w:ascii="Times New Roman"/>
                <w:sz w:val="18"/>
              </w:rPr>
              <w:t>AFC</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47,685,433.26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25,275,725.65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15.09%</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8"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131,018,843.90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72,102,313.32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308,909,061.12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129,654,963.57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营运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55,368,692.56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40,026,238.17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6.95%</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3"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 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1,783,994,084.93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991,973,561.49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438,239,183.31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326,639,363.15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4,383,577,016.09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2,550,465,336.40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3,762,116,751.33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2,211,136,046.63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621,460,264.76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339,329,289.77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45.40%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44.35%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-3.32%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4,383,577,016.09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2,550,465,336.40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货币自动处理设备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w:t>
            </w:r>
          </w:p>
        </w:tc>
      </w:tr>
    </w:tbl>
    <w:p>
      <w:pPr>
        <w:pStyle w:val="BodyText"/>
        <w:spacing w:line="240" w:lineRule="auto" w:before="51"/>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553"/>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1,239,501,872.44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1,531,237,707.90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1,310,963,463.96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813,578,881.53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2,550,465,336.40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2,344,816,589.43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r>
    </w:tbl>
    <w:p>
      <w:pPr>
        <w:pStyle w:val="BodyText"/>
        <w:spacing w:line="240" w:lineRule="auto" w:before="52"/>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136"/>
        <w:gridCol w:w="1409"/>
        <w:gridCol w:w="1366"/>
        <w:gridCol w:w="1368"/>
        <w:gridCol w:w="1366"/>
        <w:gridCol w:w="1010"/>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1,062,171,210.02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1,321,630,052.37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964,793,171.05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1,171,842,949.45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49.98%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AFC</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25,275,725.65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59,033,723.49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-57.18%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72,102,313.32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90,753,379.43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-20.55%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129,654,963.57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177,367,855.12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-26.90%</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营运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40,026,238.17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29,433,679.86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35.99%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991,973,561.49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708,633,273.03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326,639,363.15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107,751,729.05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203.14%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tabs>
                <w:tab w:pos="456" w:val="left" w:leader="none"/>
              </w:tabs>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2,550,465,336.40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2,344,816,589.43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bl>
    <w:p>
      <w:pPr>
        <w:pStyle w:val="BodyText"/>
        <w:spacing w:line="357" w:lineRule="auto" w:before="51"/>
        <w:ind w:left="244" w:right="6622" w:hanging="92"/>
        <w:jc w:val="left"/>
      </w:pPr>
      <w:r>
        <w:rPr/>
        <w:t>说明 货币自动处理设备相关成本构成说明：</w:t>
      </w:r>
    </w:p>
    <w:p>
      <w:pPr>
        <w:spacing w:line="240" w:lineRule="auto" w:before="9"/>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4134"/>
        <w:gridCol w:w="2583"/>
        <w:gridCol w:w="2813"/>
      </w:tblGrid>
      <w:tr>
        <w:trPr>
          <w:trHeight w:val="394" w:hRule="exact"/>
        </w:trPr>
        <w:tc>
          <w:tcPr>
            <w:tcW w:w="4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63" w:hRule="exact"/>
        </w:trPr>
        <w:tc>
          <w:tcPr>
            <w:tcW w:w="413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258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61"/>
              <w:ind w:right="16"/>
              <w:jc w:val="right"/>
              <w:rPr>
                <w:rFonts w:ascii="Times New Roman" w:hAnsi="Times New Roman" w:cs="Times New Roman" w:eastAsia="Times New Roman" w:hint="default"/>
                <w:sz w:val="18"/>
                <w:szCs w:val="18"/>
              </w:rPr>
            </w:pPr>
            <w:r>
              <w:rPr>
                <w:rFonts w:ascii="Times New Roman"/>
                <w:sz w:val="18"/>
              </w:rPr>
              <w:t>90.84%</w:t>
            </w:r>
          </w:p>
        </w:tc>
        <w:tc>
          <w:tcPr>
            <w:tcW w:w="281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90.36%</w:t>
            </w:r>
          </w:p>
        </w:tc>
      </w:tr>
      <w:tr>
        <w:trPr>
          <w:trHeight w:val="428"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3.31%</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3.78%</w:t>
            </w:r>
          </w:p>
        </w:tc>
      </w:tr>
      <w:tr>
        <w:trPr>
          <w:trHeight w:val="430"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5.85%</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5.86%</w:t>
            </w:r>
          </w:p>
        </w:tc>
      </w:tr>
      <w:tr>
        <w:trPr>
          <w:trHeight w:val="446"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16" w:lineRule="auto" w:before="10"/>
        <w:ind w:left="513" w:right="0"/>
        <w:jc w:val="left"/>
      </w:pPr>
      <w:r>
        <w:rPr/>
        <w:t>报告期内，公司主营业务市场、主营业务成本构成未发生显著变化。 </w:t>
      </w:r>
      <w:r>
        <w:rPr>
          <w:spacing w:val="-1"/>
        </w:rPr>
        <w:t>报告期内，公司营业成本为</w:t>
      </w:r>
      <w:r>
        <w:rPr>
          <w:rFonts w:ascii="Times New Roman" w:hAnsi="Times New Roman" w:cs="Times New Roman" w:eastAsia="Times New Roman" w:hint="default"/>
          <w:spacing w:val="-1"/>
        </w:rPr>
        <w:t>255,046.53</w:t>
      </w:r>
      <w:r>
        <w:rPr>
          <w:spacing w:val="-1"/>
        </w:rPr>
        <w:t>万元，比上年同期</w:t>
      </w:r>
      <w:r>
        <w:rPr>
          <w:rFonts w:ascii="Times New Roman" w:hAnsi="Times New Roman" w:cs="Times New Roman" w:eastAsia="Times New Roman" w:hint="default"/>
          <w:spacing w:val="-1"/>
        </w:rPr>
        <w:t>234,481.66</w:t>
      </w:r>
      <w:r>
        <w:rPr>
          <w:spacing w:val="-1"/>
        </w:rPr>
        <w:t>万元增长</w:t>
      </w:r>
      <w:r>
        <w:rPr>
          <w:rFonts w:ascii="Times New Roman" w:hAnsi="Times New Roman" w:cs="Times New Roman" w:eastAsia="Times New Roman" w:hint="default"/>
          <w:spacing w:val="-1"/>
        </w:rPr>
        <w:t>8.77%</w:t>
      </w:r>
      <w:r>
        <w:rPr>
          <w:spacing w:val="-1"/>
        </w:rPr>
        <w:t>，其中：货币自动处理设备营业成本</w:t>
      </w:r>
    </w:p>
    <w:p>
      <w:pPr>
        <w:pStyle w:val="BodyText"/>
        <w:spacing w:line="248" w:lineRule="exact"/>
        <w:ind w:right="0"/>
        <w:jc w:val="left"/>
      </w:pPr>
      <w:r>
        <w:rPr>
          <w:rFonts w:ascii="Times New Roman" w:hAnsi="Times New Roman" w:cs="Times New Roman" w:eastAsia="Times New Roman" w:hint="default"/>
        </w:rPr>
        <w:t>106,217.12</w:t>
      </w:r>
      <w:r>
        <w:rPr/>
        <w:t>万元，比上年同期下降</w:t>
      </w:r>
      <w:r>
        <w:rPr>
          <w:rFonts w:ascii="Times New Roman" w:hAnsi="Times New Roman" w:cs="Times New Roman" w:eastAsia="Times New Roman" w:hint="default"/>
        </w:rPr>
        <w:t>19.63%</w:t>
      </w:r>
      <w:r>
        <w:rPr/>
        <w:t>。</w:t>
      </w:r>
    </w:p>
    <w:p>
      <w:pPr>
        <w:pStyle w:val="BodyText"/>
        <w:spacing w:line="300" w:lineRule="auto" w:before="63"/>
        <w:ind w:right="224" w:firstLine="360"/>
        <w:jc w:val="left"/>
      </w:pPr>
      <w:r>
        <w:rPr/>
        <w:t>①</w:t>
      </w:r>
      <w:r>
        <w:rPr>
          <w:rFonts w:ascii="Times New Roman" w:hAnsi="Times New Roman" w:cs="Times New Roman" w:eastAsia="Times New Roman" w:hint="default"/>
        </w:rPr>
        <w:t>ATM</w:t>
      </w:r>
      <w:r>
        <w:rPr/>
        <w:t>设备营业成本</w:t>
      </w:r>
      <w:r>
        <w:rPr>
          <w:rFonts w:ascii="Times New Roman" w:hAnsi="Times New Roman" w:cs="Times New Roman" w:eastAsia="Times New Roman" w:hint="default"/>
        </w:rPr>
        <w:t>96,479.32</w:t>
      </w:r>
      <w:r>
        <w:rPr/>
        <w:t>万元，比上年同期减少</w:t>
      </w:r>
      <w:r>
        <w:rPr>
          <w:rFonts w:ascii="Times New Roman" w:hAnsi="Times New Roman" w:cs="Times New Roman" w:eastAsia="Times New Roman" w:hint="default"/>
        </w:rPr>
        <w:t>17.67%</w:t>
      </w:r>
      <w:r>
        <w:rPr/>
        <w:t>，销售毛利率同比下降</w:t>
      </w:r>
      <w:r>
        <w:rPr>
          <w:rFonts w:ascii="Times New Roman" w:hAnsi="Times New Roman" w:cs="Times New Roman" w:eastAsia="Times New Roman" w:hint="default"/>
        </w:rPr>
        <w:t>8.48</w:t>
      </w:r>
      <w:r>
        <w:rPr/>
        <w:t>个百分点，主要是产品价格下 滑所致。</w:t>
      </w:r>
    </w:p>
    <w:p>
      <w:pPr>
        <w:pStyle w:val="BodyText"/>
        <w:spacing w:line="300" w:lineRule="auto" w:before="31"/>
        <w:ind w:right="0" w:firstLine="360"/>
        <w:jc w:val="left"/>
      </w:pPr>
      <w:r>
        <w:rPr>
          <w:spacing w:val="-1"/>
        </w:rPr>
        <w:t>②</w:t>
      </w:r>
      <w:r>
        <w:rPr>
          <w:rFonts w:ascii="Times New Roman" w:hAnsi="Times New Roman" w:cs="Times New Roman" w:eastAsia="Times New Roman" w:hint="default"/>
          <w:spacing w:val="-1"/>
        </w:rPr>
        <w:t>AFC</w:t>
      </w:r>
      <w:r>
        <w:rPr>
          <w:spacing w:val="-1"/>
        </w:rPr>
        <w:t>设备营业成本</w:t>
      </w:r>
      <w:r>
        <w:rPr>
          <w:rFonts w:ascii="Times New Roman" w:hAnsi="Times New Roman" w:cs="Times New Roman" w:eastAsia="Times New Roman" w:hint="default"/>
          <w:spacing w:val="-1"/>
        </w:rPr>
        <w:t>2,527.57</w:t>
      </w:r>
      <w:r>
        <w:rPr>
          <w:spacing w:val="-1"/>
        </w:rPr>
        <w:t>万元，比上年同期减少</w:t>
      </w:r>
      <w:r>
        <w:rPr>
          <w:rFonts w:ascii="Times New Roman" w:hAnsi="Times New Roman" w:cs="Times New Roman" w:eastAsia="Times New Roman" w:hint="default"/>
          <w:spacing w:val="-1"/>
        </w:rPr>
        <w:t>57.18%</w:t>
      </w:r>
      <w:r>
        <w:rPr>
          <w:spacing w:val="-1"/>
        </w:rPr>
        <w:t>，销售毛利率同比上升</w:t>
      </w:r>
      <w:r>
        <w:rPr>
          <w:rFonts w:ascii="Times New Roman" w:hAnsi="Times New Roman" w:cs="Times New Roman" w:eastAsia="Times New Roman" w:hint="default"/>
          <w:spacing w:val="-1"/>
        </w:rPr>
        <w:t>15.09</w:t>
      </w:r>
      <w:r>
        <w:rPr>
          <w:spacing w:val="-1"/>
        </w:rPr>
        <w:t>个百分点，主要是优化核心模块</w:t>
      </w:r>
      <w:r>
        <w:rPr/>
        <w:t> 及产品销售结构变化所致。</w:t>
      </w:r>
    </w:p>
    <w:p>
      <w:pPr>
        <w:pStyle w:val="BodyText"/>
        <w:spacing w:line="300" w:lineRule="auto" w:before="32"/>
        <w:ind w:right="146" w:firstLine="360"/>
        <w:jc w:val="left"/>
      </w:pPr>
      <w:r>
        <w:rPr>
          <w:spacing w:val="-1"/>
        </w:rPr>
        <w:t>③清分机营业成本</w:t>
      </w:r>
      <w:r>
        <w:rPr>
          <w:rFonts w:ascii="Times New Roman" w:hAnsi="Times New Roman" w:cs="Times New Roman" w:eastAsia="Times New Roman" w:hint="default"/>
          <w:spacing w:val="-1"/>
        </w:rPr>
        <w:t>7,210.23</w:t>
      </w:r>
      <w:r>
        <w:rPr>
          <w:spacing w:val="-1"/>
        </w:rPr>
        <w:t>万元，比上年同期减少</w:t>
      </w:r>
      <w:r>
        <w:rPr>
          <w:rFonts w:ascii="Times New Roman" w:hAnsi="Times New Roman" w:cs="Times New Roman" w:eastAsia="Times New Roman" w:hint="default"/>
          <w:spacing w:val="-1"/>
        </w:rPr>
        <w:t>20.55%</w:t>
      </w:r>
      <w:r>
        <w:rPr>
          <w:spacing w:val="-1"/>
        </w:rPr>
        <w:t>，销售毛利率同比上升</w:t>
      </w:r>
      <w:r>
        <w:rPr>
          <w:rFonts w:ascii="Times New Roman" w:hAnsi="Times New Roman" w:cs="Times New Roman" w:eastAsia="Times New Roman" w:hint="default"/>
          <w:spacing w:val="-1"/>
        </w:rPr>
        <w:t>14.22</w:t>
      </w:r>
      <w:r>
        <w:rPr>
          <w:spacing w:val="-1"/>
        </w:rPr>
        <w:t>个百分点，主要是产品销售结构变</w:t>
      </w:r>
      <w:r>
        <w:rPr/>
        <w:t> 化所致。</w:t>
      </w:r>
    </w:p>
    <w:p>
      <w:pPr>
        <w:spacing w:after="0" w:line="30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2"/>
          <w:szCs w:val="22"/>
        </w:rPr>
      </w:pPr>
    </w:p>
    <w:p>
      <w:pPr>
        <w:pStyle w:val="BodyText"/>
        <w:spacing w:line="300" w:lineRule="auto" w:before="44"/>
        <w:ind w:right="146" w:firstLine="360"/>
        <w:jc w:val="left"/>
      </w:pPr>
      <w:r>
        <w:rPr>
          <w:spacing w:val="-1"/>
        </w:rPr>
        <w:t>④设备配件营业成本</w:t>
      </w:r>
      <w:r>
        <w:rPr>
          <w:rFonts w:ascii="Times New Roman" w:hAnsi="Times New Roman" w:cs="Times New Roman" w:eastAsia="Times New Roman" w:hint="default"/>
          <w:spacing w:val="-1"/>
        </w:rPr>
        <w:t>12,965.50</w:t>
      </w:r>
      <w:r>
        <w:rPr>
          <w:spacing w:val="-1"/>
        </w:rPr>
        <w:t>万元，比上年同期减少</w:t>
      </w:r>
      <w:r>
        <w:rPr>
          <w:rFonts w:ascii="Times New Roman" w:hAnsi="Times New Roman" w:cs="Times New Roman" w:eastAsia="Times New Roman" w:hint="default"/>
          <w:spacing w:val="-1"/>
        </w:rPr>
        <w:t>26.90%</w:t>
      </w:r>
      <w:r>
        <w:rPr>
          <w:spacing w:val="-1"/>
        </w:rPr>
        <w:t>，销售毛利率同比上升</w:t>
      </w:r>
      <w:r>
        <w:rPr>
          <w:rFonts w:ascii="Times New Roman" w:hAnsi="Times New Roman" w:cs="Times New Roman" w:eastAsia="Times New Roman" w:hint="default"/>
          <w:spacing w:val="-1"/>
        </w:rPr>
        <w:t>3.16</w:t>
      </w:r>
      <w:r>
        <w:rPr>
          <w:spacing w:val="-1"/>
        </w:rPr>
        <w:t>个百分点，主要是自制备件成本</w:t>
      </w:r>
      <w:r>
        <w:rPr/>
        <w:t> 降低的影响。</w:t>
      </w:r>
    </w:p>
    <w:p>
      <w:pPr>
        <w:pStyle w:val="BodyText"/>
        <w:spacing w:line="300" w:lineRule="auto" w:before="31"/>
        <w:ind w:right="134" w:firstLine="360"/>
        <w:jc w:val="left"/>
      </w:pPr>
      <w:r>
        <w:rPr/>
        <w:t>⑤</w:t>
      </w:r>
      <w:r>
        <w:rPr>
          <w:rFonts w:ascii="Times New Roman" w:hAnsi="Times New Roman" w:cs="Times New Roman" w:eastAsia="Times New Roman" w:hint="default"/>
        </w:rPr>
        <w:t>ATM</w:t>
      </w:r>
      <w:r>
        <w:rPr/>
        <w:t>营运营业成本</w:t>
      </w:r>
      <w:r>
        <w:rPr>
          <w:rFonts w:ascii="Times New Roman" w:hAnsi="Times New Roman" w:cs="Times New Roman" w:eastAsia="Times New Roman" w:hint="default"/>
        </w:rPr>
        <w:t>4,002.62</w:t>
      </w:r>
      <w:r>
        <w:rPr/>
        <w:t>万元，比上年同期增长</w:t>
      </w:r>
      <w:r>
        <w:rPr>
          <w:rFonts w:ascii="Times New Roman" w:hAnsi="Times New Roman" w:cs="Times New Roman" w:eastAsia="Times New Roman" w:hint="default"/>
        </w:rPr>
        <w:t>35.99%</w:t>
      </w:r>
      <w:r>
        <w:rPr/>
        <w:t>，销售毛利率同比上升</w:t>
      </w:r>
      <w:r>
        <w:rPr>
          <w:rFonts w:ascii="Times New Roman" w:hAnsi="Times New Roman" w:cs="Times New Roman" w:eastAsia="Times New Roman" w:hint="default"/>
        </w:rPr>
        <w:t>6.95</w:t>
      </w:r>
      <w:r>
        <w:rPr/>
        <w:t>个百分点，主要是营运收入的增 长有效摊薄固定成本所致。</w:t>
      </w:r>
    </w:p>
    <w:p>
      <w:pPr>
        <w:pStyle w:val="BodyText"/>
        <w:spacing w:line="300" w:lineRule="auto" w:before="31"/>
        <w:ind w:right="0" w:firstLine="346"/>
        <w:jc w:val="left"/>
      </w:pPr>
      <w:r>
        <w:rPr>
          <w:spacing w:val="-1"/>
        </w:rPr>
        <w:t>⑥设备维护及服务营业成本</w:t>
      </w:r>
      <w:r>
        <w:rPr>
          <w:rFonts w:ascii="Times New Roman" w:hAnsi="Times New Roman" w:cs="Times New Roman" w:eastAsia="Times New Roman" w:hint="default"/>
          <w:spacing w:val="-1"/>
        </w:rPr>
        <w:t>99,197.36</w:t>
      </w:r>
      <w:r>
        <w:rPr>
          <w:spacing w:val="-1"/>
        </w:rPr>
        <w:t>万元，比上年同期增长</w:t>
      </w:r>
      <w:r>
        <w:rPr>
          <w:rFonts w:ascii="Times New Roman" w:hAnsi="Times New Roman" w:cs="Times New Roman" w:eastAsia="Times New Roman" w:hint="default"/>
          <w:spacing w:val="-1"/>
        </w:rPr>
        <w:t>39.98%</w:t>
      </w:r>
      <w:r>
        <w:rPr>
          <w:spacing w:val="-1"/>
        </w:rPr>
        <w:t>，销售毛利率同比下降</w:t>
      </w:r>
      <w:r>
        <w:rPr>
          <w:rFonts w:ascii="Times New Roman" w:hAnsi="Times New Roman" w:cs="Times New Roman" w:eastAsia="Times New Roman" w:hint="default"/>
          <w:spacing w:val="-1"/>
        </w:rPr>
        <w:t>1.38</w:t>
      </w:r>
      <w:r>
        <w:rPr>
          <w:spacing w:val="-1"/>
        </w:rPr>
        <w:t>个百分点，主要是人工成</w:t>
      </w:r>
      <w:r>
        <w:rPr/>
        <w:t> 本上升、服务设备营运成本增加及本期纳入合并范围的押运业务毛利率偏低所致。</w:t>
      </w:r>
    </w:p>
    <w:p>
      <w:pPr>
        <w:pStyle w:val="BodyText"/>
        <w:spacing w:line="300" w:lineRule="auto" w:before="31"/>
        <w:ind w:right="0" w:firstLine="346"/>
        <w:jc w:val="left"/>
      </w:pPr>
      <w:r>
        <w:rPr>
          <w:spacing w:val="-1"/>
        </w:rPr>
        <w:t>⑦其他营业成本</w:t>
      </w:r>
      <w:r>
        <w:rPr>
          <w:rFonts w:ascii="Times New Roman" w:hAnsi="Times New Roman" w:cs="Times New Roman" w:eastAsia="Times New Roman" w:hint="default"/>
          <w:spacing w:val="-1"/>
        </w:rPr>
        <w:t>32,663.94</w:t>
      </w:r>
      <w:r>
        <w:rPr>
          <w:spacing w:val="-1"/>
        </w:rPr>
        <w:t>万元，比上年同期上升</w:t>
      </w:r>
      <w:r>
        <w:rPr>
          <w:rFonts w:ascii="Times New Roman" w:hAnsi="Times New Roman" w:cs="Times New Roman" w:eastAsia="Times New Roman" w:hint="default"/>
          <w:spacing w:val="-1"/>
        </w:rPr>
        <w:t>203.14%</w:t>
      </w:r>
      <w:r>
        <w:rPr>
          <w:spacing w:val="-1"/>
        </w:rPr>
        <w:t>，销售毛利率同比下降</w:t>
      </w:r>
      <w:r>
        <w:rPr>
          <w:rFonts w:ascii="Times New Roman" w:hAnsi="Times New Roman" w:cs="Times New Roman" w:eastAsia="Times New Roman" w:hint="default"/>
          <w:spacing w:val="-1"/>
        </w:rPr>
        <w:t>13.77</w:t>
      </w:r>
      <w:r>
        <w:rPr>
          <w:spacing w:val="-1"/>
        </w:rPr>
        <w:t>个百分点，主要是呼叫中心业务毛</w:t>
      </w:r>
      <w:r>
        <w:rPr/>
        <w:t> 利率偏低所致。</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9" w:top="1100" w:bottom="1160" w:left="980" w:right="980"/>
        </w:sectPr>
      </w:pPr>
    </w:p>
    <w:p>
      <w:pPr>
        <w:pStyle w:val="BodyText"/>
        <w:spacing w:line="240" w:lineRule="auto" w:before="44"/>
        <w:ind w:right="-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1"/>
        <w:ind w:left="513" w:right="-8"/>
        <w:jc w:val="left"/>
        <w:rPr>
          <w:rFonts w:ascii="Times New Roman" w:hAnsi="Times New Roman" w:cs="Times New Roman" w:eastAsia="Times New Roman" w:hint="default"/>
        </w:rPr>
      </w:pPr>
      <w:r>
        <w:rPr/>
        <w:t>与上年度相比本年度新增合并单位</w:t>
      </w:r>
      <w:r>
        <w:rPr>
          <w:rFonts w:ascii="Times New Roman" w:hAnsi="Times New Roman" w:cs="Times New Roman" w:eastAsia="Times New Roman" w:hint="default"/>
          <w:spacing w:val="1"/>
        </w:rPr>
        <w:t>13</w:t>
      </w:r>
      <w:r>
        <w:rPr/>
        <w:t>家</w:t>
      </w:r>
      <w:r>
        <w:rPr>
          <w:spacing w:val="-82"/>
        </w:rPr>
        <w:t>，</w:t>
      </w:r>
      <w:r>
        <w:rPr/>
        <w:t>原因为</w:t>
      </w:r>
      <w:r>
        <w:rPr>
          <w:spacing w:val="-82"/>
        </w:rPr>
        <w:t>：</w:t>
      </w:r>
      <w:r>
        <w:rPr/>
        <w:t>新设立</w:t>
      </w:r>
      <w:r>
        <w:rPr>
          <w:rFonts w:ascii="Times New Roman" w:hAnsi="Times New Roman" w:cs="Times New Roman" w:eastAsia="Times New Roman" w:hint="default"/>
          <w:spacing w:val="1"/>
        </w:rPr>
        <w:t>4</w:t>
      </w:r>
      <w:r>
        <w:rPr/>
        <w:t>家孙公司</w:t>
      </w:r>
      <w:r>
        <w:rPr>
          <w:rFonts w:ascii="Times New Roman" w:hAnsi="Times New Roman" w:cs="Times New Roman" w:eastAsia="Times New Roman" w:hint="default"/>
        </w:rPr>
        <w:t>-</w:t>
      </w:r>
      <w:r>
        <w:rPr/>
        <w:t>平云小匠</w:t>
      </w:r>
      <w:r>
        <w:rPr>
          <w:spacing w:val="-80"/>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spacing w:val="2"/>
        </w:rPr>
        <w:t>R</w:t>
      </w:r>
      <w:r>
        <w:rPr>
          <w:rFonts w:ascii="Times New Roman" w:hAnsi="Times New Roman" w:cs="Times New Roman" w:eastAsia="Times New Roman" w:hint="default"/>
          <w:w w:val="99"/>
        </w:rPr>
        <w:t>G</w:t>
      </w:r>
      <w:r>
        <w:rPr>
          <w:rFonts w:ascii="Times New Roman" w:hAnsi="Times New Roman" w:cs="Times New Roman" w:eastAsia="Times New Roman" w:hint="default"/>
          <w:spacing w:val="-3"/>
        </w:rPr>
        <w:t> </w:t>
      </w:r>
      <w:r>
        <w:rPr>
          <w:rFonts w:ascii="Times New Roman" w:hAnsi="Times New Roman" w:cs="Times New Roman" w:eastAsia="Times New Roman" w:hint="default"/>
        </w:rPr>
        <w:t>E</w:t>
      </w:r>
      <w:r>
        <w:rPr>
          <w:rFonts w:ascii="Times New Roman" w:hAnsi="Times New Roman" w:cs="Times New Roman" w:eastAsia="Times New Roman" w:hint="default"/>
          <w:spacing w:val="1"/>
        </w:rPr>
        <w:t>qu</w:t>
      </w:r>
      <w:r>
        <w:rPr>
          <w:rFonts w:ascii="Times New Roman" w:hAnsi="Times New Roman" w:cs="Times New Roman" w:eastAsia="Times New Roman" w:hint="default"/>
        </w:rPr>
        <w:t>i</w:t>
      </w:r>
      <w:r>
        <w:rPr>
          <w:rFonts w:ascii="Times New Roman" w:hAnsi="Times New Roman" w:cs="Times New Roman" w:eastAsia="Times New Roman" w:hint="default"/>
          <w:spacing w:val="1"/>
        </w:rPr>
        <w:t>p</w:t>
      </w:r>
      <w:r>
        <w:rPr>
          <w:rFonts w:ascii="Times New Roman" w:hAnsi="Times New Roman" w:cs="Times New Roman" w:eastAsia="Times New Roman" w:hint="default"/>
          <w:spacing w:val="-4"/>
        </w:rPr>
        <w:t>m</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1"/>
        </w:rPr>
        <w:t>n</w:t>
      </w:r>
      <w:r>
        <w:rPr>
          <w:rFonts w:ascii="Times New Roman" w:hAnsi="Times New Roman" w:cs="Times New Roman" w:eastAsia="Times New Roman" w:hint="default"/>
        </w:rPr>
        <w:t>t </w:t>
      </w:r>
      <w:r>
        <w:rPr>
          <w:rFonts w:ascii="Times New Roman" w:hAnsi="Times New Roman" w:cs="Times New Roman" w:eastAsia="Times New Roman" w:hint="default"/>
          <w:w w:val="99"/>
        </w:rPr>
        <w:t>(S</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2"/>
        </w:rPr>
        <w:t>g</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1"/>
        </w:rPr>
        <w:t>po</w:t>
      </w:r>
      <w:r>
        <w:rPr>
          <w:rFonts w:ascii="Times New Roman" w:hAnsi="Times New Roman" w:cs="Times New Roman" w:eastAsia="Times New Roman" w:hint="default"/>
        </w:rPr>
        <w:t>r</w:t>
      </w:r>
      <w:r>
        <w:rPr>
          <w:rFonts w:ascii="Times New Roman" w:hAnsi="Times New Roman" w:cs="Times New Roman" w:eastAsia="Times New Roman" w:hint="default"/>
          <w:spacing w:val="-1"/>
        </w:rPr>
        <w:t>e</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w w:val="99"/>
        </w:rPr>
        <w:t>P</w:t>
      </w:r>
      <w:r>
        <w:rPr>
          <w:rFonts w:ascii="Times New Roman" w:hAnsi="Times New Roman" w:cs="Times New Roman" w:eastAsia="Times New Roman" w:hint="default"/>
        </w:rPr>
        <w:t>te. </w:t>
      </w:r>
      <w:r>
        <w:rPr>
          <w:rFonts w:ascii="Times New Roman" w:hAnsi="Times New Roman" w:cs="Times New Roman" w:eastAsia="Times New Roman" w:hint="default"/>
          <w:spacing w:val="-2"/>
        </w:rPr>
        <w:t>L</w:t>
      </w:r>
      <w:r>
        <w:rPr>
          <w:rFonts w:ascii="Times New Roman" w:hAnsi="Times New Roman" w:cs="Times New Roman" w:eastAsia="Times New Roman" w:hint="default"/>
        </w:rPr>
        <w:t>t</w:t>
      </w:r>
      <w:r>
        <w:rPr>
          <w:rFonts w:ascii="Times New Roman" w:hAnsi="Times New Roman" w:cs="Times New Roman" w:eastAsia="Times New Roman" w:hint="default"/>
          <w:spacing w:val="-32"/>
        </w:rPr>
        <w:t>d</w:t>
      </w:r>
      <w:r>
        <w:rPr>
          <w:spacing w:val="-147"/>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20"/>
          <w:szCs w:val="20"/>
        </w:rPr>
      </w:pPr>
    </w:p>
    <w:p>
      <w:pPr>
        <w:pStyle w:val="BodyText"/>
        <w:spacing w:line="240" w:lineRule="auto"/>
        <w:ind w:left="61" w:right="0"/>
        <w:jc w:val="left"/>
        <w:rPr>
          <w:rFonts w:ascii="Times New Roman" w:hAnsi="Times New Roman" w:cs="Times New Roman" w:eastAsia="Times New Roman" w:hint="default"/>
        </w:rPr>
      </w:pPr>
      <w:r>
        <w:rPr>
          <w:rFonts w:ascii="Times New Roman"/>
        </w:rPr>
        <w:t>GRG</w:t>
      </w:r>
    </w:p>
    <w:p>
      <w:pPr>
        <w:spacing w:after="0" w:line="240" w:lineRule="auto"/>
        <w:jc w:val="left"/>
        <w:rPr>
          <w:rFonts w:ascii="Times New Roman" w:hAnsi="Times New Roman" w:cs="Times New Roman" w:eastAsia="Times New Roman" w:hint="default"/>
        </w:rPr>
        <w:sectPr>
          <w:type w:val="continuous"/>
          <w:pgSz w:w="11910" w:h="16840"/>
          <w:pgMar w:top="1100" w:bottom="1160" w:left="980" w:right="980"/>
          <w:cols w:num="2" w:equalWidth="0">
            <w:col w:w="9315" w:space="40"/>
            <w:col w:w="595"/>
          </w:cols>
        </w:sectPr>
      </w:pPr>
    </w:p>
    <w:p>
      <w:pPr>
        <w:pStyle w:val="BodyText"/>
        <w:spacing w:line="300" w:lineRule="auto" w:before="63"/>
        <w:ind w:right="84"/>
        <w:jc w:val="left"/>
      </w:pPr>
      <w:r>
        <w:rPr/>
        <w:t>新加坡）、广电卓识、江苏汇锦利通信息科技有限公司；并购、新设共</w:t>
      </w:r>
      <w:r>
        <w:rPr>
          <w:rFonts w:ascii="Times New Roman" w:hAnsi="Times New Roman" w:cs="Times New Roman" w:eastAsia="Times New Roman" w:hint="default"/>
        </w:rPr>
        <w:t>9</w:t>
      </w:r>
      <w:r>
        <w:rPr/>
        <w:t>家孙公司的控股子、孙公司</w:t>
      </w:r>
      <w:r>
        <w:rPr>
          <w:rFonts w:ascii="Times New Roman" w:hAnsi="Times New Roman" w:cs="Times New Roman" w:eastAsia="Times New Roman" w:hint="default"/>
        </w:rPr>
        <w:t>-</w:t>
      </w:r>
      <w:r>
        <w:rPr/>
        <w:t>黄石金通、湖北银通、 益阳保安、安化保安、南县保安、黄石金安、保山安邦、鹤壁鹏翔、新余市景运科技有限公司。</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1,632,697,706.01</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37.26%</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422,454,152.75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380,284,699.57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344,395,894.13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245,399,016.51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240,163,943.05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1,632,697,706.01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37.26%</w:t>
            </w:r>
          </w:p>
        </w:tc>
      </w:tr>
    </w:tbl>
    <w:p>
      <w:pPr>
        <w:pStyle w:val="BodyText"/>
        <w:spacing w:line="240" w:lineRule="auto" w:before="51"/>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312,546,925.83</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24.03%</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98,733,588.05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69,818,435.73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59,882,216.79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43,300,592.21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40,812,093.05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312,546,925.83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24.03%</w:t>
            </w:r>
          </w:p>
        </w:tc>
      </w:tr>
    </w:tbl>
    <w:p>
      <w:pPr>
        <w:pStyle w:val="BodyText"/>
        <w:spacing w:line="240" w:lineRule="auto" w:before="51"/>
        <w:ind w:right="0"/>
        <w:jc w:val="left"/>
      </w:pPr>
      <w:r>
        <w:rPr/>
        <w:t>主要供应商其他情况说明</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2"/>
        <w:gridCol w:w="1286"/>
        <w:gridCol w:w="1561"/>
        <w:gridCol w:w="1275"/>
        <w:gridCol w:w="4325"/>
      </w:tblGrid>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627,834,007.98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699,626,934.91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-10.26%</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634,536,432.83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567,789,328.47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11.76%</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-10,779,321.56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-20,282,416.08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46.85%</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主要为外币汇兑损失增加。</w:t>
            </w: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39,258,542.14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48,392,646.04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-18.87%</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157,998,190.63</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110,835,468.76</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42.55%</w:t>
            </w:r>
          </w:p>
        </w:tc>
        <w:tc>
          <w:tcPr>
            <w:tcW w:w="4325" w:type="dxa"/>
            <w:vMerge w:val="restart"/>
            <w:tcBorders>
              <w:top w:val="single" w:sz="4" w:space="0" w:color="000000"/>
              <w:left w:val="single" w:sz="4" w:space="0" w:color="000000"/>
              <w:right w:val="single" w:sz="4" w:space="0" w:color="000000"/>
            </w:tcBorders>
          </w:tcPr>
          <w:p>
            <w:pPr>
              <w:pStyle w:val="TableParagraph"/>
              <w:spacing w:line="314" w:lineRule="auto" w:before="53"/>
              <w:ind w:left="26" w:right="-32"/>
              <w:jc w:val="left"/>
              <w:rPr>
                <w:rFonts w:ascii="宋体" w:hAnsi="宋体" w:cs="宋体" w:eastAsia="宋体" w:hint="default"/>
                <w:sz w:val="18"/>
                <w:szCs w:val="18"/>
              </w:rPr>
            </w:pPr>
            <w:r>
              <w:rPr>
                <w:rFonts w:ascii="宋体" w:hAnsi="宋体" w:cs="宋体" w:eastAsia="宋体" w:hint="default"/>
                <w:sz w:val="18"/>
                <w:szCs w:val="18"/>
              </w:rPr>
              <w:t>主要是投资的广电计量会计核算方法变更及减持神州 控股部分可供出售金融资产取得的投资收益增加所致。</w:t>
            </w:r>
          </w:p>
        </w:tc>
      </w:tr>
      <w:tr>
        <w:trPr>
          <w:trHeight w:val="391"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86" w:type="dxa"/>
            <w:vMerge/>
            <w:tcBorders>
              <w:left w:val="single" w:sz="10"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4325" w:type="dxa"/>
            <w:vMerge/>
            <w:tcBorders>
              <w:left w:val="single" w:sz="4" w:space="0" w:color="000000"/>
              <w:right w:val="single" w:sz="4" w:space="0" w:color="000000"/>
            </w:tcBorders>
          </w:tcPr>
          <w:p>
            <w:pPr/>
          </w:p>
        </w:tc>
      </w:tr>
      <w:tr>
        <w:trPr>
          <w:trHeight w:val="161"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10"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325"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一直以来，公司高度重视技术研发，把研发放在战略高度，坚持研发高投入，以市场为导向，不断开发新产品，完善核</w:t>
      </w:r>
    </w:p>
    <w:p>
      <w:pPr>
        <w:pStyle w:val="BodyText"/>
        <w:spacing w:line="360" w:lineRule="auto" w:before="2"/>
        <w:ind w:right="5634"/>
        <w:jc w:val="left"/>
      </w:pPr>
      <w:r>
        <w:rPr/>
        <w:t>心技术，升级产品结构，全面提升公司综合竞争力。 公司研发投入情况</w:t>
      </w:r>
    </w:p>
    <w:tbl>
      <w:tblPr>
        <w:tblW w:w="0" w:type="auto"/>
        <w:jc w:val="left"/>
        <w:tblInd w:w="160" w:type="dxa"/>
        <w:tblLayout w:type="fixed"/>
        <w:tblCellMar>
          <w:top w:w="0" w:type="dxa"/>
          <w:left w:w="0" w:type="dxa"/>
          <w:bottom w:w="0" w:type="dxa"/>
          <w:right w:w="0" w:type="dxa"/>
        </w:tblCellMar>
        <w:tblLook w:val="01E0"/>
      </w:tblPr>
      <w:tblGrid>
        <w:gridCol w:w="2813"/>
        <w:gridCol w:w="2565"/>
        <w:gridCol w:w="2410"/>
        <w:gridCol w:w="1771"/>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1,097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369,017,475.84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363,746,885.73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0"/>
        <w:jc w:val="left"/>
      </w:pPr>
      <w:r>
        <w:rPr/>
        <w:t>研发投入总额占营业收入的比重较上年发生显著变化的原因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87"/>
        <w:jc w:val="left"/>
      </w:pPr>
      <w:r>
        <w:rPr/>
        <w:t>研发投入资本化率大幅变动的原因及其合理性说明</w:t>
      </w:r>
    </w:p>
    <w:p>
      <w:pPr>
        <w:pStyle w:val="BodyText"/>
        <w:spacing w:line="240" w:lineRule="auto" w:before="117"/>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right="87"/>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705"/>
        <w:gridCol w:w="2410"/>
        <w:gridCol w:w="1771"/>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5,369,565,744.65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5,314,398,511.08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1.04%</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4,697,115,611.30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4,202,557,683.33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11.77%</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672,450,133.35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1,111,840,827.75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-39.52%</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9,939,472,682.27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5,983,555,923.83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66.11%</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9,935,385,760.32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9,280,531,278.48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7.06%</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4,086,921.95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-3,296,975,354.65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205,914,790.10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3,385,310,876.80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-93.92%</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369,995,662.04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495,054,151.88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-164,080,871.94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2,890,256,724.92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-105.68%</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496,060,347.93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714,421,688.89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-30.56%</w:t>
            </w:r>
          </w:p>
        </w:tc>
      </w:tr>
    </w:tbl>
    <w:p>
      <w:pPr>
        <w:pStyle w:val="BodyText"/>
        <w:spacing w:line="240" w:lineRule="auto" w:before="51"/>
        <w:ind w:right="87"/>
        <w:jc w:val="left"/>
      </w:pPr>
      <w:r>
        <w:rPr/>
        <w:t>相关数据同比发生重大变动的主要影响因素说明</w:t>
      </w:r>
    </w:p>
    <w:p>
      <w:pPr>
        <w:pStyle w:val="BodyText"/>
        <w:spacing w:line="240" w:lineRule="auto" w:before="115"/>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424" w:right="87"/>
        <w:jc w:val="left"/>
      </w:pPr>
      <w:r>
        <w:rPr/>
        <w:t>（</w:t>
      </w:r>
      <w:r>
        <w:rPr>
          <w:rFonts w:ascii="Times New Roman" w:hAnsi="Times New Roman" w:cs="Times New Roman" w:eastAsia="Times New Roman" w:hint="default"/>
        </w:rPr>
        <w:t>1</w:t>
      </w:r>
      <w:r>
        <w:rPr/>
        <w:t>）经营活动现金流量</w:t>
      </w:r>
    </w:p>
    <w:p>
      <w:pPr>
        <w:pStyle w:val="BodyText"/>
        <w:spacing w:line="300" w:lineRule="auto" w:before="63"/>
        <w:ind w:right="188" w:firstLine="360"/>
        <w:jc w:val="both"/>
      </w:pPr>
      <w:r>
        <w:rPr>
          <w:rFonts w:ascii="Times New Roman" w:hAnsi="Times New Roman" w:cs="Times New Roman" w:eastAsia="Times New Roman" w:hint="default"/>
          <w:spacing w:val="-1"/>
        </w:rPr>
        <w:t>2017</w:t>
      </w:r>
      <w:r>
        <w:rPr>
          <w:spacing w:val="-1"/>
        </w:rPr>
        <w:t>年，公司经营活动产生的现金流入</w:t>
      </w:r>
      <w:r>
        <w:rPr>
          <w:rFonts w:ascii="Times New Roman" w:hAnsi="Times New Roman" w:cs="Times New Roman" w:eastAsia="Times New Roman" w:hint="default"/>
          <w:spacing w:val="-1"/>
        </w:rPr>
        <w:t>536,956.57</w:t>
      </w:r>
      <w:r>
        <w:rPr>
          <w:spacing w:val="-1"/>
        </w:rPr>
        <w:t>万元，比上年同期</w:t>
      </w:r>
      <w:r>
        <w:rPr>
          <w:rFonts w:ascii="Times New Roman" w:hAnsi="Times New Roman" w:cs="Times New Roman" w:eastAsia="Times New Roman" w:hint="default"/>
          <w:spacing w:val="-1"/>
        </w:rPr>
        <w:t>531,439.85</w:t>
      </w:r>
      <w:r>
        <w:rPr>
          <w:spacing w:val="-1"/>
        </w:rPr>
        <w:t>万元增长</w:t>
      </w:r>
      <w:r>
        <w:rPr>
          <w:rFonts w:ascii="Times New Roman" w:hAnsi="Times New Roman" w:cs="Times New Roman" w:eastAsia="Times New Roman" w:hint="default"/>
          <w:spacing w:val="-1"/>
        </w:rPr>
        <w:t>1.04%</w:t>
      </w:r>
      <w:r>
        <w:rPr>
          <w:spacing w:val="-1"/>
        </w:rPr>
        <w:t>，其中销售商品、提供劳</w:t>
      </w:r>
      <w:r>
        <w:rPr/>
        <w:t> </w:t>
      </w:r>
      <w:r>
        <w:rPr>
          <w:spacing w:val="-1"/>
        </w:rPr>
        <w:t>务收到的现金</w:t>
      </w:r>
      <w:r>
        <w:rPr>
          <w:rFonts w:ascii="Times New Roman" w:hAnsi="Times New Roman" w:cs="Times New Roman" w:eastAsia="Times New Roman" w:hint="default"/>
          <w:spacing w:val="-1"/>
        </w:rPr>
        <w:t>499,161.68</w:t>
      </w:r>
      <w:r>
        <w:rPr>
          <w:spacing w:val="-1"/>
        </w:rPr>
        <w:t>万元，比上年同期</w:t>
      </w:r>
      <w:r>
        <w:rPr>
          <w:rFonts w:ascii="Times New Roman" w:hAnsi="Times New Roman" w:cs="Times New Roman" w:eastAsia="Times New Roman" w:hint="default"/>
          <w:spacing w:val="-1"/>
        </w:rPr>
        <w:t>474,264.00</w:t>
      </w:r>
      <w:r>
        <w:rPr>
          <w:spacing w:val="-1"/>
        </w:rPr>
        <w:t>万元增加</w:t>
      </w:r>
      <w:r>
        <w:rPr>
          <w:rFonts w:ascii="Times New Roman" w:hAnsi="Times New Roman" w:cs="Times New Roman" w:eastAsia="Times New Roman" w:hint="default"/>
          <w:spacing w:val="-1"/>
        </w:rPr>
        <w:t>24,897.68</w:t>
      </w:r>
      <w:r>
        <w:rPr>
          <w:spacing w:val="-1"/>
        </w:rPr>
        <w:t>万元，同比增长幅度为</w:t>
      </w:r>
      <w:r>
        <w:rPr>
          <w:rFonts w:ascii="Times New Roman" w:hAnsi="Times New Roman" w:cs="Times New Roman" w:eastAsia="Times New Roman" w:hint="default"/>
          <w:spacing w:val="-1"/>
        </w:rPr>
        <w:t>5.25%</w:t>
      </w:r>
      <w:r>
        <w:rPr>
          <w:spacing w:val="-1"/>
        </w:rPr>
        <w:t>，主要是收到货款增加</w:t>
      </w:r>
      <w:r>
        <w:rPr>
          <w:spacing w:val="-34"/>
        </w:rPr>
        <w:t> </w:t>
      </w:r>
      <w:r>
        <w:rPr>
          <w:spacing w:val="-34"/>
        </w:rPr>
      </w:r>
      <w:r>
        <w:rPr/>
        <w:t>所致。</w:t>
      </w:r>
    </w:p>
    <w:p>
      <w:pPr>
        <w:pStyle w:val="BodyText"/>
        <w:spacing w:line="300" w:lineRule="auto" w:before="31"/>
        <w:ind w:right="259" w:firstLine="360"/>
        <w:jc w:val="left"/>
      </w:pPr>
      <w:r>
        <w:rPr/>
        <w:t>经营活动产生的现金流出</w:t>
      </w:r>
      <w:r>
        <w:rPr>
          <w:rFonts w:ascii="Times New Roman" w:hAnsi="Times New Roman" w:cs="Times New Roman" w:eastAsia="Times New Roman" w:hint="default"/>
        </w:rPr>
        <w:t>469,711.56</w:t>
      </w:r>
      <w:r>
        <w:rPr/>
        <w:t>万元，比上年同期</w:t>
      </w:r>
      <w:r>
        <w:rPr>
          <w:rFonts w:ascii="Times New Roman" w:hAnsi="Times New Roman" w:cs="Times New Roman" w:eastAsia="Times New Roman" w:hint="default"/>
        </w:rPr>
        <w:t>420,255.77</w:t>
      </w:r>
      <w:r>
        <w:rPr/>
        <w:t>万元增长</w:t>
      </w:r>
      <w:r>
        <w:rPr>
          <w:rFonts w:ascii="Times New Roman" w:hAnsi="Times New Roman" w:cs="Times New Roman" w:eastAsia="Times New Roman" w:hint="default"/>
        </w:rPr>
        <w:t>11.77%</w:t>
      </w:r>
      <w:r>
        <w:rPr/>
        <w:t>，主要是新增并购公司支付给职工以 及为职工支付的现金同比增加所致。</w:t>
      </w:r>
    </w:p>
    <w:p>
      <w:pPr>
        <w:pStyle w:val="BodyText"/>
        <w:spacing w:line="240" w:lineRule="auto" w:before="31"/>
        <w:ind w:left="513" w:right="87"/>
        <w:jc w:val="left"/>
      </w:pPr>
      <w:r>
        <w:rPr/>
        <w:t>经营活动产生的现金流量净额</w:t>
      </w:r>
      <w:r>
        <w:rPr>
          <w:rFonts w:ascii="Times New Roman" w:hAnsi="Times New Roman" w:cs="Times New Roman" w:eastAsia="Times New Roman" w:hint="default"/>
        </w:rPr>
        <w:t>67,245.01</w:t>
      </w:r>
      <w:r>
        <w:rPr/>
        <w:t>万元，比上年同期</w:t>
      </w:r>
      <w:r>
        <w:rPr>
          <w:rFonts w:ascii="Times New Roman" w:hAnsi="Times New Roman" w:cs="Times New Roman" w:eastAsia="Times New Roman" w:hint="default"/>
        </w:rPr>
        <w:t>111,184.08</w:t>
      </w:r>
      <w:r>
        <w:rPr/>
        <w:t>万元减少</w:t>
      </w:r>
      <w:r>
        <w:rPr>
          <w:rFonts w:ascii="Times New Roman" w:hAnsi="Times New Roman" w:cs="Times New Roman" w:eastAsia="Times New Roman" w:hint="default"/>
        </w:rPr>
        <w:t>43,939.07</w:t>
      </w:r>
      <w:r>
        <w:rPr/>
        <w:t>万元，同比减少幅度为</w:t>
      </w:r>
      <w:r>
        <w:rPr>
          <w:rFonts w:ascii="Times New Roman" w:hAnsi="Times New Roman" w:cs="Times New Roman" w:eastAsia="Times New Roman" w:hint="default"/>
        </w:rPr>
        <w:t>39.52%</w:t>
      </w:r>
      <w:r>
        <w:rPr/>
        <w:t>。</w:t>
      </w:r>
    </w:p>
    <w:p>
      <w:pPr>
        <w:pStyle w:val="BodyText"/>
        <w:spacing w:line="240" w:lineRule="auto" w:before="63"/>
        <w:ind w:left="424" w:right="87"/>
        <w:jc w:val="left"/>
      </w:pPr>
      <w:r>
        <w:rPr/>
        <w:t>（</w:t>
      </w:r>
      <w:r>
        <w:rPr>
          <w:rFonts w:ascii="Times New Roman" w:hAnsi="Times New Roman" w:cs="Times New Roman" w:eastAsia="Times New Roman" w:hint="default"/>
        </w:rPr>
        <w:t>2</w:t>
      </w:r>
      <w:r>
        <w:rPr/>
        <w:t>）投资活动现金流量</w:t>
      </w:r>
    </w:p>
    <w:p>
      <w:pPr>
        <w:pStyle w:val="BodyText"/>
        <w:spacing w:line="240" w:lineRule="auto" w:before="63"/>
        <w:ind w:left="513" w:right="0"/>
        <w:jc w:val="left"/>
      </w:pPr>
      <w:r>
        <w:rPr>
          <w:rFonts w:ascii="Times New Roman" w:hAnsi="Times New Roman" w:cs="Times New Roman" w:eastAsia="Times New Roman" w:hint="default"/>
        </w:rPr>
        <w:t>2017</w:t>
      </w:r>
      <w:r>
        <w:rPr/>
        <w:t>年，公司投资活动产生的现金净流量</w:t>
      </w:r>
      <w:r>
        <w:rPr>
          <w:rFonts w:ascii="Times New Roman" w:hAnsi="Times New Roman" w:cs="Times New Roman" w:eastAsia="Times New Roman" w:hint="default"/>
        </w:rPr>
        <w:t>408.69</w:t>
      </w:r>
      <w:r>
        <w:rPr/>
        <w:t>万元，比上年同期增长</w:t>
      </w:r>
      <w:r>
        <w:rPr>
          <w:rFonts w:ascii="Times New Roman" w:hAnsi="Times New Roman" w:cs="Times New Roman" w:eastAsia="Times New Roman" w:hint="default"/>
        </w:rPr>
        <w:t>100.12%</w:t>
      </w:r>
      <w:r>
        <w:rPr/>
        <w:t>，主要是收回的到期理财同比增加所致。</w:t>
      </w:r>
    </w:p>
    <w:p>
      <w:pPr>
        <w:pStyle w:val="BodyText"/>
        <w:spacing w:line="240" w:lineRule="auto" w:before="63"/>
        <w:ind w:left="424" w:right="87"/>
        <w:jc w:val="left"/>
      </w:pPr>
      <w:r>
        <w:rPr/>
        <w:t>（</w:t>
      </w:r>
      <w:r>
        <w:rPr>
          <w:rFonts w:ascii="Times New Roman" w:hAnsi="Times New Roman" w:cs="Times New Roman" w:eastAsia="Times New Roman" w:hint="default"/>
        </w:rPr>
        <w:t>3</w:t>
      </w:r>
      <w:r>
        <w:rPr/>
        <w:t>）筹资活动现金流量</w:t>
      </w:r>
    </w:p>
    <w:p>
      <w:pPr>
        <w:pStyle w:val="BodyText"/>
        <w:spacing w:line="300" w:lineRule="auto" w:before="63"/>
        <w:ind w:right="87" w:firstLine="360"/>
        <w:jc w:val="left"/>
      </w:pPr>
      <w:r>
        <w:rPr>
          <w:rFonts w:ascii="Times New Roman" w:hAnsi="Times New Roman" w:cs="Times New Roman" w:eastAsia="Times New Roman" w:hint="default"/>
          <w:spacing w:val="-2"/>
        </w:rPr>
        <w:t>2017</w:t>
      </w:r>
      <w:r>
        <w:rPr>
          <w:spacing w:val="-2"/>
        </w:rPr>
        <w:t>年，公司筹资活动产生的现金净流量</w:t>
      </w:r>
      <w:r>
        <w:rPr>
          <w:rFonts w:ascii="Times New Roman" w:hAnsi="Times New Roman" w:cs="Times New Roman" w:eastAsia="Times New Roman" w:hint="default"/>
          <w:spacing w:val="-2"/>
        </w:rPr>
        <w:t>-16,408.09</w:t>
      </w:r>
      <w:r>
        <w:rPr>
          <w:spacing w:val="-2"/>
        </w:rPr>
        <w:t>万元，比上年同期下降</w:t>
      </w:r>
      <w:r>
        <w:rPr>
          <w:rFonts w:ascii="Times New Roman" w:hAnsi="Times New Roman" w:cs="Times New Roman" w:eastAsia="Times New Roman" w:hint="default"/>
          <w:spacing w:val="-2"/>
        </w:rPr>
        <w:t>105.68%</w:t>
      </w:r>
      <w:r>
        <w:rPr>
          <w:spacing w:val="-2"/>
        </w:rPr>
        <w:t>，主要是上年同期公司非公开发行股</w:t>
      </w:r>
      <w:r>
        <w:rPr/>
        <w:t> 票吸收投资收到现金所致。</w:t>
      </w:r>
    </w:p>
    <w:p>
      <w:pPr>
        <w:pStyle w:val="BodyText"/>
        <w:spacing w:line="300" w:lineRule="auto" w:before="31"/>
        <w:ind w:right="259" w:firstLine="360"/>
        <w:jc w:val="left"/>
      </w:pPr>
      <w:r>
        <w:rPr>
          <w:rFonts w:ascii="Times New Roman" w:hAnsi="Times New Roman" w:cs="Times New Roman" w:eastAsia="Times New Roman" w:hint="default"/>
        </w:rPr>
        <w:t>2017</w:t>
      </w:r>
      <w:r>
        <w:rPr/>
        <w:t>年，现金及现金等价物净增加额</w:t>
      </w:r>
      <w:r>
        <w:rPr>
          <w:rFonts w:ascii="Times New Roman" w:hAnsi="Times New Roman" w:cs="Times New Roman" w:eastAsia="Times New Roman" w:hint="default"/>
        </w:rPr>
        <w:t>49,606.03</w:t>
      </w:r>
      <w:r>
        <w:rPr/>
        <w:t>万元，与上年同期</w:t>
      </w:r>
      <w:r>
        <w:rPr>
          <w:rFonts w:ascii="Times New Roman" w:hAnsi="Times New Roman" w:cs="Times New Roman" w:eastAsia="Times New Roman" w:hint="default"/>
        </w:rPr>
        <w:t>71,442.17</w:t>
      </w:r>
      <w:r>
        <w:rPr/>
        <w:t>万元相比下降</w:t>
      </w:r>
      <w:r>
        <w:rPr>
          <w:rFonts w:ascii="Times New Roman" w:hAnsi="Times New Roman" w:cs="Times New Roman" w:eastAsia="Times New Roman" w:hint="default"/>
        </w:rPr>
        <w:t>30.56%</w:t>
      </w:r>
      <w:r>
        <w:rPr/>
        <w:t>，主要是上年同期公司 非公开发行股票吸收投资收到现金所致。</w:t>
      </w:r>
    </w:p>
    <w:p>
      <w:pPr>
        <w:pStyle w:val="BodyText"/>
        <w:spacing w:line="240" w:lineRule="auto" w:before="72"/>
        <w:ind w:right="87"/>
        <w:jc w:val="left"/>
      </w:pPr>
      <w:r>
        <w:rPr/>
        <w:t>报告期内公司经营活动产生的现金净流量与本年度净利润存在重大差异的原因说明</w:t>
      </w:r>
    </w:p>
    <w:p>
      <w:pPr>
        <w:pStyle w:val="BodyText"/>
        <w:spacing w:line="240" w:lineRule="auto" w:before="115"/>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7"/>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单位：元</w:t>
      </w:r>
    </w:p>
    <w:p>
      <w:pPr>
        <w:spacing w:after="0" w:line="240" w:lineRule="auto"/>
        <w:jc w:val="right"/>
        <w:sectPr>
          <w:pgSz w:w="11910" w:h="16840"/>
          <w:pgMar w:header="880"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419"/>
        <w:gridCol w:w="4112"/>
        <w:gridCol w:w="1630"/>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9"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510,951,235.98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45.54%</w:t>
            </w:r>
          </w:p>
        </w:tc>
        <w:tc>
          <w:tcPr>
            <w:tcW w:w="4112" w:type="dxa"/>
            <w:vMerge w:val="restart"/>
            <w:tcBorders>
              <w:top w:val="single" w:sz="4" w:space="0" w:color="000000"/>
              <w:left w:val="single" w:sz="4" w:space="0" w:color="000000"/>
              <w:right w:val="single" w:sz="4" w:space="0" w:color="000000"/>
            </w:tcBorders>
          </w:tcPr>
          <w:p>
            <w:pPr>
              <w:pStyle w:val="TableParagraph"/>
              <w:spacing w:line="316" w:lineRule="auto" w:before="53"/>
              <w:ind w:left="24" w:right="116"/>
              <w:jc w:val="both"/>
              <w:rPr>
                <w:rFonts w:ascii="宋体" w:hAnsi="宋体" w:cs="宋体" w:eastAsia="宋体" w:hint="default"/>
                <w:sz w:val="18"/>
                <w:szCs w:val="18"/>
              </w:rPr>
            </w:pPr>
            <w:r>
              <w:rPr>
                <w:rFonts w:ascii="宋体" w:hAnsi="宋体" w:cs="宋体" w:eastAsia="宋体" w:hint="default"/>
                <w:sz w:val="18"/>
                <w:szCs w:val="18"/>
              </w:rPr>
              <w:t>主要是投资的广电计量会计核算方法变更投资收益 增加及减持神州控股部分可供出售金融资产取得的 投资收益增加。</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4" w:type="dxa"/>
            <w:vMerge/>
            <w:tcBorders>
              <w:left w:val="single" w:sz="10"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4112"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317"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75,037,661.51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主要是存货和商誉计提减值。</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3,192,685.53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0.28%</w:t>
            </w:r>
          </w:p>
        </w:tc>
        <w:tc>
          <w:tcPr>
            <w:tcW w:w="411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12,457,517.49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主要是流动资产处置损失。</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、资产构成、负债构成重大变动情况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708"/>
        <w:gridCol w:w="1416"/>
        <w:gridCol w:w="711"/>
        <w:gridCol w:w="708"/>
        <w:gridCol w:w="3401"/>
      </w:tblGrid>
      <w:tr>
        <w:trPr>
          <w:trHeight w:val="187"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0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1"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047"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51"/>
              <w:ind w:left="170" w:right="167"/>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401"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79" w:right="8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4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40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401"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3,701,348,844.63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29.16%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3,210,657,015.15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2.19%</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800,262,574.88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6.31%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756,917,857.48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1,934,947,764.68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center"/>
              <w:rPr>
                <w:rFonts w:ascii="Times New Roman" w:hAnsi="Times New Roman" w:cs="Times New Roman" w:eastAsia="Times New Roman" w:hint="default"/>
                <w:sz w:val="18"/>
                <w:szCs w:val="18"/>
              </w:rPr>
            </w:pPr>
            <w:r>
              <w:rPr>
                <w:rFonts w:ascii="Times New Roman"/>
                <w:sz w:val="18"/>
              </w:rPr>
              <w:t>15.25%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1,926,647,371.07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16.18%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-0.93%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50,979,540.02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42,324,860.94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主要是房屋出租增加所致。</w:t>
            </w:r>
          </w:p>
        </w:tc>
      </w:tr>
      <w:tr>
        <w:trPr>
          <w:trHeight w:val="16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686,770,039.84</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5.41%</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3"/>
              <w:ind w:left="261" w:right="0"/>
              <w:jc w:val="left"/>
              <w:rPr>
                <w:rFonts w:ascii="Times New Roman" w:hAnsi="Times New Roman" w:cs="Times New Roman" w:eastAsia="Times New Roman" w:hint="default"/>
                <w:sz w:val="18"/>
                <w:szCs w:val="18"/>
              </w:rPr>
            </w:pPr>
            <w:r>
              <w:rPr>
                <w:rFonts w:ascii="Times New Roman"/>
                <w:sz w:val="18"/>
              </w:rPr>
              <w:t>101,781,074.43</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0.85%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4.56%</w:t>
            </w:r>
          </w:p>
        </w:tc>
        <w:tc>
          <w:tcPr>
            <w:tcW w:w="3401" w:type="dxa"/>
            <w:vMerge w:val="restart"/>
            <w:tcBorders>
              <w:top w:val="single" w:sz="4" w:space="0" w:color="000000"/>
              <w:left w:val="single" w:sz="4" w:space="0" w:color="000000"/>
              <w:right w:val="single" w:sz="4" w:space="0" w:color="000000"/>
            </w:tcBorders>
          </w:tcPr>
          <w:p>
            <w:pPr>
              <w:pStyle w:val="TableParagraph"/>
              <w:spacing w:line="314" w:lineRule="auto" w:before="53"/>
              <w:ind w:left="23" w:right="125"/>
              <w:jc w:val="left"/>
              <w:rPr>
                <w:rFonts w:ascii="宋体" w:hAnsi="宋体" w:cs="宋体" w:eastAsia="宋体" w:hint="default"/>
                <w:sz w:val="18"/>
                <w:szCs w:val="18"/>
              </w:rPr>
            </w:pPr>
            <w:r>
              <w:rPr>
                <w:rFonts w:ascii="宋体" w:hAnsi="宋体" w:cs="宋体" w:eastAsia="宋体" w:hint="default"/>
                <w:sz w:val="18"/>
                <w:szCs w:val="18"/>
              </w:rPr>
              <w:t>主要是投资的广电计量会计核算方法变更 及投资增加所致。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966,316,457.46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7.61%</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745,038,026.33</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6.26%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1.35%</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主要是在建工程完工转入及购置房屋及建 筑物所致。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16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57,356,821.81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0.45%</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131,516,587.75</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-0.65%</w:t>
            </w:r>
          </w:p>
        </w:tc>
        <w:tc>
          <w:tcPr>
            <w:tcW w:w="3401" w:type="dxa"/>
            <w:vMerge w:val="restart"/>
            <w:tcBorders>
              <w:top w:val="single" w:sz="4" w:space="0" w:color="000000"/>
              <w:left w:val="single" w:sz="4" w:space="0" w:color="000000"/>
              <w:right w:val="single" w:sz="4" w:space="0" w:color="000000"/>
            </w:tcBorders>
          </w:tcPr>
          <w:p>
            <w:pPr>
              <w:pStyle w:val="TableParagraph"/>
              <w:spacing w:line="314" w:lineRule="auto" w:before="53"/>
              <w:ind w:left="23" w:right="125"/>
              <w:jc w:val="left"/>
              <w:rPr>
                <w:rFonts w:ascii="宋体" w:hAnsi="宋体" w:cs="宋体" w:eastAsia="宋体" w:hint="default"/>
                <w:sz w:val="18"/>
                <w:szCs w:val="18"/>
              </w:rPr>
            </w:pPr>
            <w:r>
              <w:rPr>
                <w:rFonts w:ascii="宋体" w:hAnsi="宋体" w:cs="宋体" w:eastAsia="宋体" w:hint="default"/>
                <w:sz w:val="18"/>
                <w:szCs w:val="18"/>
              </w:rPr>
              <w:t>主要是广州金融外包服务总部平台完工转 入固定资产所致。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35,870,110.14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3,871,592.79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主要是孙公司经营周转借款。</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9"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6,745,945.87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主要是已偿还经营周转借款。</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12,628,058.00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0.10%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20,801,156.20</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0.17%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-0.07%</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主要是收到的银行承兑票据及时背书转让 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2,407,598,407.00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18.97%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2,122,633,203.69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主要是委托理财增加所致。</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1,133,532,039.09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8.93%</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2,035,722,660.32</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17.10%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-8.17%</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主要是投资的广电计量会计核算方法变更 以及减持神州控股部分可供出售金融资产 所致。</w:t>
            </w:r>
          </w:p>
        </w:tc>
      </w:tr>
      <w:tr>
        <w:trPr>
          <w:trHeight w:val="70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530,623,513.21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4.18%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403,433,837.24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主要是溢价收购所致。</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98,128,201.26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0.77%</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75,837,478.92</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0.64%</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0.13%</w:t>
            </w:r>
          </w:p>
        </w:tc>
        <w:tc>
          <w:tcPr>
            <w:tcW w:w="3401"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主要是可供出售金融资产公允价格变动所 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33,415,580.45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86,894,625.29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主要是预付的固定资产购置款转为固定资</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44"/>
        <w:ind w:left="0" w:right="143"/>
        <w:jc w:val="right"/>
      </w:pPr>
      <w:r>
        <w:rPr/>
        <w:pict>
          <v:shape style="position:absolute;margin-left:56.459999pt;margin-top:-79.228302pt;width:482.7pt;height:19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1328"/>
                    <w:gridCol w:w="708"/>
                    <w:gridCol w:w="1416"/>
                    <w:gridCol w:w="711"/>
                    <w:gridCol w:w="708"/>
                    <w:gridCol w:w="3401"/>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437,761,073.18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3.45%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508,322,676.22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908,067.08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283,067.08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主要是未支付少数股东分红所致。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220,310,348.32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1.74%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234,386,112.02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46,865,352.43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28,503,372.08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主要是投资的广电计量会计核算变更所致</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2,428,885,725.00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19.14%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1,619,257,150.00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主要是实施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年度利润分配方案以资本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-92,846,447.41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-0.73%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129,360,130.26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主要是可供出售金融资产公允价值的变动 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593,329,839.28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4.68%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494,291,250.18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主要是控股式并购公司增加所致。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40" w:lineRule="auto" w:before="37"/>
        <w:ind w:left="17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1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36"/>
        <w:gridCol w:w="1435"/>
        <w:gridCol w:w="988"/>
        <w:gridCol w:w="1275"/>
        <w:gridCol w:w="678"/>
        <w:gridCol w:w="1220"/>
        <w:gridCol w:w="1213"/>
        <w:gridCol w:w="1426"/>
      </w:tblGrid>
      <w:tr>
        <w:trPr>
          <w:trHeight w:val="163" w:hRule="exact"/>
        </w:trPr>
        <w:tc>
          <w:tcPr>
            <w:tcW w:w="1536" w:type="dxa"/>
            <w:vMerge w:val="restart"/>
            <w:tcBorders>
              <w:top w:val="single" w:sz="4" w:space="0" w:color="000000"/>
              <w:left w:val="single" w:sz="4" w:space="0" w:color="000000"/>
              <w:right w:val="single" w:sz="4" w:space="0" w:color="000000"/>
            </w:tcBorders>
            <w:shd w:val="clear" w:color="auto" w:fill="D2D2D2"/>
          </w:tcPr>
          <w:p>
            <w:pPr/>
          </w:p>
        </w:tc>
        <w:tc>
          <w:tcPr>
            <w:tcW w:w="1435" w:type="dxa"/>
            <w:vMerge w:val="restart"/>
            <w:tcBorders>
              <w:top w:val="single" w:sz="4" w:space="0" w:color="000000"/>
              <w:left w:val="single" w:sz="4" w:space="0" w:color="000000"/>
              <w:right w:val="single" w:sz="4" w:space="0" w:color="000000"/>
            </w:tcBorders>
            <w:shd w:val="clear" w:color="auto" w:fill="D2D2D2"/>
          </w:tcPr>
          <w:p>
            <w:pPr/>
          </w:p>
        </w:tc>
        <w:tc>
          <w:tcPr>
            <w:tcW w:w="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9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8" w:right="57"/>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42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36" w:type="dxa"/>
            <w:vMerge/>
            <w:tcBorders>
              <w:left w:val="single" w:sz="4" w:space="0" w:color="000000"/>
              <w:bottom w:val="nil" w:sz="6" w:space="0" w:color="auto"/>
              <w:right w:val="single" w:sz="4" w:space="0" w:color="000000"/>
            </w:tcBorders>
            <w:shd w:val="clear" w:color="auto" w:fill="D2D2D2"/>
          </w:tcPr>
          <w:p>
            <w:pPr/>
          </w:p>
        </w:tc>
        <w:tc>
          <w:tcPr>
            <w:tcW w:w="1435" w:type="dxa"/>
            <w:vMerge/>
            <w:tcBorders>
              <w:left w:val="single" w:sz="4" w:space="0" w:color="000000"/>
              <w:bottom w:val="nil" w:sz="6" w:space="0" w:color="auto"/>
              <w:right w:val="single" w:sz="4" w:space="0" w:color="000000"/>
            </w:tcBorders>
            <w:shd w:val="clear" w:color="auto" w:fill="D2D2D2"/>
          </w:tcPr>
          <w:p>
            <w:pPr/>
          </w:p>
        </w:tc>
        <w:tc>
          <w:tcPr>
            <w:tcW w:w="98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1"/>
              <w:ind w:left="36" w:right="3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7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426"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88"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536" w:type="dxa"/>
            <w:vMerge w:val="restart"/>
            <w:tcBorders>
              <w:top w:val="nil" w:sz="6" w:space="0" w:color="auto"/>
              <w:left w:val="single" w:sz="4" w:space="0" w:color="000000"/>
              <w:right w:val="single" w:sz="4" w:space="0" w:color="000000"/>
            </w:tcBorders>
            <w:shd w:val="clear" w:color="auto" w:fill="D2D2D2"/>
          </w:tcPr>
          <w:p>
            <w:pPr/>
          </w:p>
        </w:tc>
        <w:tc>
          <w:tcPr>
            <w:tcW w:w="1435" w:type="dxa"/>
            <w:vMerge w:val="restart"/>
            <w:tcBorders>
              <w:top w:val="nil" w:sz="6" w:space="0" w:color="auto"/>
              <w:left w:val="single" w:sz="4" w:space="0" w:color="000000"/>
              <w:right w:val="single" w:sz="4" w:space="0" w:color="000000"/>
            </w:tcBorders>
            <w:shd w:val="clear" w:color="auto" w:fill="D2D2D2"/>
          </w:tcPr>
          <w:p>
            <w:pPr/>
          </w:p>
        </w:tc>
        <w:tc>
          <w:tcPr>
            <w:tcW w:w="98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426"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536"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23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1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6"/>
              <w:ind w:left="12" w:right="72"/>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1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2,002,248,536.67</w:t>
            </w: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-105,886,767.49</w:t>
            </w: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166,684,672.09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764,319,281.46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1,080,145,915.44</w:t>
            </w: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2,002,248,536.67</w:t>
            </w: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-105,886,767.49</w:t>
            </w: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166,684,672.09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764,319,281.46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1,080,145,915.44</w:t>
            </w: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2,002,248,536.67</w:t>
            </w: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-105,886,767.49</w:t>
            </w: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166,684,672.09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764,319,281.46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1,080,145,915.44</w:t>
            </w: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72" w:right="0"/>
        <w:jc w:val="left"/>
      </w:pPr>
      <w:r>
        <w:rPr/>
        <w:t>报告期内公司主要资产计量属性是否发生重大变化</w:t>
      </w:r>
    </w:p>
    <w:p>
      <w:pPr>
        <w:pStyle w:val="BodyText"/>
        <w:spacing w:line="240" w:lineRule="auto" w:before="115"/>
        <w:ind w:left="1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26"/>
          <w:szCs w:val="26"/>
        </w:rPr>
      </w:pPr>
    </w:p>
    <w:p>
      <w:pPr>
        <w:pStyle w:val="Heading4"/>
        <w:spacing w:line="240" w:lineRule="auto"/>
        <w:ind w:left="172"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91"/>
        <w:jc w:val="right"/>
      </w:pPr>
      <w:r>
        <w:rPr/>
        <w:t>单位：元</w:t>
      </w:r>
    </w:p>
    <w:p>
      <w:pPr>
        <w:spacing w:after="0" w:line="240" w:lineRule="auto"/>
        <w:jc w:val="right"/>
        <w:sectPr>
          <w:pgSz w:w="11910" w:h="16840"/>
          <w:pgMar w:header="880" w:footer="979" w:top="1100" w:bottom="1160" w:left="960" w:right="94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141,153.52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银行承兑汇票质押保证</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161,153.52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说明：</w:t>
      </w:r>
    </w:p>
    <w:p>
      <w:pPr>
        <w:pStyle w:val="BodyText"/>
        <w:spacing w:line="300" w:lineRule="auto" w:before="115"/>
        <w:ind w:right="0" w:firstLine="360"/>
        <w:jc w:val="left"/>
      </w:pPr>
      <w:r>
        <w:rPr/>
        <w:t>公司的孙公司</w:t>
      </w:r>
      <w:r>
        <w:rPr>
          <w:rFonts w:ascii="Times New Roman" w:hAnsi="Times New Roman" w:cs="Times New Roman" w:eastAsia="Times New Roman" w:hint="default"/>
        </w:rPr>
        <w:t>GRG Turkiye Bankacilik Ekipmanlari Ltd </w:t>
      </w:r>
      <w:r>
        <w:rPr>
          <w:rFonts w:ascii="Times New Roman" w:hAnsi="Times New Roman" w:cs="Times New Roman" w:eastAsia="Times New Roman" w:hint="default"/>
          <w:spacing w:val="-8"/>
        </w:rPr>
        <w:t>PTT</w:t>
      </w:r>
      <w:r>
        <w:rPr>
          <w:spacing w:val="-8"/>
        </w:rPr>
        <w:t>项目需抵押存款（</w:t>
      </w:r>
      <w:r>
        <w:rPr>
          <w:rFonts w:ascii="Times New Roman" w:hAnsi="Times New Roman" w:cs="Times New Roman" w:eastAsia="Times New Roman" w:hint="default"/>
          <w:spacing w:val="-8"/>
        </w:rPr>
        <w:t>5</w:t>
      </w:r>
      <w:r>
        <w:rPr>
          <w:spacing w:val="-8"/>
        </w:rPr>
        <w:t>年）开具履约保函，</w:t>
      </w:r>
      <w:r>
        <w:rPr>
          <w:rFonts w:ascii="Times New Roman" w:hAnsi="Times New Roman" w:cs="Times New Roman" w:eastAsia="Times New Roman" w:hint="default"/>
          <w:spacing w:val="-8"/>
        </w:rPr>
        <w:t>GRG </w:t>
      </w:r>
      <w:r>
        <w:rPr>
          <w:rFonts w:ascii="Times New Roman" w:hAnsi="Times New Roman" w:cs="Times New Roman" w:eastAsia="Times New Roman" w:hint="default"/>
        </w:rPr>
        <w:t>Turkiye</w:t>
      </w:r>
      <w:r>
        <w:rPr>
          <w:rFonts w:ascii="Times New Roman" w:hAnsi="Times New Roman" w:cs="Times New Roman" w:eastAsia="Times New Roman" w:hint="default"/>
          <w:spacing w:val="-6"/>
        </w:rPr>
        <w:t> </w:t>
      </w:r>
      <w:r>
        <w:rPr>
          <w:rFonts w:ascii="Times New Roman" w:hAnsi="Times New Roman" w:cs="Times New Roman" w:eastAsia="Times New Roman" w:hint="default"/>
        </w:rPr>
        <w:t>Bankacilik</w:t>
      </w:r>
      <w:r>
        <w:rPr>
          <w:rFonts w:ascii="Times New Roman" w:hAnsi="Times New Roman" w:cs="Times New Roman" w:eastAsia="Times New Roman" w:hint="default"/>
        </w:rPr>
        <w:t> Ekipmanlari</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t>考虑其现有资金以及后期运营所需，向土耳其工行申请</w:t>
      </w:r>
      <w:r>
        <w:rPr>
          <w:rFonts w:ascii="Times New Roman" w:hAnsi="Times New Roman" w:cs="Times New Roman" w:eastAsia="Times New Roman" w:hint="default"/>
        </w:rPr>
        <w:t>20,744,959.89</w:t>
      </w:r>
      <w:r>
        <w:rPr/>
        <w:t>里拉贷款。</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五、投资状况分析</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358,696,000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459,998,192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283"/>
        <w:gridCol w:w="853"/>
        <w:gridCol w:w="425"/>
        <w:gridCol w:w="283"/>
        <w:gridCol w:w="850"/>
        <w:gridCol w:w="283"/>
        <w:gridCol w:w="428"/>
        <w:gridCol w:w="850"/>
        <w:gridCol w:w="283"/>
        <w:gridCol w:w="708"/>
        <w:gridCol w:w="286"/>
        <w:gridCol w:w="284"/>
        <w:gridCol w:w="1632"/>
      </w:tblGrid>
      <w:tr>
        <w:trPr>
          <w:trHeight w:val="133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1" w:right="60" w:hanging="92"/>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3"/>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3"/>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3"/>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4"/>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保山安邦 武装守护 押运有限 责任公司</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2"/>
              <w:jc w:val="left"/>
              <w:rPr>
                <w:rFonts w:ascii="宋体" w:hAnsi="宋体" w:cs="宋体" w:eastAsia="宋体" w:hint="default"/>
                <w:sz w:val="18"/>
                <w:szCs w:val="18"/>
              </w:rPr>
            </w:pPr>
            <w:r>
              <w:rPr>
                <w:rFonts w:ascii="宋体" w:hAnsi="宋体" w:cs="宋体" w:eastAsia="宋体" w:hint="default"/>
                <w:sz w:val="18"/>
                <w:szCs w:val="18"/>
              </w:rPr>
              <w:t>主要从事门卫、 </w:t>
            </w:r>
            <w:r>
              <w:rPr>
                <w:rFonts w:ascii="宋体" w:hAnsi="宋体" w:cs="宋体" w:eastAsia="宋体" w:hint="default"/>
                <w:spacing w:val="-6"/>
                <w:sz w:val="18"/>
                <w:szCs w:val="18"/>
              </w:rPr>
              <w:t>巡逻、守护、武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装押运；接受金</w:t>
            </w:r>
            <w:r>
              <w:rPr>
                <w:rFonts w:ascii="宋体" w:hAnsi="宋体" w:cs="宋体" w:eastAsia="宋体" w:hint="default"/>
                <w:sz w:val="18"/>
                <w:szCs w:val="18"/>
              </w:rPr>
              <w:t> 融机构委托从 事金融业务流 程外包服务</w:t>
            </w:r>
          </w:p>
        </w:tc>
        <w:tc>
          <w:tcPr>
            <w:tcW w:w="28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35"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49%</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保山市护 邦保安服 务有限责 任公司</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武装 押运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16"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月完成工 商变更</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2,501,49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2.84</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71"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7"/>
              <w:ind w:left="71"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2" w:type="dxa"/>
            <w:vMerge w:val="restart"/>
            <w:tcBorders>
              <w:top w:val="single" w:sz="4" w:space="0" w:color="000000"/>
              <w:left w:val="single" w:sz="4" w:space="0" w:color="000000"/>
              <w:right w:val="single" w:sz="4" w:space="0" w:color="000000"/>
            </w:tcBorders>
          </w:tcPr>
          <w:p>
            <w:pPr>
              <w:pStyle w:val="TableParagraph"/>
              <w:spacing w:line="33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黄石金通 智慧金融 外包服务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主要接受金融 机构委托从事 金融业务流程 服务外包</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新 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56,692,70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56%</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黄石金安 投资集团 有限公 司、苏承 清</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金融 业务 流程 服务 外包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316"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月完成工 商登记</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2,525,21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9.66</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r>
        <w:trPr>
          <w:trHeight w:val="19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广东美电 贝尔科技 集团股份 有限公司</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
              <w:ind w:left="23" w:right="-32"/>
              <w:jc w:val="left"/>
              <w:rPr>
                <w:rFonts w:ascii="宋体" w:hAnsi="宋体" w:cs="宋体" w:eastAsia="宋体" w:hint="default"/>
                <w:sz w:val="18"/>
                <w:szCs w:val="18"/>
              </w:rPr>
            </w:pPr>
            <w:r>
              <w:rPr>
                <w:rFonts w:ascii="宋体" w:hAnsi="宋体" w:cs="宋体" w:eastAsia="宋体" w:hint="default"/>
                <w:sz w:val="18"/>
                <w:szCs w:val="18"/>
              </w:rPr>
              <w:t>公司主要从事 视频监控产品、 公共广播产品 </w:t>
            </w:r>
            <w:r>
              <w:rPr>
                <w:rFonts w:ascii="宋体" w:hAnsi="宋体" w:cs="宋体" w:eastAsia="宋体" w:hint="default"/>
                <w:spacing w:val="-6"/>
                <w:sz w:val="18"/>
                <w:szCs w:val="18"/>
              </w:rPr>
              <w:t>的研发、生产与</w:t>
            </w:r>
            <w:r>
              <w:rPr>
                <w:rFonts w:ascii="宋体" w:hAnsi="宋体" w:cs="宋体" w:eastAsia="宋体" w:hint="default"/>
                <w:sz w:val="18"/>
                <w:szCs w:val="18"/>
              </w:rPr>
              <w:t> </w:t>
            </w:r>
            <w:r>
              <w:rPr>
                <w:rFonts w:ascii="宋体" w:hAnsi="宋体" w:cs="宋体" w:eastAsia="宋体" w:hint="default"/>
                <w:spacing w:val="-6"/>
                <w:sz w:val="18"/>
                <w:szCs w:val="18"/>
              </w:rPr>
              <w:t>销售；基于客户</w:t>
            </w:r>
            <w:r>
              <w:rPr>
                <w:rFonts w:ascii="宋体" w:hAnsi="宋体" w:cs="宋体" w:eastAsia="宋体" w:hint="default"/>
                <w:sz w:val="18"/>
                <w:szCs w:val="18"/>
              </w:rPr>
              <w:t> </w:t>
            </w:r>
            <w:r>
              <w:rPr>
                <w:rFonts w:ascii="宋体" w:hAnsi="宋体" w:cs="宋体" w:eastAsia="宋体" w:hint="default"/>
                <w:spacing w:val="-6"/>
                <w:sz w:val="18"/>
                <w:szCs w:val="18"/>
              </w:rPr>
              <w:t>个性化需求，向</w:t>
            </w:r>
          </w:p>
        </w:tc>
        <w:tc>
          <w:tcPr>
            <w:tcW w:w="28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35"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25%</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郑孙满、 王艳春</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视频 监控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4"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公司受让 美电贝尔 股份事项 完成；</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6,298,98</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8.47</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47"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47" w:right="0"/>
              <w:jc w:val="left"/>
              <w:rPr>
                <w:rFonts w:ascii="Times New Roman" w:hAnsi="Times New Roman" w:cs="Times New Roman" w:eastAsia="Times New Roman" w:hint="default"/>
                <w:sz w:val="18"/>
                <w:szCs w:val="18"/>
              </w:rPr>
            </w:pPr>
            <w:r>
              <w:rPr>
                <w:rFonts w:ascii="Times New Roman"/>
                <w:sz w:val="18"/>
              </w:rPr>
              <w:t>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2017-007</w:t>
            </w:r>
            <w:r>
              <w:rPr>
                <w:rFonts w:ascii="宋体" w:hAnsi="宋体" w:cs="宋体" w:eastAsia="宋体" w:hint="default"/>
                <w:sz w:val="18"/>
                <w:szCs w:val="18"/>
              </w:rPr>
              <w:t>、</w:t>
            </w:r>
          </w:p>
          <w:p>
            <w:pPr>
              <w:pStyle w:val="TableParagraph"/>
              <w:spacing w:line="23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w:t>
            </w:r>
            <w:r>
              <w:rPr>
                <w:rFonts w:ascii="宋体" w:hAnsi="宋体" w:cs="宋体" w:eastAsia="宋体" w:hint="default"/>
                <w:sz w:val="18"/>
                <w:szCs w:val="18"/>
              </w:rPr>
              <w:t>、</w:t>
            </w:r>
            <w:r>
              <w:rPr>
                <w:rFonts w:ascii="Times New Roman" w:hAnsi="Times New Roman" w:cs="Times New Roman" w:eastAsia="Times New Roman" w:hint="default"/>
                <w:sz w:val="18"/>
                <w:szCs w:val="18"/>
              </w:rPr>
              <w:t>031 </w:t>
            </w:r>
            <w:r>
              <w:rPr>
                <w:rFonts w:ascii="宋体" w:hAnsi="宋体" w:cs="宋体" w:eastAsia="宋体" w:hint="default"/>
                <w:sz w:val="18"/>
                <w:szCs w:val="18"/>
              </w:rPr>
              <w:t>号公告</w:t>
            </w:r>
          </w:p>
        </w:tc>
      </w:tr>
    </w:tbl>
    <w:p>
      <w:pPr>
        <w:spacing w:after="0" w:line="232" w:lineRule="exact"/>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283"/>
        <w:gridCol w:w="853"/>
        <w:gridCol w:w="425"/>
        <w:gridCol w:w="283"/>
        <w:gridCol w:w="850"/>
        <w:gridCol w:w="283"/>
        <w:gridCol w:w="428"/>
        <w:gridCol w:w="850"/>
        <w:gridCol w:w="283"/>
        <w:gridCol w:w="708"/>
        <w:gridCol w:w="286"/>
        <w:gridCol w:w="284"/>
        <w:gridCol w:w="1632"/>
      </w:tblGrid>
      <w:tr>
        <w:trPr>
          <w:trHeight w:val="3795"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8"/>
              <w:jc w:val="both"/>
              <w:rPr>
                <w:rFonts w:ascii="宋体" w:hAnsi="宋体" w:cs="宋体" w:eastAsia="宋体" w:hint="default"/>
                <w:sz w:val="18"/>
                <w:szCs w:val="18"/>
              </w:rPr>
            </w:pPr>
            <w:r>
              <w:rPr>
                <w:rFonts w:ascii="宋体" w:hAnsi="宋体" w:cs="宋体" w:eastAsia="宋体" w:hint="default"/>
                <w:sz w:val="18"/>
                <w:szCs w:val="18"/>
              </w:rPr>
              <w:t>客户提供系统 集成整体解决 方案</w:t>
            </w: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16"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公司认购 的美电贝 尔新发行 股票在股 转系统挂 牌并公开 转让，新 增股份为 无限售流 通股</w:t>
            </w:r>
          </w:p>
        </w:tc>
        <w:tc>
          <w:tcPr>
            <w:tcW w:w="28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7"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47"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47"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47"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47"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鹤壁市鹏 翔保安服 务有限公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6"/>
                <w:sz w:val="18"/>
                <w:szCs w:val="18"/>
              </w:rPr>
              <w:t>保安服务；接受</w:t>
            </w:r>
            <w:r>
              <w:rPr>
                <w:rFonts w:ascii="宋体" w:hAnsi="宋体" w:cs="宋体" w:eastAsia="宋体" w:hint="default"/>
                <w:sz w:val="18"/>
                <w:szCs w:val="18"/>
              </w:rPr>
              <w:t> 金融机构委托 从事金融业务 流程外包服务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鹤壁市国 有资产管 理局</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武装 押运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16" w:lineRule="auto" w:before="63"/>
              <w:ind w:left="151" w:right="59" w:hanging="92"/>
              <w:jc w:val="left"/>
              <w:rPr>
                <w:rFonts w:ascii="宋体" w:hAnsi="宋体" w:cs="宋体" w:eastAsia="宋体" w:hint="default"/>
                <w:sz w:val="18"/>
                <w:szCs w:val="18"/>
              </w:rPr>
            </w:pPr>
            <w:r>
              <w:rPr>
                <w:rFonts w:ascii="宋体" w:hAnsi="宋体" w:cs="宋体" w:eastAsia="宋体" w:hint="default"/>
                <w:sz w:val="18"/>
                <w:szCs w:val="18"/>
              </w:rPr>
              <w:t>月完成工 商登记</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-1,511,0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76.77</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7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6" w:lineRule="auto" w:before="139"/>
              <w:ind w:left="23" w:right="95"/>
              <w:jc w:val="left"/>
              <w:rPr>
                <w:rFonts w:ascii="宋体" w:hAnsi="宋体" w:cs="宋体" w:eastAsia="宋体" w:hint="default"/>
                <w:sz w:val="18"/>
                <w:szCs w:val="18"/>
              </w:rPr>
            </w:pPr>
            <w:r>
              <w:rPr>
                <w:rFonts w:ascii="宋体" w:hAnsi="宋体" w:cs="宋体" w:eastAsia="宋体" w:hint="default"/>
                <w:sz w:val="18"/>
                <w:szCs w:val="18"/>
              </w:rPr>
              <w:t>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65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湖北银通 卓越科技 服务有限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以承接服务外 包方式从事银 行后台服务及 业务流程外包 服务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新 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湖北琪顺 投资有限 公司</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金融 外包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16"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月完成工 商登记</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Arial"/>
                <w:sz w:val="20"/>
              </w:rPr>
              <w:t>-</w:t>
            </w:r>
            <w:r>
              <w:rPr>
                <w:rFonts w:ascii="Times New Roman"/>
                <w:sz w:val="18"/>
              </w:rPr>
              <w:t>2,161,2</w:t>
            </w:r>
          </w:p>
          <w:p>
            <w:pPr>
              <w:pStyle w:val="TableParagraph"/>
              <w:spacing w:line="240" w:lineRule="auto" w:before="94"/>
              <w:ind w:left="271" w:right="0"/>
              <w:jc w:val="left"/>
              <w:rPr>
                <w:rFonts w:ascii="Times New Roman" w:hAnsi="Times New Roman" w:cs="Times New Roman" w:eastAsia="Times New Roman" w:hint="default"/>
                <w:sz w:val="18"/>
                <w:szCs w:val="18"/>
              </w:rPr>
            </w:pPr>
            <w:r>
              <w:rPr>
                <w:rFonts w:ascii="Times New Roman"/>
                <w:sz w:val="18"/>
              </w:rPr>
              <w:t>43.59</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湖北融信 押运保安 服务有限 公司</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2"/>
              <w:jc w:val="both"/>
              <w:rPr>
                <w:rFonts w:ascii="宋体" w:hAnsi="宋体" w:cs="宋体" w:eastAsia="宋体" w:hint="default"/>
                <w:sz w:val="18"/>
                <w:szCs w:val="18"/>
              </w:rPr>
            </w:pPr>
            <w:r>
              <w:rPr>
                <w:rFonts w:ascii="宋体" w:hAnsi="宋体" w:cs="宋体" w:eastAsia="宋体" w:hint="default"/>
                <w:spacing w:val="-6"/>
                <w:sz w:val="18"/>
                <w:szCs w:val="18"/>
              </w:rPr>
              <w:t>门卫、巡逻、守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护、武装押运、 安全技术防范、 区域秩序维护</w:t>
            </w:r>
          </w:p>
        </w:tc>
        <w:tc>
          <w:tcPr>
            <w:tcW w:w="28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35"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湖北琪顺 投资有限 公司</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武装 押运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6"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月完成工 商变更</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-4,585,3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36.37</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7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196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益阳市保 安服务有 限责任公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6"/>
                <w:sz w:val="18"/>
                <w:szCs w:val="18"/>
              </w:rPr>
              <w:t>保安服务，保安</w:t>
            </w:r>
            <w:r>
              <w:rPr>
                <w:rFonts w:ascii="宋体" w:hAnsi="宋体" w:cs="宋体" w:eastAsia="宋体" w:hint="default"/>
                <w:sz w:val="18"/>
                <w:szCs w:val="18"/>
              </w:rPr>
              <w:t> 武装专职守护 </w:t>
            </w:r>
            <w:r>
              <w:rPr>
                <w:rFonts w:ascii="宋体" w:hAnsi="宋体" w:cs="宋体" w:eastAsia="宋体" w:hint="default"/>
                <w:spacing w:val="-6"/>
                <w:sz w:val="18"/>
                <w:szCs w:val="18"/>
              </w:rPr>
              <w:t>押运服务；安全</w:t>
            </w:r>
            <w:r>
              <w:rPr>
                <w:rFonts w:ascii="宋体" w:hAnsi="宋体" w:cs="宋体" w:eastAsia="宋体" w:hint="default"/>
                <w:sz w:val="18"/>
                <w:szCs w:val="18"/>
              </w:rPr>
              <w:t> </w:t>
            </w:r>
            <w:r>
              <w:rPr>
                <w:rFonts w:ascii="宋体" w:hAnsi="宋体" w:cs="宋体" w:eastAsia="宋体" w:hint="default"/>
                <w:spacing w:val="-6"/>
                <w:sz w:val="18"/>
                <w:szCs w:val="18"/>
              </w:rPr>
              <w:t>检查、安全技术</w:t>
            </w:r>
            <w:r>
              <w:rPr>
                <w:rFonts w:ascii="宋体" w:hAnsi="宋体" w:cs="宋体" w:eastAsia="宋体" w:hint="default"/>
                <w:sz w:val="18"/>
                <w:szCs w:val="18"/>
              </w:rPr>
              <w:t> </w:t>
            </w:r>
            <w:r>
              <w:rPr>
                <w:rFonts w:ascii="宋体" w:hAnsi="宋体" w:cs="宋体" w:eastAsia="宋体" w:hint="default"/>
                <w:spacing w:val="-6"/>
                <w:sz w:val="18"/>
                <w:szCs w:val="18"/>
              </w:rPr>
              <w:t>防范、安全系统</w:t>
            </w:r>
            <w:r>
              <w:rPr>
                <w:rFonts w:ascii="宋体" w:hAnsi="宋体" w:cs="宋体" w:eastAsia="宋体" w:hint="default"/>
                <w:sz w:val="18"/>
                <w:szCs w:val="18"/>
              </w:rPr>
              <w:t> 监控服务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益阳市公 安局</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武装 押运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16" w:lineRule="auto" w:before="63"/>
              <w:ind w:left="151" w:right="59" w:hanging="92"/>
              <w:jc w:val="left"/>
              <w:rPr>
                <w:rFonts w:ascii="宋体" w:hAnsi="宋体" w:cs="宋体" w:eastAsia="宋体" w:hint="default"/>
                <w:sz w:val="18"/>
                <w:szCs w:val="18"/>
              </w:rPr>
            </w:pPr>
            <w:r>
              <w:rPr>
                <w:rFonts w:ascii="宋体" w:hAnsi="宋体" w:cs="宋体" w:eastAsia="宋体" w:hint="default"/>
                <w:sz w:val="18"/>
                <w:szCs w:val="18"/>
              </w:rPr>
              <w:t>月完成工 商变更</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3,247,66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9.11</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安化县锦 鑫保安服 务有限责 任公司</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2"/>
              <w:jc w:val="both"/>
              <w:rPr>
                <w:rFonts w:ascii="宋体" w:hAnsi="宋体" w:cs="宋体" w:eastAsia="宋体" w:hint="default"/>
                <w:sz w:val="18"/>
                <w:szCs w:val="18"/>
              </w:rPr>
            </w:pPr>
            <w:r>
              <w:rPr>
                <w:rFonts w:ascii="宋体" w:hAnsi="宋体" w:cs="宋体" w:eastAsia="宋体" w:hint="default"/>
                <w:sz w:val="18"/>
                <w:szCs w:val="18"/>
              </w:rPr>
              <w:t>安全守护服务； </w:t>
            </w:r>
            <w:r>
              <w:rPr>
                <w:rFonts w:ascii="宋体" w:hAnsi="宋体" w:cs="宋体" w:eastAsia="宋体" w:hint="default"/>
                <w:spacing w:val="-6"/>
                <w:sz w:val="18"/>
                <w:szCs w:val="18"/>
              </w:rPr>
              <w:t>押运服务；安全</w:t>
            </w:r>
            <w:r>
              <w:rPr>
                <w:rFonts w:ascii="宋体" w:hAnsi="宋体" w:cs="宋体" w:eastAsia="宋体" w:hint="default"/>
                <w:sz w:val="18"/>
                <w:szCs w:val="18"/>
              </w:rPr>
              <w:t> </w:t>
            </w:r>
            <w:r>
              <w:rPr>
                <w:rFonts w:ascii="宋体" w:hAnsi="宋体" w:cs="宋体" w:eastAsia="宋体" w:hint="default"/>
                <w:spacing w:val="-6"/>
                <w:sz w:val="18"/>
                <w:szCs w:val="18"/>
              </w:rPr>
              <w:t>保卫服务；安全</w:t>
            </w:r>
            <w:r>
              <w:rPr>
                <w:rFonts w:ascii="宋体" w:hAnsi="宋体" w:cs="宋体" w:eastAsia="宋体" w:hint="default"/>
                <w:sz w:val="18"/>
                <w:szCs w:val="18"/>
              </w:rPr>
              <w:t> 防范咨询服务。</w:t>
            </w:r>
          </w:p>
        </w:tc>
        <w:tc>
          <w:tcPr>
            <w:tcW w:w="28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35"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安化县公 安局工会 委员会</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武装 押运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截止目 前，已完 成注销</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-208,113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7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tcBorders>
              <w:left w:val="single" w:sz="4" w:space="0" w:color="000000"/>
              <w:right w:val="single" w:sz="4" w:space="0" w:color="000000"/>
            </w:tcBorders>
          </w:tcPr>
          <w:p>
            <w:pPr/>
          </w:p>
        </w:tc>
        <w:tc>
          <w:tcPr>
            <w:tcW w:w="1632" w:type="dxa"/>
            <w:vMerge/>
            <w:tcBorders>
              <w:left w:val="single" w:sz="4" w:space="0" w:color="000000"/>
              <w:right w:val="single" w:sz="4" w:space="0" w:color="000000"/>
            </w:tcBorders>
          </w:tcPr>
          <w:p>
            <w:pP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南县保安 服务有限 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6"/>
                <w:sz w:val="18"/>
                <w:szCs w:val="18"/>
              </w:rPr>
              <w:t>守护服务；安全</w:t>
            </w:r>
            <w:r>
              <w:rPr>
                <w:rFonts w:ascii="宋体" w:hAnsi="宋体" w:cs="宋体" w:eastAsia="宋体" w:hint="default"/>
                <w:sz w:val="18"/>
                <w:szCs w:val="18"/>
              </w:rPr>
              <w:t> </w:t>
            </w:r>
            <w:r>
              <w:rPr>
                <w:rFonts w:ascii="宋体" w:hAnsi="宋体" w:cs="宋体" w:eastAsia="宋体" w:hint="default"/>
                <w:spacing w:val="-6"/>
                <w:sz w:val="18"/>
                <w:szCs w:val="18"/>
              </w:rPr>
              <w:t>服务；押运服务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3"/>
              <w:jc w:val="left"/>
              <w:rPr>
                <w:rFonts w:ascii="宋体" w:hAnsi="宋体" w:cs="宋体" w:eastAsia="宋体" w:hint="default"/>
                <w:sz w:val="18"/>
                <w:szCs w:val="18"/>
              </w:rPr>
            </w:pPr>
            <w:r>
              <w:rPr>
                <w:rFonts w:ascii="宋体" w:hAnsi="宋体" w:cs="宋体" w:eastAsia="宋体" w:hint="default"/>
                <w:sz w:val="18"/>
                <w:szCs w:val="18"/>
              </w:rPr>
              <w:t>收 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南县公安 局工会</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长 期</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武装 押运 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正在进行 注销前的 清算工作</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-70,647.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7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4"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r>
      <w:tr>
        <w:trPr>
          <w:trHeight w:val="106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5" w:right="0"/>
              <w:jc w:val="center"/>
              <w:rPr>
                <w:rFonts w:ascii="Times New Roman" w:hAnsi="Times New Roman" w:cs="Times New Roman" w:eastAsia="Times New Roman" w:hint="default"/>
                <w:sz w:val="20"/>
                <w:szCs w:val="20"/>
              </w:rPr>
            </w:pPr>
            <w:r>
              <w:rPr>
                <w:rFonts w:ascii="Times New Roman"/>
                <w:sz w:val="20"/>
              </w:rPr>
              <w:t>6,036,9</w:t>
            </w:r>
          </w:p>
          <w:p>
            <w:pPr>
              <w:pStyle w:val="TableParagraph"/>
              <w:spacing w:line="240" w:lineRule="auto" w:before="82"/>
              <w:ind w:left="204" w:right="0"/>
              <w:jc w:val="center"/>
              <w:rPr>
                <w:rFonts w:ascii="Times New Roman" w:hAnsi="Times New Roman" w:cs="Times New Roman" w:eastAsia="Times New Roman" w:hint="default"/>
                <w:sz w:val="20"/>
                <w:szCs w:val="20"/>
              </w:rPr>
            </w:pPr>
            <w:r>
              <w:rPr>
                <w:rFonts w:ascii="Times New Roman"/>
                <w:sz w:val="20"/>
              </w:rPr>
              <w:t>52.08</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3"/>
        <w:rPr>
          <w:rFonts w:ascii="Times New Roman" w:hAnsi="Times New Roman" w:cs="Times New Roman" w:eastAsia="Times New Roman" w:hint="default"/>
          <w:sz w:val="24"/>
          <w:szCs w:val="24"/>
        </w:rPr>
      </w:pPr>
    </w:p>
    <w:p>
      <w:pPr>
        <w:pStyle w:val="Heading4"/>
        <w:spacing w:line="240" w:lineRule="auto" w:before="37"/>
        <w:ind w:left="33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left="332"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331"/>
        <w:jc w:val="right"/>
      </w:pPr>
      <w:r>
        <w:rPr/>
        <w:t>单位：元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25"/>
        <w:gridCol w:w="1418"/>
        <w:gridCol w:w="1133"/>
        <w:gridCol w:w="1418"/>
        <w:gridCol w:w="1349"/>
        <w:gridCol w:w="1202"/>
        <w:gridCol w:w="1277"/>
        <w:gridCol w:w="1416"/>
        <w:gridCol w:w="427"/>
      </w:tblGrid>
      <w:tr>
        <w:trPr>
          <w:trHeight w:val="715" w:hRule="exact"/>
        </w:trPr>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8" w:right="24"/>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2"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65" w:right="72"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580" w:right="36"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17" w:right="53"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8"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1,856,102,603.08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-105,886,767.49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166,684,672.09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764,319,281.46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137,564,689.22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1,080,145,915.44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3" w:hRule="exact"/>
        </w:trPr>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Times New Roman" w:hAnsi="Times New Roman" w:cs="Times New Roman" w:eastAsia="Times New Roman" w:hint="default"/>
                <w:sz w:val="18"/>
                <w:szCs w:val="18"/>
              </w:rPr>
            </w:pPr>
            <w:r>
              <w:rPr>
                <w:rFonts w:ascii="Times New Roman"/>
                <w:sz w:val="18"/>
              </w:rPr>
              <w:t>1,856,102,603.08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-105,886,767.49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166,684,672.09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764,319,281.46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137,564,689.22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Times New Roman" w:hAnsi="Times New Roman" w:cs="Times New Roman" w:eastAsia="Times New Roman" w:hint="default"/>
                <w:sz w:val="18"/>
                <w:szCs w:val="18"/>
              </w:rPr>
            </w:pPr>
            <w:r>
              <w:rPr>
                <w:rFonts w:ascii="Times New Roman"/>
                <w:sz w:val="18"/>
              </w:rPr>
              <w:t>1,080,145,915.44</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1"/>
        <w:ind w:left="693" w:right="0"/>
        <w:jc w:val="left"/>
        <w:rPr>
          <w:rFonts w:ascii="Times New Roman" w:hAnsi="Times New Roman" w:cs="Times New Roman" w:eastAsia="Times New Roman" w:hint="default"/>
        </w:rPr>
      </w:pPr>
      <w:r>
        <w:rPr/>
        <w:t>截止</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82"/>
        </w:rPr>
        <w:t>，</w:t>
      </w:r>
      <w:r>
        <w:rPr/>
        <w:t>公</w:t>
      </w:r>
      <w:r>
        <w:rPr>
          <w:spacing w:val="-3"/>
        </w:rPr>
        <w:t>司</w:t>
      </w:r>
      <w:r>
        <w:rPr/>
        <w:t>持有神州控股</w:t>
      </w:r>
      <w:r>
        <w:rPr>
          <w:spacing w:val="-44"/>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2"/>
        </w:rPr>
        <w:t>12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万股</w:t>
      </w:r>
      <w:r>
        <w:rPr>
          <w:spacing w:val="-85"/>
        </w:rPr>
        <w:t>，</w:t>
      </w:r>
      <w:r>
        <w:rPr/>
        <w:t>其</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日的收盘</w:t>
      </w:r>
      <w:r>
        <w:rPr>
          <w:spacing w:val="-3"/>
        </w:rPr>
        <w:t>价</w:t>
      </w:r>
      <w:r>
        <w:rPr/>
        <w:t>为</w:t>
      </w:r>
      <w:r>
        <w:rPr>
          <w:spacing w:val="-44"/>
        </w:rPr>
        <w:t> </w:t>
      </w:r>
      <w:r>
        <w:rPr>
          <w:rFonts w:ascii="Times New Roman" w:hAnsi="Times New Roman" w:cs="Times New Roman" w:eastAsia="Times New Roman" w:hint="default"/>
          <w:spacing w:val="1"/>
        </w:rPr>
        <w:t>5</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港元</w:t>
      </w:r>
      <w:r>
        <w:rPr>
          <w:rFonts w:ascii="Times New Roman" w:hAnsi="Times New Roman" w:cs="Times New Roman" w:eastAsia="Times New Roman" w:hint="default"/>
        </w:rPr>
        <w:t>/</w:t>
      </w:r>
      <w:r>
        <w:rPr/>
        <w:t>股</w:t>
      </w:r>
      <w:r>
        <w:rPr>
          <w:spacing w:val="-82"/>
        </w:rPr>
        <w:t>，</w:t>
      </w:r>
      <w:r>
        <w:rPr/>
        <w:t>按照</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240" w:lineRule="auto" w:before="56"/>
        <w:ind w:left="332"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日的汇率折算公允价值为</w:t>
      </w:r>
      <w:r>
        <w:rPr>
          <w:spacing w:val="-46"/>
        </w:rPr>
        <w:t> </w:t>
      </w:r>
      <w:r>
        <w:rPr>
          <w:rFonts w:ascii="Times New Roman" w:hAnsi="Times New Roman" w:cs="Times New Roman" w:eastAsia="Times New Roman" w:hint="default"/>
        </w:rPr>
        <w:t>108</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rPr>
        <w:t>59</w:t>
      </w:r>
      <w:r>
        <w:rPr>
          <w:rFonts w:ascii="Times New Roman" w:hAnsi="Times New Roman" w:cs="Times New Roman" w:eastAsia="Times New Roman" w:hint="default"/>
          <w:spacing w:val="-1"/>
        </w:rPr>
        <w:t> </w:t>
      </w:r>
      <w:r>
        <w:rPr/>
        <w:t>万元。</w:t>
      </w:r>
    </w:p>
    <w:p>
      <w:pPr>
        <w:spacing w:line="240" w:lineRule="auto" w:before="1"/>
        <w:rPr>
          <w:rFonts w:ascii="宋体" w:hAnsi="宋体" w:cs="宋体" w:eastAsia="宋体" w:hint="default"/>
          <w:sz w:val="25"/>
          <w:szCs w:val="25"/>
        </w:rPr>
      </w:pPr>
    </w:p>
    <w:p>
      <w:pPr>
        <w:pStyle w:val="Heading4"/>
        <w:spacing w:line="240" w:lineRule="auto"/>
        <w:ind w:left="33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26"/>
          <w:szCs w:val="26"/>
        </w:rPr>
      </w:pPr>
    </w:p>
    <w:p>
      <w:pPr>
        <w:pStyle w:val="Heading4"/>
        <w:spacing w:line="240" w:lineRule="auto"/>
        <w:ind w:left="33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3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343"/>
        <w:jc w:val="right"/>
      </w:pPr>
      <w:r>
        <w:rPr/>
        <w:pict>
          <v:shape style="position:absolute;margin-left:56.400002pt;margin-top:-176.918289pt;width:479.05pt;height:292.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710"/>
                    <w:gridCol w:w="991"/>
                    <w:gridCol w:w="853"/>
                    <w:gridCol w:w="991"/>
                    <w:gridCol w:w="963"/>
                    <w:gridCol w:w="869"/>
                    <w:gridCol w:w="871"/>
                    <w:gridCol w:w="869"/>
                    <w:gridCol w:w="1106"/>
                    <w:gridCol w:w="634"/>
                  </w:tblGrid>
                  <w:tr>
                    <w:trPr>
                      <w:trHeight w:val="1378"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8"/>
                          <w:ind w:left="170" w:right="167"/>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8"/>
                          <w:ind w:left="172" w:right="167"/>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8"/>
                          <w:ind w:left="311" w:right="12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60" w:right="62"/>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40" w:right="38"/>
                          <w:jc w:val="center"/>
                          <w:rPr>
                            <w:rFonts w:ascii="宋体" w:hAnsi="宋体" w:cs="宋体" w:eastAsia="宋体" w:hint="default"/>
                            <w:sz w:val="18"/>
                            <w:szCs w:val="18"/>
                          </w:rPr>
                        </w:pPr>
                        <w:r>
                          <w:rPr>
                            <w:rFonts w:ascii="宋体" w:hAnsi="宋体" w:cs="宋体" w:eastAsia="宋体" w:hint="default"/>
                            <w:sz w:val="18"/>
                            <w:szCs w:val="18"/>
                          </w:rPr>
                          <w:t>已累计使用 募集资金 总额</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26" w:right="24"/>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w:t>
                        </w:r>
                      </w:p>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00" w:right="95"/>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57" w:lineRule="auto"/>
                          <w:ind w:left="26" w:right="132"/>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311,552.98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15,498.43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147,841.03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171,366.90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68"/>
                          <w:jc w:val="both"/>
                          <w:rPr>
                            <w:rFonts w:ascii="宋体" w:hAnsi="宋体" w:cs="宋体" w:eastAsia="宋体" w:hint="default"/>
                            <w:sz w:val="18"/>
                            <w:szCs w:val="18"/>
                          </w:rPr>
                        </w:pPr>
                        <w:r>
                          <w:rPr>
                            <w:rFonts w:ascii="宋体" w:hAnsi="宋体" w:cs="宋体" w:eastAsia="宋体" w:hint="default"/>
                            <w:sz w:val="18"/>
                            <w:szCs w:val="18"/>
                          </w:rPr>
                          <w:t>尚未使用的 募集资金存 放于募集资 金专户</w:t>
                        </w:r>
                      </w:p>
                    </w:tc>
                    <w:tc>
                      <w:tcPr>
                        <w:tcW w:w="6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311,552.98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15,498.43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147,841.03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171,366.90</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2"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经中国证券监督管理委员会核准（证监许可【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3135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号），公司非公开发行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182,820,000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 股票，发行价格为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3,137,191,200.00 </w:t>
                        </w:r>
                        <w:r>
                          <w:rPr>
                            <w:rFonts w:ascii="宋体" w:hAnsi="宋体" w:cs="宋体" w:eastAsia="宋体" w:hint="default"/>
                            <w:sz w:val="18"/>
                            <w:szCs w:val="18"/>
                          </w:rPr>
                          <w:t>元，扣除与发行有关的费用人民币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21,661,435.10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元，公司实际募集资金净额为人民币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3,115,529,764.90 </w:t>
                        </w:r>
                        <w:r>
                          <w:rPr>
                            <w:rFonts w:ascii="宋体" w:hAnsi="宋体" w:cs="宋体" w:eastAsia="宋体" w:hint="default"/>
                            <w:sz w:val="18"/>
                            <w:szCs w:val="18"/>
                          </w:rPr>
                          <w:t>元。</w:t>
                        </w:r>
                      </w:p>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日，公司募集资金使用情况为：按照承诺补充流动资金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1,155,239,764.90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元，置换先期自筹资金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81,645,397.82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元，直接投入募集资金项目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241,525,166.41 </w:t>
                        </w:r>
                        <w:r>
                          <w:rPr>
                            <w:rFonts w:ascii="宋体" w:hAnsi="宋体" w:cs="宋体" w:eastAsia="宋体" w:hint="default"/>
                            <w:sz w:val="18"/>
                            <w:szCs w:val="18"/>
                          </w:rPr>
                          <w:t>元，合计已使用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1,478,410,329.13 </w:t>
                        </w:r>
                        <w:r>
                          <w:rPr>
                            <w:rFonts w:ascii="宋体" w:hAnsi="宋体" w:cs="宋体" w:eastAsia="宋体" w:hint="default"/>
                            <w:sz w:val="18"/>
                            <w:szCs w:val="18"/>
                          </w:rPr>
                          <w:t>元。公司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日募集资金专户余额为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1,713,669,021.71 </w:t>
                        </w:r>
                        <w:r>
                          <w:rPr>
                            <w:rFonts w:ascii="宋体" w:hAnsi="宋体" w:cs="宋体" w:eastAsia="宋体" w:hint="default"/>
                            <w:sz w:val="18"/>
                            <w:szCs w:val="18"/>
                          </w:rPr>
                          <w:t>元（包含银行理财产品余额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1,200,000,000.00 </w:t>
                        </w:r>
                        <w:r>
                          <w:rPr>
                            <w:rFonts w:ascii="宋体" w:hAnsi="宋体" w:cs="宋体" w:eastAsia="宋体" w:hint="default"/>
                            <w:sz w:val="18"/>
                            <w:szCs w:val="18"/>
                          </w:rPr>
                          <w:t>元、募集资金银行存款利息收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15,902,113.72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元和理财收益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60,647,472.22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880" w:footer="979" w:top="1100" w:bottom="1160" w:left="800" w:right="80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997"/>
        <w:gridCol w:w="991"/>
        <w:gridCol w:w="852"/>
        <w:gridCol w:w="1133"/>
        <w:gridCol w:w="850"/>
        <w:gridCol w:w="707"/>
        <w:gridCol w:w="429"/>
        <w:gridCol w:w="421"/>
        <w:gridCol w:w="642"/>
      </w:tblGrid>
      <w:tr>
        <w:trPr>
          <w:trHeight w:val="16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06" w:right="3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112"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59"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2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0"/>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、建设广州金融外包 服务总部平台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36,029.00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7,329.07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10,983.23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30.48%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、建设区域金融外包 服务平台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8,169.36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21,333.82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13.33%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6"/>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115,523.98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115,523.98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115,523.98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 w:right="11"/>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311,552.98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311,552.98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15,498.43</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147,841.03</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429"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13" w:space="0" w:color="D2D2D2"/>
            </w:tcBorders>
          </w:tcPr>
          <w:p>
            <w:pP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13" w:space="0" w:color="D2D2D2"/>
            </w:tcBorders>
          </w:tcPr>
          <w:p>
            <w:pP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3" w:space="0" w:color="D2D2D2"/>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311,552.98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311,552.98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15,498.43</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147,841.03</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3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1"/>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、广州金融外包服务总部平台主体工程和内部装修都已经完成，达到可使用状态，已经暂估结转为</w:t>
            </w:r>
            <w:r>
              <w:rPr>
                <w:rFonts w:ascii="宋体" w:hAnsi="宋体" w:cs="宋体" w:eastAsia="宋体" w:hint="default"/>
                <w:sz w:val="18"/>
                <w:szCs w:val="18"/>
              </w:rPr>
              <w:t> 固定资产，尚有部分工程款未结算；设备部分陆续投入，尚未完成。</w:t>
            </w:r>
          </w:p>
          <w:p>
            <w:pPr>
              <w:pStyle w:val="TableParagraph"/>
              <w:spacing w:line="309" w:lineRule="auto" w:before="70"/>
              <w:ind w:left="16"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、受押运公司改制进度低于预期及收购竞争加剧的影响，押运公司收购进度低于预期，导致收购押</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运公司后的相关配套投入进度有所放缓，从而影响了区域金融外包服务平台建设的进度，实际投入 与预期进度有所差异。</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33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r>
        <w:trPr>
          <w:trHeight w:val="80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5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日，本次募集资金投资项目实施地点未发生变更。</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日，本次募集资金投资项目实施方式未发生变更。</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用募集资金置换预先已投入募集资金投资项目的自筹资金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8,164.54 </w:t>
            </w:r>
            <w:r>
              <w:rPr>
                <w:rFonts w:ascii="宋体" w:hAnsi="宋体" w:cs="宋体" w:eastAsia="宋体" w:hint="default"/>
                <w:sz w:val="18"/>
                <w:szCs w:val="18"/>
              </w:rPr>
              <w:t>万元，其中：建设广州金融外包</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6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服务平台先期投入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2,714.41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万元，建设区域金融外包服务平台先期投入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5,450.13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金置换于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日完成，两个项目置换金额与预先投入的自筹资金数额一致。</w:t>
            </w:r>
          </w:p>
        </w:tc>
      </w:tr>
      <w:tr>
        <w:trPr>
          <w:trHeight w:val="1176"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日，尚未使用的募集资金为 </w:t>
            </w:r>
            <w:r>
              <w:rPr>
                <w:rFonts w:ascii="Times New Roman" w:hAnsi="Times New Roman" w:cs="Times New Roman" w:eastAsia="Times New Roman" w:hint="default"/>
                <w:sz w:val="18"/>
                <w:szCs w:val="18"/>
              </w:rPr>
              <w:t>1,713,669,021.71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元（包含银行理财产品余额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元），存放于募集资金专户中。</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51"/>
        <w:ind w:right="148" w:firstLine="360"/>
        <w:jc w:val="both"/>
      </w:pPr>
      <w:r>
        <w:rPr/>
        <w:t>注</w:t>
      </w:r>
      <w:r>
        <w:rPr>
          <w:spacing w:val="-37"/>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广州金融外包服务总部平台</w:t>
      </w:r>
      <w:r>
        <w:rPr>
          <w:rFonts w:ascii="Times New Roman" w:hAnsi="Times New Roman" w:cs="Times New Roman" w:eastAsia="Times New Roman" w:hint="default"/>
        </w:rPr>
        <w:t>”</w:t>
      </w:r>
      <w:r>
        <w:rPr/>
        <w:t>并不直接产生收入和利润，但通过项目实施，可逐步形成全国</w:t>
      </w:r>
      <w:r>
        <w:rPr>
          <w:spacing w:val="-34"/>
        </w:rPr>
        <w:t> </w:t>
      </w:r>
      <w:r>
        <w:rPr>
          <w:rFonts w:ascii="Times New Roman" w:hAnsi="Times New Roman" w:cs="Times New Roman" w:eastAsia="Times New Roman" w:hint="default"/>
        </w:rPr>
        <w:t>ATM</w:t>
      </w:r>
      <w:r>
        <w:rPr>
          <w:rFonts w:ascii="Times New Roman" w:hAnsi="Times New Roman" w:cs="Times New Roman" w:eastAsia="Times New Roman" w:hint="default"/>
          <w:spacing w:val="8"/>
        </w:rPr>
        <w:t> </w:t>
      </w:r>
      <w:r>
        <w:rPr/>
        <w:t>外包服务的统 筹管理体系，优化区域金融外包服务平台的资源配置，进一步提升公司管理水平及管理效率，支撑公司稳步扩大在</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4"/>
        </w:rPr>
        <w:t> </w:t>
      </w:r>
      <w:r>
        <w:rPr/>
        <w:t>外 包服务的市场占有率，间接对公司的财务状况及经营成果产生积极影响，为公司未来稳定持续增长打下坚实基础。</w:t>
      </w:r>
    </w:p>
    <w:p>
      <w:pPr>
        <w:pStyle w:val="BodyText"/>
        <w:spacing w:line="240" w:lineRule="auto" w:before="72"/>
        <w:ind w:left="513" w:right="0"/>
        <w:jc w:val="left"/>
      </w:pPr>
      <w:r>
        <w:rPr/>
        <w:t>注</w:t>
      </w:r>
      <w:r>
        <w:rPr>
          <w:spacing w:val="-47"/>
        </w:rPr>
        <w:t> </w:t>
      </w:r>
      <w:r>
        <w:rPr>
          <w:rFonts w:ascii="Times New Roman" w:hAnsi="Times New Roman" w:cs="Times New Roman" w:eastAsia="Times New Roman" w:hint="default"/>
        </w:rPr>
        <w:t>2</w:t>
      </w:r>
      <w:r>
        <w:rPr/>
        <w:t>：截至</w:t>
      </w:r>
      <w:r>
        <w:rPr>
          <w:spacing w:val="-47"/>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日，因区域金融外包服务平台项目尚在建设过程中，故尚未实现预计收益。</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7"/>
          <w:szCs w:val="27"/>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9" w:top="110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
        <w:gridCol w:w="709"/>
        <w:gridCol w:w="2019"/>
        <w:gridCol w:w="1044"/>
        <w:gridCol w:w="1047"/>
        <w:gridCol w:w="1046"/>
        <w:gridCol w:w="1044"/>
        <w:gridCol w:w="1045"/>
        <w:gridCol w:w="1046"/>
      </w:tblGrid>
      <w:tr>
        <w:trPr>
          <w:trHeight w:val="71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8"/>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受金融企业委托提供非</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580,000,000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center"/>
              <w:rPr>
                <w:rFonts w:ascii="Times New Roman" w:hAnsi="Times New Roman" w:cs="Times New Roman" w:eastAsia="Times New Roman" w:hint="default"/>
                <w:sz w:val="18"/>
                <w:szCs w:val="18"/>
              </w:rPr>
            </w:pPr>
            <w:r>
              <w:rPr>
                <w:rFonts w:ascii="Times New Roman"/>
                <w:sz w:val="18"/>
              </w:rPr>
              <w:t>4,465,664,36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3,756,389,87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center"/>
              <w:rPr>
                <w:rFonts w:ascii="Times New Roman" w:hAnsi="Times New Roman" w:cs="Times New Roman" w:eastAsia="Times New Roman" w:hint="default"/>
                <w:sz w:val="18"/>
                <w:szCs w:val="18"/>
              </w:rPr>
            </w:pPr>
            <w:r>
              <w:rPr>
                <w:rFonts w:ascii="Times New Roman"/>
                <w:sz w:val="18"/>
              </w:rPr>
              <w:t>1,918,396,07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center"/>
              <w:rPr>
                <w:rFonts w:ascii="Times New Roman" w:hAnsi="Times New Roman" w:cs="Times New Roman" w:eastAsia="Times New Roman" w:hint="default"/>
                <w:sz w:val="18"/>
                <w:szCs w:val="18"/>
              </w:rPr>
            </w:pPr>
            <w:r>
              <w:rPr>
                <w:rFonts w:ascii="Times New Roman"/>
                <w:sz w:val="18"/>
              </w:rPr>
              <w:t>509,507,084.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3" w:right="0"/>
              <w:jc w:val="center"/>
              <w:rPr>
                <w:rFonts w:ascii="Times New Roman" w:hAnsi="Times New Roman" w:cs="Times New Roman" w:eastAsia="Times New Roman" w:hint="default"/>
                <w:sz w:val="18"/>
                <w:szCs w:val="18"/>
              </w:rPr>
            </w:pPr>
            <w:r>
              <w:rPr>
                <w:rFonts w:ascii="Times New Roman"/>
                <w:sz w:val="18"/>
              </w:rPr>
              <w:t>396,521,549.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88.666pt;margin-top:375.28598pt;width:84.9pt;height:39.050pt;mso-position-horizontal-relative:page;mso-position-vertical-relative:page;z-index:-1234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售票机、</w:t>
                  </w:r>
                </w:p>
              </w:txbxContent>
            </v:textbox>
            <w10:wrap type="none"/>
          </v:shape>
        </w:pict>
      </w:r>
      <w:r>
        <w:rPr/>
        <w:pict>
          <v:group style="position:absolute;margin-left:221.690002pt;margin-top:375.28598pt;width:51.85pt;height:39.050pt;mso-position-horizontal-relative:page;mso-position-vertical-relative:page;z-index:-1234168" coordorigin="4434,7506" coordsize="1037,781">
            <v:shape style="position:absolute;left:4434;top:7506;width:1037;height:781" coordorigin="4434,7506" coordsize="1037,781" path="m4434,8286l5471,8286,5471,7506,4434,7506,4434,828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567"/>
        <w:gridCol w:w="710"/>
        <w:gridCol w:w="2019"/>
        <w:gridCol w:w="135"/>
        <w:gridCol w:w="909"/>
        <w:gridCol w:w="1047"/>
        <w:gridCol w:w="1046"/>
        <w:gridCol w:w="1044"/>
        <w:gridCol w:w="1045"/>
        <w:gridCol w:w="1046"/>
      </w:tblGrid>
      <w:tr>
        <w:trPr>
          <w:trHeight w:val="36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银通</w:t>
            </w:r>
          </w:p>
        </w:tc>
        <w:tc>
          <w:tcPr>
            <w:tcW w:w="710"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金融业务服务。</w:t>
            </w:r>
          </w:p>
        </w:tc>
        <w:tc>
          <w:tcPr>
            <w:tcW w:w="1044" w:type="dxa"/>
            <w:gridSpan w:val="2"/>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12</w:t>
            </w:r>
          </w:p>
        </w:tc>
      </w:tr>
      <w:tr>
        <w:trPr>
          <w:trHeight w:val="75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运通 国际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主要经营柜员机销售与 服务。</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65"/>
              <w:ind w:left="65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258,360,988.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89,811,334.6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495,915,809.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9,330,972.34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7,162,635.42</w:t>
            </w:r>
          </w:p>
        </w:tc>
      </w:tr>
      <w:tr>
        <w:trPr>
          <w:trHeight w:val="75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支点 投资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主要从事创业投资、咨 询、管理。</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55,465,560.1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55,194,904.2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1,175,887.00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905,231.14</w:t>
            </w:r>
          </w:p>
        </w:tc>
      </w:tr>
      <w:tr>
        <w:trPr>
          <w:trHeight w:val="75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中智 融通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主要从事清分机业务。</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141,643,632.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121,107,152.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129,006,032.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714,482.68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2,409,003.24</w:t>
            </w:r>
          </w:p>
        </w:tc>
      </w:tr>
      <w:tr>
        <w:trPr>
          <w:trHeight w:val="75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广电 汇通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专业从事基于金融服务 终端的支付业务。</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106,439,743.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100,615,811.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8,315,963.78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3,077,215.83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2,496,358.18</w:t>
            </w: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4"/>
              <w:ind w:left="24" w:right="171"/>
              <w:jc w:val="left"/>
              <w:rPr>
                <w:rFonts w:ascii="宋体" w:hAnsi="宋体" w:cs="宋体" w:eastAsia="宋体" w:hint="default"/>
                <w:sz w:val="18"/>
                <w:szCs w:val="18"/>
              </w:rPr>
            </w:pPr>
            <w:r>
              <w:rPr>
                <w:rFonts w:ascii="宋体" w:hAnsi="宋体" w:cs="宋体" w:eastAsia="宋体" w:hint="default"/>
                <w:sz w:val="18"/>
                <w:szCs w:val="18"/>
              </w:rPr>
              <w:t>运通 信息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20"/>
              <w:jc w:val="left"/>
              <w:rPr>
                <w:rFonts w:ascii="宋体" w:hAnsi="宋体" w:cs="宋体" w:eastAsia="宋体" w:hint="default"/>
                <w:sz w:val="18"/>
                <w:szCs w:val="18"/>
              </w:rPr>
            </w:pPr>
            <w:r>
              <w:rPr>
                <w:rFonts w:ascii="宋体" w:hAnsi="宋体" w:cs="宋体" w:eastAsia="宋体" w:hint="default"/>
                <w:spacing w:val="-2"/>
                <w:sz w:val="18"/>
                <w:szCs w:val="18"/>
              </w:rPr>
              <w:t>专业从事计算机软、硬件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技术及系统集成的开发 和销售。</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60,108,965.6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38,316,275.4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75,122,793.1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4,935,733.89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5,256,255.19</w:t>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1"/>
              <w:jc w:val="both"/>
              <w:rPr>
                <w:rFonts w:ascii="宋体" w:hAnsi="宋体" w:cs="宋体" w:eastAsia="宋体" w:hint="default"/>
                <w:sz w:val="18"/>
                <w:szCs w:val="18"/>
              </w:rPr>
            </w:pPr>
            <w:r>
              <w:rPr>
                <w:rFonts w:ascii="宋体" w:hAnsi="宋体" w:cs="宋体" w:eastAsia="宋体" w:hint="default"/>
                <w:sz w:val="18"/>
                <w:szCs w:val="18"/>
              </w:rPr>
              <w:t>北京 广电 科技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技术开发、咨询、服务； 计算机系统服务；销售计 算机、软件及辅助设备、 机械设备；货物进出口； 技术进出口。</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60" w:lineRule="auto"/>
              <w:ind w:left="24" w:right="171"/>
              <w:jc w:val="left"/>
              <w:rPr>
                <w:rFonts w:ascii="宋体" w:hAnsi="宋体" w:cs="宋体" w:eastAsia="宋体" w:hint="default"/>
                <w:sz w:val="18"/>
                <w:szCs w:val="18"/>
              </w:rPr>
            </w:pPr>
            <w:r>
              <w:rPr>
                <w:rFonts w:ascii="宋体" w:hAnsi="宋体" w:cs="宋体" w:eastAsia="宋体" w:hint="default"/>
                <w:sz w:val="18"/>
                <w:szCs w:val="18"/>
              </w:rPr>
              <w:t>运通 智能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
              <w:jc w:val="left"/>
              <w:rPr>
                <w:rFonts w:ascii="宋体" w:hAnsi="宋体" w:cs="宋体" w:eastAsia="宋体" w:hint="default"/>
                <w:sz w:val="18"/>
                <w:szCs w:val="18"/>
              </w:rPr>
            </w:pPr>
            <w:r>
              <w:rPr>
                <w:rFonts w:ascii="宋体" w:hAnsi="宋体" w:cs="宋体" w:eastAsia="宋体" w:hint="default"/>
                <w:sz w:val="18"/>
                <w:szCs w:val="18"/>
              </w:rPr>
              <w:t>计算机应用电子设备制 </w:t>
            </w:r>
            <w:r>
              <w:rPr>
                <w:rFonts w:ascii="宋体" w:hAnsi="宋体" w:cs="宋体" w:eastAsia="宋体" w:hint="default"/>
                <w:spacing w:val="-7"/>
                <w:sz w:val="18"/>
                <w:szCs w:val="18"/>
              </w:rPr>
              <w:t>造；自动售货机、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柜员机及零配件的批发； 计算器及货币专用设备 制造；信息系统集成服务</w:t>
            </w:r>
            <w:r>
              <w:rPr>
                <w:rFonts w:ascii="宋体" w:hAnsi="宋体" w:cs="宋体" w:eastAsia="宋体" w:hint="default"/>
                <w:sz w:val="18"/>
                <w:szCs w:val="18"/>
              </w:rPr>
              <w:t> 等</w:t>
            </w:r>
          </w:p>
        </w:tc>
        <w:tc>
          <w:tcPr>
            <w:tcW w:w="135" w:type="dxa"/>
            <w:tcBorders>
              <w:top w:val="single" w:sz="4" w:space="0" w:color="000000"/>
              <w:left w:val="single" w:sz="4" w:space="0" w:color="000000"/>
              <w:bottom w:val="single" w:sz="4" w:space="0" w:color="000000"/>
              <w:right w:val="nil" w:sz="6" w:space="0" w:color="auto"/>
            </w:tcBorders>
          </w:tcPr>
          <w:p>
            <w:pPr/>
          </w:p>
        </w:tc>
        <w:tc>
          <w:tcPr>
            <w:tcW w:w="9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89,545,206.0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60,022,234.7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6,509,613.30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54,578.31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28,322.99</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广州 穗通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受银行委托对自动柜员 机进行日常维护及管理， 对现金及有价证券提供 清分处理服务。</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1"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145,692,554.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98,606,923.5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99,798,470.2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121,711.58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1,071,224.80</w:t>
            </w:r>
          </w:p>
        </w:tc>
      </w:tr>
      <w:tr>
        <w:trPr>
          <w:trHeight w:val="196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3"/>
              <w:ind w:left="24" w:right="171"/>
              <w:jc w:val="left"/>
              <w:rPr>
                <w:rFonts w:ascii="宋体" w:hAnsi="宋体" w:cs="宋体" w:eastAsia="宋体" w:hint="default"/>
                <w:sz w:val="18"/>
                <w:szCs w:val="18"/>
              </w:rPr>
            </w:pPr>
            <w:r>
              <w:rPr>
                <w:rFonts w:ascii="宋体" w:hAnsi="宋体" w:cs="宋体" w:eastAsia="宋体" w:hint="default"/>
                <w:sz w:val="18"/>
                <w:szCs w:val="18"/>
              </w:rPr>
              <w:t>龙源 环保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房屋租赁；城市水域垃圾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清理；水污染监测；房地</w:t>
            </w:r>
            <w:r>
              <w:rPr>
                <w:rFonts w:ascii="宋体" w:hAnsi="宋体" w:cs="宋体" w:eastAsia="宋体" w:hint="default"/>
                <w:sz w:val="18"/>
                <w:szCs w:val="18"/>
              </w:rPr>
              <w:t> 产开发经营；水污染治 理；场地租赁（不含仓 </w:t>
            </w:r>
            <w:r>
              <w:rPr>
                <w:rFonts w:ascii="宋体" w:hAnsi="宋体" w:cs="宋体" w:eastAsia="宋体" w:hint="default"/>
                <w:spacing w:val="-2"/>
                <w:sz w:val="18"/>
                <w:szCs w:val="18"/>
              </w:rPr>
              <w:t>储）；自有房地产经营活</w:t>
            </w:r>
            <w:r>
              <w:rPr>
                <w:rFonts w:ascii="宋体" w:hAnsi="宋体" w:cs="宋体" w:eastAsia="宋体" w:hint="default"/>
                <w:sz w:val="18"/>
                <w:szCs w:val="18"/>
              </w:rPr>
              <w:t> 动；物业管理。</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279,400,000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249,039,489.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233,895,671.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46,656,837.3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2,747,207.05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1,062,090.90</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创自 技术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卡座、读卡器、发卡器、 电子终端设备及配件的 生产与销售。</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6,150,000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130,369,458.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105,443,198.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119,078,664.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44,179,182.3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39,123,905.6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34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3"/>
              <w:ind w:left="24" w:right="171"/>
              <w:jc w:val="left"/>
              <w:rPr>
                <w:rFonts w:ascii="宋体" w:hAnsi="宋体" w:cs="宋体" w:eastAsia="宋体" w:hint="default"/>
                <w:sz w:val="18"/>
                <w:szCs w:val="18"/>
              </w:rPr>
            </w:pPr>
            <w:r>
              <w:rPr>
                <w:rFonts w:ascii="宋体" w:hAnsi="宋体" w:cs="宋体" w:eastAsia="宋体" w:hint="default"/>
                <w:sz w:val="18"/>
                <w:szCs w:val="18"/>
              </w:rPr>
              <w:t>汇通 金融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
              <w:jc w:val="left"/>
              <w:rPr>
                <w:rFonts w:ascii="宋体" w:hAnsi="宋体" w:cs="宋体" w:eastAsia="宋体" w:hint="default"/>
                <w:sz w:val="18"/>
                <w:szCs w:val="18"/>
              </w:rPr>
            </w:pPr>
            <w:r>
              <w:rPr>
                <w:rFonts w:ascii="宋体" w:hAnsi="宋体" w:cs="宋体" w:eastAsia="宋体" w:hint="default"/>
                <w:sz w:val="18"/>
                <w:szCs w:val="18"/>
              </w:rPr>
              <w:t>受金融企业的委托和国 家允许的金融外包业务； 第二类增值电信业务中 的呼叫中心业务。</w:t>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12" w:right="0"/>
              <w:jc w:val="left"/>
              <w:rPr>
                <w:rFonts w:ascii="Times New Roman" w:hAnsi="Times New Roman" w:cs="Times New Roman" w:eastAsia="Times New Roman" w:hint="default"/>
                <w:sz w:val="18"/>
                <w:szCs w:val="18"/>
              </w:rPr>
            </w:pPr>
            <w:r>
              <w:rPr>
                <w:rFonts w:ascii="Times New Roman"/>
                <w:sz w:val="18"/>
              </w:rPr>
              <w:t>102,040,816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245,989,670.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223,730,796.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Times New Roman" w:hAnsi="Times New Roman" w:cs="Times New Roman" w:eastAsia="Times New Roman" w:hint="default"/>
                <w:sz w:val="20"/>
                <w:szCs w:val="20"/>
              </w:rPr>
            </w:pPr>
            <w:r>
              <w:rPr>
                <w:rFonts w:ascii="Times New Roman"/>
                <w:sz w:val="20"/>
              </w:rPr>
              <w:t>225,364,12</w:t>
            </w:r>
          </w:p>
          <w:p>
            <w:pPr>
              <w:pStyle w:val="TableParagraph"/>
              <w:spacing w:line="240" w:lineRule="auto" w:before="82"/>
              <w:ind w:left="659" w:right="0"/>
              <w:jc w:val="left"/>
              <w:rPr>
                <w:rFonts w:ascii="Times New Roman" w:hAnsi="Times New Roman" w:cs="Times New Roman" w:eastAsia="Times New Roman" w:hint="default"/>
                <w:sz w:val="20"/>
                <w:szCs w:val="20"/>
              </w:rPr>
            </w:pPr>
            <w:r>
              <w:rPr>
                <w:rFonts w:ascii="Times New Roman"/>
                <w:sz w:val="20"/>
              </w:rPr>
              <w:t>7.41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512,559.67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800,521.06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2019"/>
        <w:gridCol w:w="1044"/>
        <w:gridCol w:w="1047"/>
        <w:gridCol w:w="1046"/>
        <w:gridCol w:w="1044"/>
        <w:gridCol w:w="1045"/>
        <w:gridCol w:w="1046"/>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1"/>
              <w:jc w:val="both"/>
              <w:rPr>
                <w:rFonts w:ascii="宋体" w:hAnsi="宋体" w:cs="宋体" w:eastAsia="宋体" w:hint="default"/>
                <w:sz w:val="18"/>
                <w:szCs w:val="18"/>
              </w:rPr>
            </w:pPr>
            <w:r>
              <w:rPr>
                <w:rFonts w:ascii="宋体" w:hAnsi="宋体" w:cs="宋体" w:eastAsia="宋体" w:hint="default"/>
                <w:sz w:val="18"/>
                <w:szCs w:val="18"/>
              </w:rPr>
              <w:t>广百 小额 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3" w:right="314"/>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办理各项小额贷款。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331,251,487.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313,646,782.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28,782,312.3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13,789,473.6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8,616,374.31</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3"/>
              <w:ind w:left="24" w:right="171"/>
              <w:jc w:val="left"/>
              <w:rPr>
                <w:rFonts w:ascii="宋体" w:hAnsi="宋体" w:cs="宋体" w:eastAsia="宋体" w:hint="default"/>
                <w:sz w:val="18"/>
                <w:szCs w:val="18"/>
              </w:rPr>
            </w:pPr>
            <w:r>
              <w:rPr>
                <w:rFonts w:ascii="宋体" w:hAnsi="宋体" w:cs="宋体" w:eastAsia="宋体" w:hint="default"/>
                <w:sz w:val="18"/>
                <w:szCs w:val="18"/>
              </w:rPr>
              <w:t>力沛 咨询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3"/>
              <w:ind w:left="23" w:right="314"/>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
              <w:jc w:val="left"/>
              <w:rPr>
                <w:rFonts w:ascii="宋体" w:hAnsi="宋体" w:cs="宋体" w:eastAsia="宋体" w:hint="default"/>
                <w:sz w:val="18"/>
                <w:szCs w:val="18"/>
              </w:rPr>
            </w:pPr>
            <w:r>
              <w:rPr>
                <w:rFonts w:ascii="宋体" w:hAnsi="宋体" w:cs="宋体" w:eastAsia="宋体" w:hint="default"/>
                <w:sz w:val="18"/>
                <w:szCs w:val="18"/>
              </w:rPr>
              <w:t>主要从事企业管理服务， 策划创意服务，企业管理 咨询服务、投资咨询服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9" w:right="0"/>
              <w:jc w:val="left"/>
              <w:rPr>
                <w:rFonts w:ascii="Times New Roman" w:hAnsi="Times New Roman" w:cs="Times New Roman" w:eastAsia="Times New Roman" w:hint="default"/>
                <w:sz w:val="18"/>
                <w:szCs w:val="18"/>
              </w:rPr>
            </w:pPr>
            <w:r>
              <w:rPr>
                <w:rFonts w:ascii="Times New Roman"/>
                <w:sz w:val="18"/>
              </w:rPr>
              <w:t>4,729,395.63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4,010,832.99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2,108,971.23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1,669,016.15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2" w:right="0"/>
              <w:jc w:val="center"/>
              <w:rPr>
                <w:rFonts w:ascii="Times New Roman" w:hAnsi="Times New Roman" w:cs="Times New Roman" w:eastAsia="Times New Roman" w:hint="default"/>
                <w:sz w:val="18"/>
                <w:szCs w:val="18"/>
              </w:rPr>
            </w:pPr>
            <w:r>
              <w:rPr>
                <w:rFonts w:ascii="Times New Roman"/>
                <w:sz w:val="18"/>
              </w:rPr>
              <w:t>1,250,895.06</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3" w:right="314"/>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计量服务、检测服务、检</w:t>
            </w:r>
            <w:r>
              <w:rPr>
                <w:rFonts w:ascii="宋体" w:hAnsi="宋体" w:cs="宋体" w:eastAsia="宋体" w:hint="default"/>
                <w:sz w:val="18"/>
                <w:szCs w:val="18"/>
              </w:rPr>
              <w:t> 测装备研发等专业技术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1,431,543,08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750,774,305.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811,272,621.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106,457,286.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103,111,859.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81</w:t>
            </w: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4"/>
              <w:ind w:left="24" w:right="171"/>
              <w:jc w:val="left"/>
              <w:rPr>
                <w:rFonts w:ascii="宋体" w:hAnsi="宋体" w:cs="宋体" w:eastAsia="宋体" w:hint="default"/>
                <w:sz w:val="18"/>
                <w:szCs w:val="18"/>
              </w:rPr>
            </w:pPr>
            <w:r>
              <w:rPr>
                <w:rFonts w:ascii="宋体" w:hAnsi="宋体" w:cs="宋体" w:eastAsia="宋体" w:hint="default"/>
                <w:sz w:val="18"/>
                <w:szCs w:val="18"/>
              </w:rPr>
              <w:t>美电 贝尔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4"/>
              <w:ind w:left="23" w:right="314"/>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20"/>
              <w:jc w:val="left"/>
              <w:rPr>
                <w:rFonts w:ascii="宋体" w:hAnsi="宋体" w:cs="宋体" w:eastAsia="宋体" w:hint="default"/>
                <w:sz w:val="18"/>
                <w:szCs w:val="18"/>
              </w:rPr>
            </w:pPr>
            <w:r>
              <w:rPr>
                <w:rFonts w:ascii="宋体" w:hAnsi="宋体" w:cs="宋体" w:eastAsia="宋体" w:hint="default"/>
                <w:sz w:val="18"/>
                <w:szCs w:val="18"/>
              </w:rPr>
              <w:t>公司主要从事视频监控 </w:t>
            </w:r>
            <w:r>
              <w:rPr>
                <w:rFonts w:ascii="宋体" w:hAnsi="宋体" w:cs="宋体" w:eastAsia="宋体" w:hint="default"/>
                <w:spacing w:val="-2"/>
                <w:sz w:val="18"/>
                <w:szCs w:val="18"/>
              </w:rPr>
              <w:t>产品、公共广播产品的研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发、生产与销售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56,053,333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333,628,110.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136,568,609.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250,286,191.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27,198,249.0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24,789,814.9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3546"/>
        <w:gridCol w:w="3898"/>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5"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黄石金通</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新设立的孙公司的控股公司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黄石金安</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新并购的孙公司的控股孙公司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保山安邦</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新并购的孙公司的控股公司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鹤壁鹏翔</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新并购的孙公司的控股公司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湖北银通</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新设立的孙公司的控股公司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湖北融信</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新并购的孙公司的参股公司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益阳保安</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新并购的孙公司的全资孙公司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安化保安</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新并购的孙公司的全资孙公司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南县保安</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新并购的孙公司的全资孙公司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美电贝尔</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新投资的参股子公司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有利于切入大安防业务领域</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平云小匠</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新设立的控股孙公司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用于拓展“互联网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服务”业务的平台</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广电卓识</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新设立的控股孙公司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有利于切入生物识别原创技术和数据安全领域</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新投资的参股孙公司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切入云计算行业</w:t>
            </w:r>
          </w:p>
        </w:tc>
      </w:tr>
    </w:tbl>
    <w:p>
      <w:pPr>
        <w:pStyle w:val="BodyText"/>
        <w:spacing w:line="240" w:lineRule="auto" w:before="51"/>
        <w:ind w:right="0"/>
        <w:jc w:val="left"/>
      </w:pPr>
      <w:r>
        <w:rPr/>
        <w:t>主要控股参股公司情况说明</w:t>
      </w:r>
    </w:p>
    <w:p>
      <w:pPr>
        <w:pStyle w:val="BodyText"/>
        <w:spacing w:line="240" w:lineRule="auto" w:before="117"/>
        <w:ind w:left="513" w:right="0"/>
        <w:jc w:val="left"/>
      </w:pPr>
      <w:r>
        <w:rPr>
          <w:rFonts w:ascii="Times New Roman" w:hAnsi="Times New Roman" w:cs="Times New Roman" w:eastAsia="Times New Roman" w:hint="default"/>
        </w:rPr>
        <w:t>1</w:t>
      </w:r>
      <w:r>
        <w:rPr/>
        <w:t>、广州银通</w:t>
      </w:r>
    </w:p>
    <w:p>
      <w:pPr>
        <w:pStyle w:val="BodyText"/>
        <w:spacing w:line="300" w:lineRule="auto" w:before="63"/>
        <w:ind w:left="498" w:right="0" w:firstLine="1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）平云小匠 </w:t>
      </w:r>
      <w:r>
        <w:rPr>
          <w:spacing w:val="-3"/>
        </w:rPr>
        <w:t>广州银通于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月与广州牛匠投资管理中心（有限合伙）共同投资设立广州平云小匠科技有限公司，作为公司</w:t>
      </w:r>
      <w:r>
        <w:rPr>
          <w:rFonts w:ascii="Times New Roman" w:hAnsi="Times New Roman" w:cs="Times New Roman" w:eastAsia="Times New Roman" w:hint="default"/>
          <w:spacing w:val="-3"/>
        </w:rPr>
        <w:t>“</w:t>
      </w:r>
      <w:r>
        <w:rPr>
          <w:spacing w:val="-3"/>
        </w:rPr>
        <w:t>非现</w:t>
      </w:r>
      <w:r>
        <w:rPr>
          <w:rFonts w:ascii="Times New Roman" w:hAnsi="Times New Roman" w:cs="Times New Roman" w:eastAsia="Times New Roman" w:hint="default"/>
          <w:spacing w:val="-3"/>
        </w:rPr>
        <w:t>”</w:t>
      </w:r>
    </w:p>
    <w:p>
      <w:pPr>
        <w:pStyle w:val="BodyText"/>
        <w:spacing w:line="300" w:lineRule="auto" w:before="13"/>
        <w:ind w:right="0"/>
        <w:jc w:val="left"/>
      </w:pPr>
      <w:r>
        <w:rPr>
          <w:spacing w:val="-1"/>
        </w:rPr>
        <w:t>设备服务业务拓展的平台。平云小匠注册资本</w:t>
      </w:r>
      <w:r>
        <w:rPr>
          <w:rFonts w:ascii="Times New Roman" w:hAnsi="Times New Roman" w:cs="Times New Roman" w:eastAsia="Times New Roman" w:hint="default"/>
          <w:spacing w:val="-1"/>
        </w:rPr>
        <w:t>1,000</w:t>
      </w:r>
      <w:r>
        <w:rPr>
          <w:spacing w:val="-1"/>
        </w:rPr>
        <w:t>万元，其中广州银通出资</w:t>
      </w:r>
      <w:r>
        <w:rPr>
          <w:rFonts w:ascii="Times New Roman" w:hAnsi="Times New Roman" w:cs="Times New Roman" w:eastAsia="Times New Roman" w:hint="default"/>
          <w:spacing w:val="-1"/>
        </w:rPr>
        <w:t>700</w:t>
      </w:r>
      <w:r>
        <w:rPr>
          <w:spacing w:val="-1"/>
        </w:rPr>
        <w:t>万元，持有</w:t>
      </w:r>
      <w:r>
        <w:rPr>
          <w:rFonts w:ascii="Times New Roman" w:hAnsi="Times New Roman" w:cs="Times New Roman" w:eastAsia="Times New Roman" w:hint="default"/>
          <w:spacing w:val="-1"/>
        </w:rPr>
        <w:t>70%</w:t>
      </w:r>
      <w:r>
        <w:rPr>
          <w:spacing w:val="-1"/>
        </w:rPr>
        <w:t>股权；广州牛匠投资管理中</w:t>
      </w:r>
      <w:r>
        <w:rPr>
          <w:spacing w:val="-45"/>
        </w:rPr>
        <w:t> </w:t>
      </w:r>
      <w:r>
        <w:rPr>
          <w:spacing w:val="-45"/>
        </w:rPr>
      </w:r>
      <w:r>
        <w:rPr/>
        <w:t>心（有限合伙）出资</w:t>
      </w:r>
      <w:r>
        <w:rPr>
          <w:rFonts w:ascii="Times New Roman" w:hAnsi="Times New Roman" w:cs="Times New Roman" w:eastAsia="Times New Roman" w:hint="default"/>
        </w:rPr>
        <w:t>300</w:t>
      </w:r>
      <w:r>
        <w:rPr/>
        <w:t>万元，持有</w:t>
      </w:r>
      <w:r>
        <w:rPr>
          <w:rFonts w:ascii="Times New Roman" w:hAnsi="Times New Roman" w:cs="Times New Roman" w:eastAsia="Times New Roman" w:hint="default"/>
        </w:rPr>
        <w:t>30%</w:t>
      </w:r>
      <w:r>
        <w:rPr/>
        <w:t>股权。</w:t>
      </w:r>
    </w:p>
    <w:p>
      <w:pPr>
        <w:pStyle w:val="BodyText"/>
        <w:spacing w:line="300" w:lineRule="auto" w:before="13"/>
        <w:ind w:left="498" w:right="158"/>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）广电安保投资公司 报告期内，广电安保投资公司新投资了保山安邦、鹤壁鹏翔、湖北融信、黄石金通、益阳保安、安化保安、南县保安</w:t>
      </w:r>
      <w:r>
        <w:rPr>
          <w:rFonts w:ascii="Times New Roman" w:hAnsi="Times New Roman" w:cs="Times New Roman" w:eastAsia="Times New Roman" w:hint="default"/>
        </w:rPr>
        <w:t>7</w:t>
      </w:r>
    </w:p>
    <w:p>
      <w:pPr>
        <w:pStyle w:val="BodyText"/>
        <w:spacing w:line="240" w:lineRule="auto" w:before="13"/>
        <w:ind w:right="0"/>
        <w:jc w:val="left"/>
      </w:pPr>
      <w:r>
        <w:rPr/>
        <w:t>家押运公司，具体情况如下：</w:t>
      </w:r>
    </w:p>
    <w:p>
      <w:pPr>
        <w:spacing w:after="0" w:line="240" w:lineRule="auto"/>
        <w:jc w:val="left"/>
        <w:sectPr>
          <w:pgSz w:w="11910" w:h="16840"/>
          <w:pgMar w:header="880" w:footer="979" w:top="1100" w:bottom="1160" w:left="980" w:right="980"/>
        </w:sectPr>
      </w:pPr>
    </w:p>
    <w:p>
      <w:pPr>
        <w:spacing w:line="240" w:lineRule="auto" w:before="11"/>
        <w:rPr>
          <w:rFonts w:ascii="宋体" w:hAnsi="宋体" w:cs="宋体" w:eastAsia="宋体" w:hint="default"/>
          <w:sz w:val="21"/>
          <w:szCs w:val="21"/>
        </w:rPr>
      </w:pPr>
    </w:p>
    <w:p>
      <w:pPr>
        <w:pStyle w:val="BodyText"/>
        <w:spacing w:line="304" w:lineRule="auto" w:before="44"/>
        <w:ind w:right="184" w:firstLine="360"/>
        <w:jc w:val="left"/>
      </w:pPr>
      <w:r>
        <w:rPr>
          <w:rFonts w:ascii="宋体" w:hAnsi="宋体" w:cs="宋体" w:eastAsia="宋体" w:hint="default"/>
          <w:b/>
          <w:bCs/>
        </w:rPr>
        <w:t>①黄石金通智慧金融外包服务有限公司：</w:t>
      </w:r>
      <w:r>
        <w:rPr/>
        <w:t>广电安保投资公司、黄石金安投资集团有限公司、员工持股平台共同出资设 </w:t>
      </w:r>
      <w:r>
        <w:rPr>
          <w:spacing w:val="-1"/>
        </w:rPr>
        <w:t>立黄石金通，其中：广电安保投资公司以人民币</w:t>
      </w:r>
      <w:r>
        <w:rPr>
          <w:rFonts w:ascii="Times New Roman" w:hAnsi="Times New Roman" w:cs="Times New Roman" w:eastAsia="Times New Roman" w:hint="default"/>
          <w:spacing w:val="-1"/>
        </w:rPr>
        <w:t>5,669.27</w:t>
      </w:r>
      <w:r>
        <w:rPr>
          <w:spacing w:val="-1"/>
        </w:rPr>
        <w:t>万元出资，黄石金安投资集团有限公司以其持有的黄石金安</w:t>
      </w:r>
      <w:r>
        <w:rPr>
          <w:rFonts w:ascii="Times New Roman" w:hAnsi="Times New Roman" w:cs="Times New Roman" w:eastAsia="Times New Roman" w:hint="default"/>
          <w:spacing w:val="-1"/>
        </w:rPr>
        <w:t>100%</w:t>
      </w:r>
      <w:r>
        <w:rPr>
          <w:spacing w:val="-1"/>
        </w:rPr>
        <w:t>股</w:t>
      </w:r>
      <w:r>
        <w:rPr>
          <w:spacing w:val="-84"/>
        </w:rPr>
        <w:t> </w:t>
      </w:r>
      <w:r>
        <w:rPr/>
        <w:t>权作价人民币</w:t>
      </w:r>
      <w:r>
        <w:rPr>
          <w:rFonts w:ascii="Times New Roman" w:hAnsi="Times New Roman" w:cs="Times New Roman" w:eastAsia="Times New Roman" w:hint="default"/>
        </w:rPr>
        <w:t>4,049.48</w:t>
      </w:r>
      <w:r>
        <w:rPr/>
        <w:t>万元出资，黄石金通员工以人民币</w:t>
      </w:r>
      <w:r>
        <w:rPr>
          <w:rFonts w:ascii="Times New Roman" w:hAnsi="Times New Roman" w:cs="Times New Roman" w:eastAsia="Times New Roman" w:hint="default"/>
        </w:rPr>
        <w:t>404.95</w:t>
      </w:r>
      <w:r>
        <w:rPr/>
        <w:t>万元出资。黄石金通成立后，注册资本</w:t>
      </w:r>
      <w:r>
        <w:rPr>
          <w:rFonts w:ascii="Times New Roman" w:hAnsi="Times New Roman" w:cs="Times New Roman" w:eastAsia="Times New Roman" w:hint="default"/>
        </w:rPr>
        <w:t>5,000</w:t>
      </w:r>
      <w:r>
        <w:rPr/>
        <w:t>万元，广电安保 </w:t>
      </w:r>
      <w:r>
        <w:rPr>
          <w:spacing w:val="-2"/>
        </w:rPr>
        <w:t>投资公司持有</w:t>
      </w:r>
      <w:r>
        <w:rPr>
          <w:rFonts w:ascii="Times New Roman" w:hAnsi="Times New Roman" w:cs="Times New Roman" w:eastAsia="Times New Roman" w:hint="default"/>
          <w:spacing w:val="-2"/>
        </w:rPr>
        <w:t>56%</w:t>
      </w:r>
      <w:r>
        <w:rPr>
          <w:spacing w:val="-2"/>
        </w:rPr>
        <w:t>股权，黄石金安投资集团有限公司持有</w:t>
      </w:r>
      <w:r>
        <w:rPr>
          <w:rFonts w:ascii="Times New Roman" w:hAnsi="Times New Roman" w:cs="Times New Roman" w:eastAsia="Times New Roman" w:hint="default"/>
          <w:spacing w:val="-2"/>
        </w:rPr>
        <w:t>40%</w:t>
      </w:r>
      <w:r>
        <w:rPr>
          <w:spacing w:val="-2"/>
        </w:rPr>
        <w:t>股权，黄石金通员工持有</w:t>
      </w:r>
      <w:r>
        <w:rPr>
          <w:rFonts w:ascii="Times New Roman" w:hAnsi="Times New Roman" w:cs="Times New Roman" w:eastAsia="Times New Roman" w:hint="default"/>
          <w:spacing w:val="-2"/>
        </w:rPr>
        <w:t>4%</w:t>
      </w:r>
      <w:r>
        <w:rPr>
          <w:spacing w:val="-2"/>
        </w:rPr>
        <w:t>股权，三方合计出资超过注册资本</w:t>
      </w:r>
      <w:r>
        <w:rPr>
          <w:spacing w:val="-63"/>
        </w:rPr>
        <w:t> </w:t>
      </w:r>
      <w:r>
        <w:rPr>
          <w:spacing w:val="-63"/>
        </w:rPr>
      </w:r>
      <w:r>
        <w:rPr/>
        <w:t>部分计入资本公积。报告期，黄石金通已完成工商登记，黄石金通成为广电安保投资公司的控股子公司。</w:t>
      </w:r>
    </w:p>
    <w:p>
      <w:pPr>
        <w:pStyle w:val="BodyText"/>
        <w:spacing w:line="312" w:lineRule="auto" w:before="25"/>
        <w:ind w:right="192" w:firstLine="353"/>
        <w:jc w:val="both"/>
      </w:pPr>
      <w:r>
        <w:rPr>
          <w:rFonts w:ascii="宋体" w:hAnsi="宋体" w:cs="宋体" w:eastAsia="宋体" w:hint="default"/>
          <w:b/>
          <w:bCs/>
          <w:spacing w:val="-2"/>
          <w:w w:val="99"/>
        </w:rPr>
        <w:t>②保山安邦武装守护押运有限责任公司：</w:t>
      </w:r>
      <w:r>
        <w:rPr>
          <w:spacing w:val="-2"/>
          <w:w w:val="99"/>
        </w:rPr>
        <w:t>广电安保投资公司向保山市护邦保安服务有限责任公司收购其持有的保山安邦</w:t>
      </w:r>
      <w:r>
        <w:rPr/>
        <w:t> </w:t>
      </w:r>
      <w:r>
        <w:rPr>
          <w:rFonts w:ascii="Times New Roman" w:hAnsi="Times New Roman" w:cs="Times New Roman" w:eastAsia="Times New Roman" w:hint="default"/>
        </w:rPr>
        <w:t>49%</w:t>
      </w:r>
      <w:r>
        <w:rPr/>
        <w:t>的股权，收购价格以保山安邦股东权益评估价值为基础且经双方协商一致，最终确定为</w:t>
      </w:r>
      <w:r>
        <w:rPr>
          <w:rFonts w:ascii="Times New Roman" w:hAnsi="Times New Roman" w:cs="Times New Roman" w:eastAsia="Times New Roman" w:hint="default"/>
        </w:rPr>
        <w:t>2,048.20</w:t>
      </w:r>
      <w:r>
        <w:rPr/>
        <w:t>万元，保山安邦的另一 </w:t>
      </w:r>
      <w:r>
        <w:rPr>
          <w:spacing w:val="-2"/>
        </w:rPr>
        <w:t>法人股东保山市永昌投资开发有限公司放弃优先购买权。报告期保山安邦已完成工商变更登记，保山安邦成为广电安保投资</w:t>
      </w:r>
      <w:r>
        <w:rPr>
          <w:spacing w:val="-64"/>
        </w:rPr>
        <w:t> </w:t>
      </w:r>
      <w:r>
        <w:rPr>
          <w:spacing w:val="-64"/>
        </w:rPr>
      </w:r>
      <w:r>
        <w:rPr/>
        <w:t>公司的控股子公司。</w:t>
      </w:r>
    </w:p>
    <w:p>
      <w:pPr>
        <w:pStyle w:val="BodyText"/>
        <w:spacing w:line="309" w:lineRule="auto" w:before="20"/>
        <w:ind w:right="103" w:firstLine="360"/>
        <w:jc w:val="both"/>
      </w:pPr>
      <w:r>
        <w:rPr>
          <w:rFonts w:ascii="宋体" w:hAnsi="宋体" w:cs="宋体" w:eastAsia="宋体" w:hint="default"/>
          <w:b/>
          <w:bCs/>
        </w:rPr>
        <w:t>③鹤壁市鹏翔保安服务有限公司：</w:t>
      </w:r>
      <w:r>
        <w:rPr/>
        <w:t>广电安保投资公司与鹤壁市国有资产管理局达成关于鹤壁鹏翔的增资扩股协议，广 电安保投资公司以</w:t>
      </w:r>
      <w:r>
        <w:rPr>
          <w:rFonts w:ascii="Times New Roman" w:hAnsi="Times New Roman" w:cs="Times New Roman" w:eastAsia="Times New Roman" w:hint="default"/>
        </w:rPr>
        <w:t>3,051.71</w:t>
      </w:r>
      <w:r>
        <w:rPr/>
        <w:t>万元向鹤壁鹏翔增资扩股，交易完成后，广电安保投资公司持有鹤壁鹏翔</w:t>
      </w:r>
      <w:r>
        <w:rPr>
          <w:rFonts w:ascii="Times New Roman" w:hAnsi="Times New Roman" w:cs="Times New Roman" w:eastAsia="Times New Roman" w:hint="default"/>
        </w:rPr>
        <w:t>60%</w:t>
      </w:r>
      <w:r>
        <w:rPr/>
        <w:t>的股权，鹤壁市国 </w:t>
      </w:r>
      <w:r>
        <w:rPr>
          <w:spacing w:val="-3"/>
        </w:rPr>
        <w:t>有资产管理局持有鹤壁鹏翔</w:t>
      </w:r>
      <w:r>
        <w:rPr>
          <w:rFonts w:ascii="Times New Roman" w:hAnsi="Times New Roman" w:cs="Times New Roman" w:eastAsia="Times New Roman" w:hint="default"/>
          <w:spacing w:val="-3"/>
        </w:rPr>
        <w:t>40%</w:t>
      </w:r>
      <w:r>
        <w:rPr>
          <w:spacing w:val="-3"/>
        </w:rPr>
        <w:t>的股权。报告期，鹤壁鹏翔已完成工商登记，鹤壁鹏翔成为广电安保投资公司的控股子公司。</w:t>
      </w:r>
    </w:p>
    <w:p>
      <w:pPr>
        <w:pStyle w:val="BodyText"/>
        <w:spacing w:line="307" w:lineRule="auto" w:before="2"/>
        <w:ind w:right="181" w:firstLine="353"/>
        <w:jc w:val="both"/>
      </w:pPr>
      <w:r>
        <w:rPr>
          <w:rFonts w:ascii="宋体" w:hAnsi="宋体" w:cs="宋体" w:eastAsia="宋体" w:hint="default"/>
          <w:b/>
          <w:bCs/>
          <w:spacing w:val="-2"/>
        </w:rPr>
        <w:t>④湖北融信押运保安服务有限公司：</w:t>
      </w:r>
      <w:r>
        <w:rPr>
          <w:spacing w:val="-2"/>
        </w:rPr>
        <w:t>广电安保投资公司与湖北琪顺投资有限公司合资成立湖北银通。湖北银通注册资本</w:t>
      </w:r>
      <w:r>
        <w:rPr/>
        <w:t> </w:t>
      </w:r>
      <w:r>
        <w:rPr>
          <w:rFonts w:ascii="Times New Roman" w:hAnsi="Times New Roman" w:cs="Times New Roman" w:eastAsia="Times New Roman" w:hint="default"/>
        </w:rPr>
        <w:t>5,000</w:t>
      </w:r>
      <w:r>
        <w:rPr/>
        <w:t>万元，其中广电安保投资公司认缴出资额</w:t>
      </w:r>
      <w:r>
        <w:rPr>
          <w:rFonts w:ascii="Times New Roman" w:hAnsi="Times New Roman" w:cs="Times New Roman" w:eastAsia="Times New Roman" w:hint="default"/>
        </w:rPr>
        <w:t>2,550</w:t>
      </w:r>
      <w:r>
        <w:rPr/>
        <w:t>万元，持有</w:t>
      </w:r>
      <w:r>
        <w:rPr>
          <w:rFonts w:ascii="Times New Roman" w:hAnsi="Times New Roman" w:cs="Times New Roman" w:eastAsia="Times New Roman" w:hint="default"/>
        </w:rPr>
        <w:t>51%</w:t>
      </w:r>
      <w:r>
        <w:rPr/>
        <w:t>的股权；湖北琪顺投资有限公司认缴出资额</w:t>
      </w:r>
      <w:r>
        <w:rPr>
          <w:rFonts w:ascii="Times New Roman" w:hAnsi="Times New Roman" w:cs="Times New Roman" w:eastAsia="Times New Roman" w:hint="default"/>
        </w:rPr>
        <w:t>2,450</w:t>
      </w:r>
      <w:r>
        <w:rPr/>
        <w:t>万元， </w:t>
      </w:r>
      <w:r>
        <w:rPr>
          <w:spacing w:val="-2"/>
        </w:rPr>
        <w:t>持有</w:t>
      </w:r>
      <w:r>
        <w:rPr>
          <w:rFonts w:ascii="Times New Roman" w:hAnsi="Times New Roman" w:cs="Times New Roman" w:eastAsia="Times New Roman" w:hint="default"/>
          <w:spacing w:val="-2"/>
        </w:rPr>
        <w:t>49%</w:t>
      </w:r>
      <w:r>
        <w:rPr>
          <w:spacing w:val="-2"/>
        </w:rPr>
        <w:t>的股权。湖北银通以</w:t>
      </w:r>
      <w:r>
        <w:rPr>
          <w:rFonts w:ascii="Times New Roman" w:hAnsi="Times New Roman" w:cs="Times New Roman" w:eastAsia="Times New Roman" w:hint="default"/>
          <w:spacing w:val="-2"/>
        </w:rPr>
        <w:t>2,940</w:t>
      </w:r>
      <w:r>
        <w:rPr>
          <w:spacing w:val="-2"/>
        </w:rPr>
        <w:t>万元收购湖北琪顺投资有限公司持有的湖北融信</w:t>
      </w:r>
      <w:r>
        <w:rPr>
          <w:rFonts w:ascii="Times New Roman" w:hAnsi="Times New Roman" w:cs="Times New Roman" w:eastAsia="Times New Roman" w:hint="default"/>
          <w:spacing w:val="-2"/>
        </w:rPr>
        <w:t>49%</w:t>
      </w:r>
      <w:r>
        <w:rPr>
          <w:spacing w:val="-2"/>
        </w:rPr>
        <w:t>的股权，投资完成后广电安保投资公</w:t>
      </w:r>
      <w:r>
        <w:rPr>
          <w:spacing w:val="-41"/>
        </w:rPr>
        <w:t> </w:t>
      </w:r>
      <w:r>
        <w:rPr>
          <w:spacing w:val="-41"/>
        </w:rPr>
      </w:r>
      <w:r>
        <w:rPr/>
        <w:t>司持有湖北银通</w:t>
      </w:r>
      <w:r>
        <w:rPr>
          <w:rFonts w:ascii="Times New Roman" w:hAnsi="Times New Roman" w:cs="Times New Roman" w:eastAsia="Times New Roman" w:hint="default"/>
        </w:rPr>
        <w:t>51%</w:t>
      </w:r>
      <w:r>
        <w:rPr/>
        <w:t>的股权，湖北银通持有湖北融信</w:t>
      </w:r>
      <w:r>
        <w:rPr>
          <w:rFonts w:ascii="Times New Roman" w:hAnsi="Times New Roman" w:cs="Times New Roman" w:eastAsia="Times New Roman" w:hint="default"/>
        </w:rPr>
        <w:t>49%</w:t>
      </w:r>
      <w:r>
        <w:rPr/>
        <w:t>的股权。报告期湖北融信已完成工商变更登记。</w:t>
      </w:r>
    </w:p>
    <w:p>
      <w:pPr>
        <w:pStyle w:val="BodyText"/>
        <w:spacing w:line="314" w:lineRule="auto" w:before="4"/>
        <w:ind w:right="192" w:firstLine="353"/>
        <w:jc w:val="both"/>
      </w:pPr>
      <w:r>
        <w:rPr>
          <w:rFonts w:ascii="宋体" w:hAnsi="宋体" w:cs="宋体" w:eastAsia="宋体" w:hint="default"/>
          <w:b/>
          <w:bCs/>
        </w:rPr>
        <w:t>⑤益阳市保安服务有限责任公司、安化县锦鑫保安服务有限责任公司及南县保安服务有限责任公司：</w:t>
      </w:r>
      <w:r>
        <w:rPr/>
        <w:t>广电安保投资公 司全资子公司邵阳保安以</w:t>
      </w:r>
      <w:r>
        <w:rPr>
          <w:rFonts w:ascii="Times New Roman" w:hAnsi="Times New Roman" w:cs="Times New Roman" w:eastAsia="Times New Roman" w:hint="default"/>
        </w:rPr>
        <w:t>13,210.53</w:t>
      </w:r>
      <w:r>
        <w:rPr/>
        <w:t>万元竞拍获得益阳保安、安化保安及南县保安三家公司</w:t>
      </w:r>
      <w:r>
        <w:rPr>
          <w:rFonts w:ascii="Times New Roman" w:hAnsi="Times New Roman" w:cs="Times New Roman" w:eastAsia="Times New Roman" w:hint="default"/>
        </w:rPr>
        <w:t>100%</w:t>
      </w:r>
      <w:r>
        <w:rPr/>
        <w:t>的股权（三家公司打包挂牌 </w:t>
      </w:r>
      <w:r>
        <w:rPr>
          <w:spacing w:val="-2"/>
        </w:rPr>
        <w:t>转让）。报告期，益阳保安已完成工商变更登记，益阳保安成为广电安保投资公司的全资孙公司。因经营管理需要，邵阳保</w:t>
      </w:r>
      <w:r>
        <w:rPr>
          <w:spacing w:val="-66"/>
        </w:rPr>
        <w:t> </w:t>
      </w:r>
      <w:r>
        <w:rPr>
          <w:spacing w:val="-66"/>
        </w:rPr>
      </w:r>
      <w:r>
        <w:rPr>
          <w:spacing w:val="-2"/>
        </w:rPr>
        <w:t>安以益阳保安为主体整合安化保安及南县保安的资产及业务，并对安化保安及南县保安依法进行注销。截止目前，安化保安</w:t>
      </w:r>
      <w:r>
        <w:rPr>
          <w:spacing w:val="-66"/>
        </w:rPr>
        <w:t> </w:t>
      </w:r>
      <w:r>
        <w:rPr>
          <w:spacing w:val="-66"/>
        </w:rPr>
      </w:r>
      <w:r>
        <w:rPr/>
        <w:t>已注销，南县保安正在进行注销前的清算工作。</w:t>
      </w:r>
    </w:p>
    <w:p>
      <w:pPr>
        <w:pStyle w:val="BodyText"/>
        <w:spacing w:line="304" w:lineRule="auto" w:before="21"/>
        <w:ind w:right="87" w:firstLine="353"/>
        <w:jc w:val="left"/>
      </w:pPr>
      <w:r>
        <w:rPr/>
        <w:t>截至报告期末，广电安保投资公司有内蒙古安保投资公司、邵阳保安、武威神威</w:t>
      </w:r>
      <w:r>
        <w:rPr>
          <w:rFonts w:ascii="Times New Roman" w:hAnsi="Times New Roman" w:cs="Times New Roman" w:eastAsia="Times New Roman" w:hint="default"/>
        </w:rPr>
        <w:t>3</w:t>
      </w:r>
      <w:r>
        <w:rPr/>
        <w:t>家全资子公司；有金牛押运、商洛金 </w:t>
      </w:r>
      <w:r>
        <w:rPr>
          <w:spacing w:val="-4"/>
        </w:rPr>
        <w:t>盾、海南警锐、西安金盾、平顶山鹰翔、榆林神鹰、新余保安、文山金盾、阿帕奇押运、阿帕奇保安、蓝盾安保、资阳保安、</w:t>
      </w:r>
      <w:r>
        <w:rPr>
          <w:spacing w:val="-43"/>
        </w:rPr>
        <w:t> </w:t>
      </w:r>
      <w:r>
        <w:rPr>
          <w:spacing w:val="-43"/>
        </w:rPr>
      </w:r>
      <w:r>
        <w:rPr>
          <w:spacing w:val="-2"/>
        </w:rPr>
        <w:t>湖北银通、黄石金通、保山安邦、鹤壁鹏翔</w:t>
      </w:r>
      <w:r>
        <w:rPr>
          <w:rFonts w:ascii="Times New Roman" w:hAnsi="Times New Roman" w:cs="Times New Roman" w:eastAsia="Times New Roman" w:hint="default"/>
          <w:spacing w:val="-2"/>
        </w:rPr>
        <w:t>16</w:t>
      </w:r>
      <w:r>
        <w:rPr>
          <w:spacing w:val="-2"/>
        </w:rPr>
        <w:t>家控股子公司；有黄石金安、益阳保安、安化保安、南县保安、新余市景运科</w:t>
      </w:r>
      <w:r>
        <w:rPr>
          <w:spacing w:val="-65"/>
        </w:rPr>
        <w:t> </w:t>
      </w:r>
      <w:r>
        <w:rPr>
          <w:spacing w:val="-65"/>
        </w:rPr>
      </w:r>
      <w:r>
        <w:rPr>
          <w:spacing w:val="-2"/>
        </w:rPr>
        <w:t>技有限公司</w:t>
      </w:r>
      <w:r>
        <w:rPr>
          <w:rFonts w:ascii="Times New Roman" w:hAnsi="Times New Roman" w:cs="Times New Roman" w:eastAsia="Times New Roman" w:hint="default"/>
          <w:spacing w:val="-2"/>
        </w:rPr>
        <w:t>5</w:t>
      </w:r>
      <w:r>
        <w:rPr>
          <w:spacing w:val="-2"/>
        </w:rPr>
        <w:t>家全资孙公司；有兴安盟威信、巴彦淖尔天力、通辽威远、商洛慧金、资阳市卓越人力资源服务有限公司</w:t>
      </w:r>
      <w:r>
        <w:rPr>
          <w:rFonts w:ascii="Times New Roman" w:hAnsi="Times New Roman" w:cs="Times New Roman" w:eastAsia="Times New Roman" w:hint="default"/>
          <w:spacing w:val="-2"/>
        </w:rPr>
        <w:t>5</w:t>
      </w:r>
      <w:r>
        <w:rPr>
          <w:spacing w:val="-2"/>
        </w:rPr>
        <w:t>家控</w:t>
      </w:r>
      <w:r>
        <w:rPr>
          <w:spacing w:val="-63"/>
        </w:rPr>
        <w:t> </w:t>
      </w:r>
      <w:r>
        <w:rPr/>
        <w:t>股孙公司；有广东安达、中山保安、湖北融信、资阳雁江农村合作银行</w:t>
      </w:r>
      <w:r>
        <w:rPr>
          <w:rFonts w:ascii="Times New Roman" w:hAnsi="Times New Roman" w:cs="Times New Roman" w:eastAsia="Times New Roman" w:hint="default"/>
        </w:rPr>
        <w:t>4</w:t>
      </w:r>
      <w:r>
        <w:rPr/>
        <w:t>家参股公司。</w:t>
      </w:r>
    </w:p>
    <w:p>
      <w:pPr>
        <w:pStyle w:val="BodyText"/>
        <w:spacing w:line="316" w:lineRule="auto" w:before="9"/>
        <w:ind w:left="515" w:right="226" w:hanging="3"/>
        <w:jc w:val="left"/>
      </w:pPr>
      <w:r>
        <w:rPr/>
        <w:t>除外，报告期内，广电安保投资公司下属部分子、孙公司进行了增资，具体如下： 内蒙古安保投资公司注册资本由</w:t>
      </w:r>
      <w:r>
        <w:rPr>
          <w:rFonts w:ascii="Times New Roman" w:hAnsi="Times New Roman" w:cs="Times New Roman" w:eastAsia="Times New Roman" w:hint="default"/>
        </w:rPr>
        <w:t>3,000</w:t>
      </w:r>
      <w:r>
        <w:rPr/>
        <w:t>万元变更为</w:t>
      </w:r>
      <w:r>
        <w:rPr>
          <w:rFonts w:ascii="Times New Roman" w:hAnsi="Times New Roman" w:cs="Times New Roman" w:eastAsia="Times New Roman" w:hint="default"/>
        </w:rPr>
        <w:t>6,000</w:t>
      </w:r>
      <w:r>
        <w:rPr/>
        <w:t>万元；益阳保安注册资本由</w:t>
      </w:r>
      <w:r>
        <w:rPr>
          <w:rFonts w:ascii="Times New Roman" w:hAnsi="Times New Roman" w:cs="Times New Roman" w:eastAsia="Times New Roman" w:hint="default"/>
        </w:rPr>
        <w:t>500</w:t>
      </w:r>
      <w:r>
        <w:rPr/>
        <w:t>万元变更为</w:t>
      </w:r>
      <w:r>
        <w:rPr>
          <w:rFonts w:ascii="Times New Roman" w:hAnsi="Times New Roman" w:cs="Times New Roman" w:eastAsia="Times New Roman" w:hint="default"/>
        </w:rPr>
        <w:t>1,000</w:t>
      </w:r>
      <w:r>
        <w:rPr/>
        <w:t>万元；邵阳保安</w:t>
      </w:r>
    </w:p>
    <w:p>
      <w:pPr>
        <w:pStyle w:val="BodyText"/>
        <w:spacing w:line="248" w:lineRule="exact"/>
        <w:ind w:right="87"/>
        <w:jc w:val="left"/>
      </w:pPr>
      <w:r>
        <w:rPr/>
        <w:t>注册资本由</w:t>
      </w:r>
      <w:r>
        <w:rPr>
          <w:rFonts w:ascii="Times New Roman" w:hAnsi="Times New Roman" w:cs="Times New Roman" w:eastAsia="Times New Roman" w:hint="default"/>
        </w:rPr>
        <w:t>1,000</w:t>
      </w:r>
      <w:r>
        <w:rPr/>
        <w:t>万元变更为</w:t>
      </w:r>
      <w:r>
        <w:rPr>
          <w:rFonts w:ascii="Times New Roman" w:hAnsi="Times New Roman" w:cs="Times New Roman" w:eastAsia="Times New Roman" w:hint="default"/>
        </w:rPr>
        <w:t>6,000</w:t>
      </w:r>
      <w:r>
        <w:rPr/>
        <w:t>万元。</w:t>
      </w:r>
    </w:p>
    <w:p>
      <w:pPr>
        <w:pStyle w:val="BodyText"/>
        <w:spacing w:line="300" w:lineRule="auto" w:before="63"/>
        <w:ind w:left="498" w:right="198" w:firstLine="14"/>
        <w:jc w:val="left"/>
      </w:pPr>
      <w:r>
        <w:rPr>
          <w:rFonts w:ascii="Times New Roman" w:hAnsi="Times New Roman" w:cs="Times New Roman" w:eastAsia="Times New Roman" w:hint="default"/>
        </w:rPr>
        <w:t>2</w:t>
      </w:r>
      <w:r>
        <w:rPr/>
        <w:t>、美电贝尔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日召开的第四届董事会第二十九次（临时）会议审议通过了《关于拟协议受让及认购定向发行股份</w:t>
      </w:r>
    </w:p>
    <w:p>
      <w:pPr>
        <w:pStyle w:val="BodyText"/>
        <w:spacing w:line="300" w:lineRule="auto" w:before="13"/>
        <w:ind w:right="93"/>
        <w:jc w:val="left"/>
      </w:pPr>
      <w:r>
        <w:rPr/>
        <w:t>投资持有广东美电贝尔科技集团股份有限公司</w:t>
      </w:r>
      <w:r>
        <w:rPr>
          <w:rFonts w:ascii="Times New Roman" w:hAnsi="Times New Roman" w:cs="Times New Roman" w:eastAsia="Times New Roman" w:hint="default"/>
        </w:rPr>
        <w:t>25%</w:t>
      </w:r>
      <w:r>
        <w:rPr/>
        <w:t>股权的议案》，同意公司以现金</w:t>
      </w:r>
      <w:r>
        <w:rPr>
          <w:rFonts w:ascii="Times New Roman" w:hAnsi="Times New Roman" w:cs="Times New Roman" w:eastAsia="Times New Roman" w:hint="default"/>
        </w:rPr>
        <w:t>47,999,170</w:t>
      </w:r>
      <w:r>
        <w:rPr/>
        <w:t>元受让美电贝尔实际控制人郑 孙满及其配偶王艳春持有的</w:t>
      </w:r>
      <w:r>
        <w:rPr>
          <w:rFonts w:ascii="Times New Roman" w:hAnsi="Times New Roman" w:cs="Times New Roman" w:eastAsia="Times New Roman" w:hint="default"/>
        </w:rPr>
        <w:t>10,510,000</w:t>
      </w:r>
      <w:r>
        <w:rPr/>
        <w:t>股美电贝尔股份（其中：受让郑孙满持有的</w:t>
      </w:r>
      <w:r>
        <w:rPr>
          <w:rFonts w:ascii="Times New Roman" w:hAnsi="Times New Roman" w:cs="Times New Roman" w:eastAsia="Times New Roman" w:hint="default"/>
        </w:rPr>
        <w:t>7,000,000</w:t>
      </w:r>
      <w:r>
        <w:rPr/>
        <w:t>股，受让王艳春持有的</w:t>
      </w:r>
      <w:r>
        <w:rPr>
          <w:rFonts w:ascii="Times New Roman" w:hAnsi="Times New Roman" w:cs="Times New Roman" w:eastAsia="Times New Roman" w:hint="default"/>
        </w:rPr>
        <w:t>3,510,000 </w:t>
      </w:r>
      <w:r>
        <w:rPr>
          <w:spacing w:val="-3"/>
        </w:rPr>
        <w:t>股），以现金</w:t>
      </w:r>
      <w:r>
        <w:rPr>
          <w:rFonts w:ascii="Times New Roman" w:hAnsi="Times New Roman" w:cs="Times New Roman" w:eastAsia="Times New Roman" w:hint="default"/>
          <w:spacing w:val="-3"/>
        </w:rPr>
        <w:t>15,999,722</w:t>
      </w:r>
      <w:r>
        <w:rPr>
          <w:spacing w:val="-3"/>
        </w:rPr>
        <w:t>元认购美电贝尔定向增发股份</w:t>
      </w:r>
      <w:r>
        <w:rPr>
          <w:rFonts w:ascii="Times New Roman" w:hAnsi="Times New Roman" w:cs="Times New Roman" w:eastAsia="Times New Roman" w:hint="default"/>
          <w:spacing w:val="-3"/>
        </w:rPr>
        <w:t>3,503,333</w:t>
      </w:r>
      <w:r>
        <w:rPr>
          <w:spacing w:val="-3"/>
        </w:rPr>
        <w:t>股，即总计使用自有资金</w:t>
      </w:r>
      <w:r>
        <w:rPr>
          <w:rFonts w:ascii="Times New Roman" w:hAnsi="Times New Roman" w:cs="Times New Roman" w:eastAsia="Times New Roman" w:hint="default"/>
          <w:spacing w:val="-3"/>
        </w:rPr>
        <w:t>63,998,892</w:t>
      </w:r>
      <w:r>
        <w:rPr>
          <w:spacing w:val="-3"/>
        </w:rPr>
        <w:t>元获得美电贝尔</w:t>
      </w:r>
      <w:r>
        <w:rPr>
          <w:rFonts w:ascii="Times New Roman" w:hAnsi="Times New Roman" w:cs="Times New Roman" w:eastAsia="Times New Roman" w:hint="default"/>
          <w:spacing w:val="-3"/>
        </w:rPr>
        <w:t>14,013,333</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
        </w:rPr>
        <w:t>股股份，切入大安防行业。交易完成后，公司持有美电贝尔</w:t>
      </w:r>
      <w:r>
        <w:rPr>
          <w:rFonts w:ascii="Times New Roman" w:hAnsi="Times New Roman" w:cs="Times New Roman" w:eastAsia="Times New Roman" w:hint="default"/>
          <w:spacing w:val="-1"/>
        </w:rPr>
        <w:t>25%</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日，公司受让美电贝尔股份事项完成；</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日，公司认购的美电贝尔新发行股票在股转系统挂牌并公开转让，新增股份为无限售流通股。（具体内容详见 刊登在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日《证券时报》及巨潮资讯网</w:t>
      </w:r>
      <w:r>
        <w:rPr>
          <w:spacing w:val="-11"/>
        </w:rPr>
        <w:t> </w:t>
      </w:r>
      <w:hyperlink r:id="rId11">
        <w:r>
          <w:rPr>
            <w:rFonts w:ascii="Times New Roman" w:hAnsi="Times New Roman" w:cs="Times New Roman" w:eastAsia="Times New Roman" w:hint="default"/>
          </w:rPr>
          <w:t>www.cninfo.com.cn</w:t>
        </w:r>
        <w:r>
          <w:rPr/>
          <w:t>上的相关公告）</w:t>
        </w:r>
      </w:hyperlink>
    </w:p>
    <w:p>
      <w:pPr>
        <w:pStyle w:val="BodyText"/>
        <w:spacing w:line="300" w:lineRule="auto" w:before="13"/>
        <w:ind w:left="498" w:right="198"/>
        <w:jc w:val="left"/>
      </w:pPr>
      <w:r>
        <w:rPr>
          <w:rFonts w:ascii="Times New Roman" w:hAnsi="Times New Roman" w:cs="Times New Roman" w:eastAsia="Times New Roman" w:hint="default"/>
        </w:rPr>
        <w:t>3</w:t>
      </w:r>
      <w:r>
        <w:rPr/>
        <w:t>、运通信息 运通信息于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月与广东微模式软件股份有限公司、广州沃态信息科技合伙企业（有限合伙）共同投资设立广州广</w:t>
      </w:r>
    </w:p>
    <w:p>
      <w:pPr>
        <w:pStyle w:val="BodyText"/>
        <w:spacing w:line="300" w:lineRule="auto" w:before="13"/>
        <w:ind w:right="189"/>
        <w:jc w:val="both"/>
      </w:pPr>
      <w:r>
        <w:rPr>
          <w:spacing w:val="-1"/>
        </w:rPr>
        <w:t>电卓识智能科技有限公司，切入生物识别原创技术和数据安全领域。广电卓识注册资本</w:t>
      </w:r>
      <w:r>
        <w:rPr>
          <w:rFonts w:ascii="Times New Roman" w:hAnsi="Times New Roman" w:cs="Times New Roman" w:eastAsia="Times New Roman" w:hint="default"/>
          <w:spacing w:val="-1"/>
        </w:rPr>
        <w:t>1,000</w:t>
      </w:r>
      <w:r>
        <w:rPr>
          <w:spacing w:val="-1"/>
        </w:rPr>
        <w:t>万元，其中运通信息出资</w:t>
      </w:r>
      <w:r>
        <w:rPr>
          <w:rFonts w:ascii="Times New Roman" w:hAnsi="Times New Roman" w:cs="Times New Roman" w:eastAsia="Times New Roman" w:hint="default"/>
          <w:spacing w:val="-1"/>
        </w:rPr>
        <w:t>667</w:t>
      </w:r>
      <w:r>
        <w:rPr>
          <w:spacing w:val="-1"/>
        </w:rPr>
        <w:t>万</w:t>
      </w:r>
      <w:r>
        <w:rPr>
          <w:spacing w:val="-74"/>
        </w:rPr>
        <w:t> </w:t>
      </w:r>
      <w:r>
        <w:rPr>
          <w:spacing w:val="-1"/>
        </w:rPr>
        <w:t>元，持有</w:t>
      </w:r>
      <w:r>
        <w:rPr>
          <w:rFonts w:ascii="Times New Roman" w:hAnsi="Times New Roman" w:cs="Times New Roman" w:eastAsia="Times New Roman" w:hint="default"/>
          <w:spacing w:val="-1"/>
        </w:rPr>
        <w:t>66.70%</w:t>
      </w:r>
      <w:r>
        <w:rPr>
          <w:spacing w:val="-1"/>
        </w:rPr>
        <w:t>股权；广东微模式软件股份有限公司出资</w:t>
      </w:r>
      <w:r>
        <w:rPr>
          <w:rFonts w:ascii="Times New Roman" w:hAnsi="Times New Roman" w:cs="Times New Roman" w:eastAsia="Times New Roman" w:hint="default"/>
          <w:spacing w:val="-1"/>
        </w:rPr>
        <w:t>111</w:t>
      </w:r>
      <w:r>
        <w:rPr>
          <w:spacing w:val="-1"/>
        </w:rPr>
        <w:t>万元，持有</w:t>
      </w:r>
      <w:r>
        <w:rPr>
          <w:rFonts w:ascii="Times New Roman" w:hAnsi="Times New Roman" w:cs="Times New Roman" w:eastAsia="Times New Roman" w:hint="default"/>
          <w:spacing w:val="-1"/>
        </w:rPr>
        <w:t>11.10%</w:t>
      </w:r>
      <w:r>
        <w:rPr>
          <w:spacing w:val="-1"/>
        </w:rPr>
        <w:t>股权；广州沃态信息科技合伙企业（有限合</w:t>
      </w:r>
      <w:r>
        <w:rPr>
          <w:spacing w:val="-52"/>
        </w:rPr>
        <w:t> </w:t>
      </w:r>
      <w:r>
        <w:rPr>
          <w:spacing w:val="-52"/>
        </w:rPr>
      </w:r>
      <w:r>
        <w:rPr/>
        <w:t>伙）出资</w:t>
      </w:r>
      <w:r>
        <w:rPr>
          <w:rFonts w:ascii="Times New Roman" w:hAnsi="Times New Roman" w:cs="Times New Roman" w:eastAsia="Times New Roman" w:hint="default"/>
        </w:rPr>
        <w:t>222</w:t>
      </w:r>
      <w:r>
        <w:rPr/>
        <w:t>万元，持有</w:t>
      </w:r>
      <w:r>
        <w:rPr>
          <w:rFonts w:ascii="Times New Roman" w:hAnsi="Times New Roman" w:cs="Times New Roman" w:eastAsia="Times New Roman" w:hint="default"/>
        </w:rPr>
        <w:t>22.20%</w:t>
      </w:r>
      <w:r>
        <w:rPr/>
        <w:t>股权。</w:t>
      </w:r>
    </w:p>
    <w:p>
      <w:pPr>
        <w:pStyle w:val="BodyText"/>
        <w:spacing w:line="300" w:lineRule="auto" w:before="13"/>
        <w:ind w:left="498" w:right="198"/>
        <w:jc w:val="left"/>
      </w:pPr>
      <w:r>
        <w:rPr>
          <w:rFonts w:ascii="Times New Roman" w:hAnsi="Times New Roman" w:cs="Times New Roman" w:eastAsia="Times New Roman" w:hint="default"/>
        </w:rPr>
        <w:t>4</w:t>
      </w:r>
      <w:r>
        <w:rPr/>
        <w:t>、广电计量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日召开的第四届董事会第三十一次（临时）会议审议通过了《关于对参股子公司广电计量会计核算</w:t>
      </w:r>
    </w:p>
    <w:p>
      <w:pPr>
        <w:spacing w:after="0" w:line="300" w:lineRule="auto"/>
        <w:jc w:val="left"/>
        <w:sectPr>
          <w:pgSz w:w="11910" w:h="16840"/>
          <w:pgMar w:header="880" w:footer="979" w:top="1100" w:bottom="1160" w:left="980" w:right="940"/>
        </w:sectPr>
      </w:pPr>
    </w:p>
    <w:p>
      <w:pPr>
        <w:spacing w:line="240" w:lineRule="auto" w:before="0"/>
        <w:rPr>
          <w:rFonts w:ascii="宋体" w:hAnsi="宋体" w:cs="宋体" w:eastAsia="宋体" w:hint="default"/>
          <w:sz w:val="22"/>
          <w:szCs w:val="22"/>
        </w:rPr>
      </w:pPr>
    </w:p>
    <w:p>
      <w:pPr>
        <w:pStyle w:val="BodyText"/>
        <w:spacing w:line="316" w:lineRule="auto" w:before="44"/>
        <w:ind w:right="0"/>
        <w:jc w:val="left"/>
      </w:pPr>
      <w:r>
        <w:rPr>
          <w:spacing w:val="-2"/>
        </w:rPr>
        <w:t>方法变更的议案》，同意对广电计量的会计核算方法由可供出售金融资产变更为长期股权投资，并以权益法确认损益。（具</w:t>
      </w:r>
      <w:r>
        <w:rPr>
          <w:spacing w:val="-65"/>
        </w:rPr>
        <w:t> </w:t>
      </w:r>
      <w:r>
        <w:rPr>
          <w:spacing w:val="-65"/>
        </w:rPr>
      </w:r>
      <w:r>
        <w:rPr/>
        <w:t>体内容详见刊登在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日《证券时报》及巨潮资讯网</w:t>
      </w:r>
      <w:r>
        <w:rPr>
          <w:spacing w:val="-8"/>
        </w:rPr>
        <w:t> </w:t>
      </w:r>
      <w:hyperlink r:id="rId11">
        <w:r>
          <w:rPr>
            <w:rFonts w:ascii="Times New Roman" w:hAnsi="Times New Roman" w:cs="Times New Roman" w:eastAsia="Times New Roman" w:hint="default"/>
          </w:rPr>
          <w:t>www.cninfo.com.cn</w:t>
        </w:r>
        <w:r>
          <w:rPr/>
          <w:t>上的相关公告</w:t>
        </w:r>
      </w:hyperlink>
      <w:r>
        <w:rPr/>
        <w:t>）</w:t>
      </w:r>
    </w:p>
    <w:p>
      <w:pPr>
        <w:pStyle w:val="BodyText"/>
        <w:spacing w:line="248" w:lineRule="exact"/>
        <w:ind w:left="498" w:right="0"/>
        <w:jc w:val="left"/>
      </w:pPr>
      <w:r>
        <w:rPr>
          <w:rFonts w:ascii="Times New Roman" w:hAnsi="Times New Roman" w:cs="Times New Roman" w:eastAsia="Times New Roman" w:hint="default"/>
        </w:rPr>
        <w:t>5</w:t>
      </w:r>
      <w:r>
        <w:rPr/>
        <w:t>、支点投资</w:t>
      </w:r>
    </w:p>
    <w:p>
      <w:pPr>
        <w:pStyle w:val="BodyText"/>
        <w:spacing w:line="240" w:lineRule="auto" w:before="103"/>
        <w:ind w:left="498" w:right="0"/>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8 </w:t>
      </w:r>
      <w:r>
        <w:rPr/>
        <w:t>月，支点投资下属参股公司国信运通发起设立了珠海国信运通基金，国信运通作为普通合伙人认缴出资</w:t>
      </w:r>
      <w:r>
        <w:rPr>
          <w:spacing w:val="20"/>
        </w:rPr>
        <w:t> </w:t>
      </w:r>
      <w:r>
        <w:rPr>
          <w:rFonts w:ascii="Times New Roman" w:hAnsi="Times New Roman" w:cs="Times New Roman" w:eastAsia="Times New Roman" w:hint="default"/>
        </w:rPr>
        <w:t>500</w:t>
      </w:r>
    </w:p>
    <w:p>
      <w:pPr>
        <w:pStyle w:val="BodyText"/>
        <w:spacing w:line="338" w:lineRule="auto" w:before="63"/>
        <w:ind w:left="498" w:right="1526" w:hanging="347"/>
        <w:jc w:val="left"/>
      </w:pPr>
      <w:r>
        <w:rPr/>
        <w:t>万元，占比</w:t>
      </w:r>
      <w:r>
        <w:rPr>
          <w:spacing w:val="-45"/>
        </w:rPr>
        <w:t> </w:t>
      </w:r>
      <w:r>
        <w:rPr>
          <w:rFonts w:ascii="Times New Roman" w:hAnsi="Times New Roman" w:cs="Times New Roman" w:eastAsia="Times New Roman" w:hint="default"/>
        </w:rPr>
        <w:t>2.44%</w:t>
      </w:r>
      <w:r>
        <w:rPr/>
        <w:t>，公司和国信弘盛创业投资有限公司作为有限合伙人，各认缴</w:t>
      </w:r>
      <w:r>
        <w:rPr>
          <w:spacing w:val="-45"/>
        </w:rPr>
        <w:t> </w:t>
      </w:r>
      <w:r>
        <w:rPr>
          <w:rFonts w:ascii="Times New Roman" w:hAnsi="Times New Roman" w:cs="Times New Roman" w:eastAsia="Times New Roman" w:hint="default"/>
        </w:rPr>
        <w:t>1 </w:t>
      </w:r>
      <w:r>
        <w:rPr/>
        <w:t>亿元，各占比</w:t>
      </w:r>
      <w:r>
        <w:rPr>
          <w:spacing w:val="-46"/>
        </w:rPr>
        <w:t> </w:t>
      </w:r>
      <w:r>
        <w:rPr>
          <w:rFonts w:ascii="Times New Roman" w:hAnsi="Times New Roman" w:cs="Times New Roman" w:eastAsia="Times New Roman" w:hint="default"/>
        </w:rPr>
        <w:t>48.78%</w:t>
      </w:r>
      <w:r>
        <w:rPr/>
        <w:t>。 截至目前，珠海国信运通基金共完成</w:t>
      </w:r>
      <w:r>
        <w:rPr>
          <w:spacing w:val="-45"/>
        </w:rPr>
        <w:t> </w:t>
      </w:r>
      <w:r>
        <w:rPr>
          <w:rFonts w:ascii="Times New Roman" w:hAnsi="Times New Roman" w:cs="Times New Roman" w:eastAsia="Times New Roman" w:hint="default"/>
        </w:rPr>
        <w:t>2 </w:t>
      </w:r>
      <w:r>
        <w:rPr/>
        <w:t>项投资，其中</w:t>
      </w:r>
      <w:r>
        <w:rPr>
          <w:spacing w:val="-48"/>
        </w:rPr>
        <w:t> </w:t>
      </w:r>
      <w:r>
        <w:rPr>
          <w:rFonts w:ascii="Times New Roman" w:hAnsi="Times New Roman" w:cs="Times New Roman" w:eastAsia="Times New Roman" w:hint="default"/>
        </w:rPr>
        <w:t>1 </w:t>
      </w:r>
      <w:r>
        <w:rPr/>
        <w:t>项投资实现退出，具体如下：</w:t>
      </w:r>
    </w:p>
    <w:p>
      <w:pPr>
        <w:pStyle w:val="BodyText"/>
        <w:spacing w:line="300" w:lineRule="auto" w:before="22"/>
        <w:ind w:right="210" w:firstLine="346"/>
        <w:jc w:val="both"/>
      </w:pPr>
      <w:r>
        <w:rPr/>
        <w:t>①</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月，珠海国信运通基金完成对北京沐融信息科技有限公司的投资（估值</w:t>
      </w:r>
      <w:r>
        <w:rPr>
          <w:spacing w:val="-51"/>
        </w:rPr>
        <w:t> </w:t>
      </w:r>
      <w:r>
        <w:rPr>
          <w:rFonts w:ascii="Times New Roman" w:hAnsi="Times New Roman" w:cs="Times New Roman" w:eastAsia="Times New Roman" w:hint="default"/>
        </w:rPr>
        <w:t>31,595.74</w:t>
      </w:r>
      <w:r>
        <w:rPr>
          <w:rFonts w:ascii="Times New Roman" w:hAnsi="Times New Roman" w:cs="Times New Roman" w:eastAsia="Times New Roman" w:hint="default"/>
          <w:spacing w:val="-5"/>
        </w:rPr>
        <w:t> </w:t>
      </w:r>
      <w:r>
        <w:rPr>
          <w:spacing w:val="-5"/>
        </w:rPr>
        <w:t>万元），投资额</w:t>
      </w:r>
      <w:r>
        <w:rPr>
          <w:spacing w:val="-54"/>
        </w:rPr>
        <w:t> </w:t>
      </w:r>
      <w:r>
        <w:rPr>
          <w:rFonts w:ascii="Times New Roman" w:hAnsi="Times New Roman" w:cs="Times New Roman" w:eastAsia="Times New Roman" w:hint="default"/>
        </w:rPr>
        <w:t>2,106.38 </w:t>
      </w:r>
      <w:r>
        <w:rPr>
          <w:spacing w:val="-1"/>
        </w:rPr>
        <w:t>万元，占其增资后注册资本的</w:t>
      </w:r>
      <w:r>
        <w:rPr>
          <w:spacing w:val="-16"/>
        </w:rPr>
        <w:t> </w:t>
      </w:r>
      <w:r>
        <w:rPr>
          <w:rFonts w:ascii="Times New Roman" w:hAnsi="Times New Roman" w:cs="Times New Roman" w:eastAsia="Times New Roman" w:hint="default"/>
          <w:spacing w:val="-2"/>
        </w:rPr>
        <w:t>6.67%</w:t>
      </w:r>
      <w:r>
        <w:rPr>
          <w:spacing w:val="-2"/>
        </w:rPr>
        <w:t>，该公司专注于为银行、保险、基金、证券及各类互联网金融行业客户提供应用软件产</w:t>
      </w:r>
      <w:r>
        <w:rPr>
          <w:spacing w:val="-79"/>
        </w:rPr>
        <w:t> </w:t>
      </w:r>
      <w:r>
        <w:rPr>
          <w:spacing w:val="-79"/>
        </w:rPr>
      </w:r>
      <w:r>
        <w:rPr/>
        <w:t>品、软件开发及业务咨询服务，是国内领先的金融软件产品和技术服务提供商。</w:t>
      </w:r>
    </w:p>
    <w:p>
      <w:pPr>
        <w:pStyle w:val="BodyText"/>
        <w:spacing w:line="304" w:lineRule="auto" w:before="72"/>
        <w:ind w:right="209" w:firstLine="346"/>
        <w:jc w:val="both"/>
      </w:pPr>
      <w:r>
        <w:rPr/>
        <w:t>②</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月，珠海国信运通基金完成对北京量科邦信息技术有限公司的投资（估值</w:t>
      </w:r>
      <w:r>
        <w:rPr>
          <w:spacing w:val="-49"/>
        </w:rPr>
        <w:t> </w:t>
      </w:r>
      <w:r>
        <w:rPr>
          <w:rFonts w:ascii="Times New Roman" w:hAnsi="Times New Roman" w:cs="Times New Roman" w:eastAsia="Times New Roman" w:hint="default"/>
        </w:rPr>
        <w:t>335,355.71</w:t>
      </w:r>
      <w:r>
        <w:rPr>
          <w:rFonts w:ascii="Times New Roman" w:hAnsi="Times New Roman" w:cs="Times New Roman" w:eastAsia="Times New Roman" w:hint="default"/>
          <w:spacing w:val="-3"/>
        </w:rPr>
        <w:t> </w:t>
      </w:r>
      <w:r>
        <w:rPr/>
        <w:t>万元），投资额</w:t>
      </w:r>
      <w:r>
        <w:rPr>
          <w:spacing w:val="-52"/>
        </w:rPr>
        <w:t> </w:t>
      </w:r>
      <w:r>
        <w:rPr>
          <w:rFonts w:ascii="Times New Roman" w:hAnsi="Times New Roman" w:cs="Times New Roman" w:eastAsia="Times New Roman" w:hint="default"/>
        </w:rPr>
        <w:t>4,000 </w:t>
      </w:r>
      <w:r>
        <w:rPr>
          <w:spacing w:val="-2"/>
        </w:rPr>
        <w:t>万元，占其增资后注册资本的</w:t>
      </w:r>
      <w:r>
        <w:rPr>
          <w:spacing w:val="-31"/>
        </w:rPr>
        <w:t> </w:t>
      </w:r>
      <w:r>
        <w:rPr>
          <w:rFonts w:ascii="Times New Roman" w:hAnsi="Times New Roman" w:cs="Times New Roman" w:eastAsia="Times New Roman" w:hint="default"/>
          <w:spacing w:val="-1"/>
        </w:rPr>
        <w:t>1.1928%</w:t>
      </w:r>
      <w:r>
        <w:rPr>
          <w:spacing w:val="-1"/>
        </w:rPr>
        <w:t>，该公司围绕消费场景提供基于大数据的风险定价服务，是一个嫁接在用户和金融机</w:t>
      </w:r>
      <w:r>
        <w:rPr>
          <w:spacing w:val="-87"/>
        </w:rPr>
        <w:t> </w:t>
      </w:r>
      <w:r>
        <w:rPr>
          <w:spacing w:val="-87"/>
        </w:rPr>
      </w:r>
      <w:r>
        <w:rPr/>
        <w:t>构之间的科技金融公司，目前主要提供小额现金贷业务和消费白条业务两类业务。</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月，因北京量科邦信息技术有 </w:t>
      </w:r>
      <w:r>
        <w:rPr>
          <w:spacing w:val="-2"/>
        </w:rPr>
        <w:t>限公司拟在境外上市，而珠海国信运通基金在境外没有相应的持股主体，珠海国信运通基金将持有的北京量科邦信息技术有</w:t>
      </w:r>
      <w:r>
        <w:rPr>
          <w:spacing w:val="-63"/>
        </w:rPr>
        <w:t> </w:t>
      </w:r>
      <w:r>
        <w:rPr>
          <w:spacing w:val="-63"/>
        </w:rPr>
      </w:r>
      <w:r>
        <w:rPr/>
        <w:t>限公司的</w:t>
      </w:r>
      <w:r>
        <w:rPr>
          <w:spacing w:val="-46"/>
        </w:rPr>
        <w:t> </w:t>
      </w:r>
      <w:r>
        <w:rPr>
          <w:rFonts w:ascii="Times New Roman" w:hAnsi="Times New Roman" w:cs="Times New Roman" w:eastAsia="Times New Roman" w:hint="default"/>
        </w:rPr>
        <w:t>1.1928%</w:t>
      </w:r>
      <w:r>
        <w:rPr/>
        <w:t>股权转让给北京量科邦信息技术有限公司的大股东实现退出。</w:t>
      </w:r>
    </w:p>
    <w:p>
      <w:pPr>
        <w:pStyle w:val="BodyText"/>
        <w:spacing w:line="240" w:lineRule="auto" w:before="47"/>
        <w:ind w:left="498" w:right="0"/>
        <w:jc w:val="left"/>
      </w:pPr>
      <w:r>
        <w:rPr>
          <w:rFonts w:ascii="Times New Roman" w:hAnsi="Times New Roman" w:cs="Times New Roman" w:eastAsia="Times New Roman" w:hint="default"/>
        </w:rPr>
        <w:t>6</w:t>
      </w:r>
      <w:r>
        <w:rPr/>
        <w:t>、广电汇通</w:t>
      </w:r>
    </w:p>
    <w:p>
      <w:pPr>
        <w:pStyle w:val="BodyText"/>
        <w:spacing w:line="240" w:lineRule="auto" w:before="103"/>
        <w:ind w:left="498" w:right="0"/>
        <w:jc w:val="left"/>
      </w:pPr>
      <w:r>
        <w:rPr/>
        <w:t>广电汇通于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月以 </w:t>
      </w:r>
      <w:r>
        <w:rPr>
          <w:rFonts w:ascii="Times New Roman" w:hAnsi="Times New Roman" w:cs="Times New Roman" w:eastAsia="Times New Roman" w:hint="default"/>
        </w:rPr>
        <w:t>175 </w:t>
      </w:r>
      <w:r>
        <w:rPr>
          <w:rFonts w:ascii="Times New Roman" w:hAnsi="Times New Roman" w:cs="Times New Roman" w:eastAsia="Times New Roman" w:hint="default"/>
          <w:spacing w:val="18"/>
        </w:rPr>
        <w:t> </w:t>
      </w:r>
      <w:r>
        <w:rPr/>
        <w:t>万元参与广州辉远增资扩股，切入云计算行业。交易完成后，广州辉远注册资本变为</w:t>
      </w:r>
    </w:p>
    <w:p>
      <w:pPr>
        <w:pStyle w:val="BodyText"/>
        <w:spacing w:line="300" w:lineRule="auto" w:before="63"/>
        <w:ind w:right="210"/>
        <w:jc w:val="both"/>
      </w:pPr>
      <w:r>
        <w:rPr>
          <w:rFonts w:ascii="Times New Roman" w:hAnsi="Times New Roman" w:cs="Times New Roman" w:eastAsia="Times New Roman" w:hint="default"/>
        </w:rPr>
        <w:t>360.1428</w:t>
      </w:r>
      <w:r>
        <w:rPr>
          <w:rFonts w:ascii="Times New Roman" w:hAnsi="Times New Roman" w:cs="Times New Roman" w:eastAsia="Times New Roman" w:hint="default"/>
          <w:spacing w:val="2"/>
        </w:rPr>
        <w:t> </w:t>
      </w:r>
      <w:r>
        <w:rPr/>
        <w:t>万元，其中广电汇通持有</w:t>
      </w:r>
      <w:r>
        <w:rPr>
          <w:spacing w:val="-45"/>
        </w:rPr>
        <w:t> </w:t>
      </w:r>
      <w:r>
        <w:rPr>
          <w:rFonts w:ascii="Times New Roman" w:hAnsi="Times New Roman" w:cs="Times New Roman" w:eastAsia="Times New Roman" w:hint="default"/>
        </w:rPr>
        <w:t>35%</w:t>
      </w:r>
      <w:r>
        <w:rPr/>
        <w:t>股权，广州云太信息科技合伙企业（有限合伙）持有</w:t>
      </w:r>
      <w:r>
        <w:rPr>
          <w:spacing w:val="-45"/>
        </w:rPr>
        <w:t> </w:t>
      </w:r>
      <w:r>
        <w:rPr>
          <w:rFonts w:ascii="Times New Roman" w:hAnsi="Times New Roman" w:cs="Times New Roman" w:eastAsia="Times New Roman" w:hint="default"/>
        </w:rPr>
        <w:t>16%</w:t>
      </w:r>
      <w:r>
        <w:rPr/>
        <w:t>股权，章国锋持有</w:t>
      </w:r>
      <w:r>
        <w:rPr>
          <w:spacing w:val="-47"/>
        </w:rPr>
        <w:t> </w:t>
      </w:r>
      <w:r>
        <w:rPr>
          <w:rFonts w:ascii="Times New Roman" w:hAnsi="Times New Roman" w:cs="Times New Roman" w:eastAsia="Times New Roman" w:hint="default"/>
        </w:rPr>
        <w:t>33.50% </w:t>
      </w:r>
      <w:r>
        <w:rPr/>
        <w:t>股权，广州凯得金融控股股份有限公司持有</w:t>
      </w:r>
      <w:r>
        <w:rPr>
          <w:spacing w:val="-62"/>
        </w:rPr>
        <w:t> </w:t>
      </w:r>
      <w:r>
        <w:rPr>
          <w:rFonts w:ascii="Times New Roman" w:hAnsi="Times New Roman" w:cs="Times New Roman" w:eastAsia="Times New Roman" w:hint="default"/>
        </w:rPr>
        <w:t>5.50%</w:t>
      </w:r>
      <w:r>
        <w:rPr/>
        <w:t>股权，广州达晨投资合伙企业（有限合伙）持有</w:t>
      </w:r>
      <w:r>
        <w:rPr>
          <w:spacing w:val="-62"/>
        </w:rPr>
        <w:t> </w:t>
      </w:r>
      <w:r>
        <w:rPr>
          <w:rFonts w:ascii="Times New Roman" w:hAnsi="Times New Roman" w:cs="Times New Roman" w:eastAsia="Times New Roman" w:hint="default"/>
          <w:spacing w:val="-3"/>
        </w:rPr>
        <w:t>10%</w:t>
      </w:r>
      <w:r>
        <w:rPr>
          <w:spacing w:val="-3"/>
        </w:rPr>
        <w:t>股权。截至目前，广</w:t>
      </w:r>
      <w:r>
        <w:rPr/>
        <w:t> 州辉远已完成工商变更登记。</w:t>
      </w:r>
    </w:p>
    <w:p>
      <w:pPr>
        <w:pStyle w:val="BodyText"/>
        <w:spacing w:line="240" w:lineRule="auto" w:before="72"/>
        <w:ind w:left="498" w:right="0"/>
        <w:jc w:val="left"/>
      </w:pPr>
      <w:r>
        <w:rPr>
          <w:rFonts w:ascii="Times New Roman" w:hAnsi="Times New Roman" w:cs="Times New Roman" w:eastAsia="Times New Roman" w:hint="default"/>
        </w:rPr>
        <w:t>7</w:t>
      </w:r>
      <w:r>
        <w:rPr/>
        <w:t>、北京广电科技</w:t>
      </w:r>
    </w:p>
    <w:p>
      <w:pPr>
        <w:pStyle w:val="BodyText"/>
        <w:spacing w:line="240" w:lineRule="auto" w:before="101"/>
        <w:ind w:left="498" w:right="0"/>
        <w:jc w:val="left"/>
      </w:pP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月，因经营管理需要，公司决定注销全资子公司北京广电运通科技有限公司，截止目前，注销尚未完成。</w:t>
      </w:r>
    </w:p>
    <w:p>
      <w:pPr>
        <w:pStyle w:val="BodyText"/>
        <w:spacing w:line="240" w:lineRule="auto" w:before="103"/>
        <w:ind w:left="498" w:right="0"/>
        <w:jc w:val="left"/>
      </w:pPr>
      <w:r>
        <w:rPr>
          <w:rFonts w:ascii="Times New Roman" w:hAnsi="Times New Roman" w:cs="Times New Roman" w:eastAsia="Times New Roman" w:hint="default"/>
        </w:rPr>
        <w:t>8</w:t>
      </w:r>
      <w:r>
        <w:rPr/>
        <w:t>、运通智能</w:t>
      </w:r>
    </w:p>
    <w:p>
      <w:pPr>
        <w:pStyle w:val="BodyText"/>
        <w:spacing w:line="240" w:lineRule="auto" w:before="103"/>
        <w:ind w:left="498" w:right="0"/>
        <w:jc w:val="left"/>
      </w:pPr>
      <w:r>
        <w:rPr>
          <w:spacing w:val="-3"/>
        </w:rPr>
        <w:t>因经营需要，运通智能于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3"/>
        </w:rPr>
        <w:t>月召开董事会审议通过了《关于公司增资的方案》，决定增加注册资本</w:t>
      </w:r>
      <w:r>
        <w:rPr>
          <w:spacing w:val="-4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w:t>
      </w:r>
    </w:p>
    <w:p>
      <w:pPr>
        <w:pStyle w:val="BodyText"/>
        <w:spacing w:line="240" w:lineRule="auto" w:before="63"/>
        <w:ind w:right="0"/>
        <w:jc w:val="left"/>
      </w:pP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月，运通智能完成工商变更，其注册资本由</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万元变更为</w:t>
      </w:r>
      <w:r>
        <w:rPr>
          <w:spacing w:val="-46"/>
        </w:rPr>
        <w:t> </w:t>
      </w:r>
      <w:r>
        <w:rPr>
          <w:rFonts w:ascii="Times New Roman" w:hAnsi="Times New Roman" w:cs="Times New Roman" w:eastAsia="Times New Roman" w:hint="default"/>
        </w:rPr>
        <w:t>8,000 </w:t>
      </w:r>
      <w:r>
        <w:rPr/>
        <w:t>万元。</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04" w:right="0"/>
        <w:jc w:val="left"/>
      </w:pPr>
      <w:r>
        <w:rPr>
          <w:rFonts w:ascii="Times New Roman" w:hAnsi="Times New Roman" w:cs="Times New Roman" w:eastAsia="Times New Roman" w:hint="default"/>
        </w:rPr>
        <w:t>1</w:t>
      </w:r>
      <w:r>
        <w:rPr/>
        <w:t>、行业发展趋势及市场竞争格局</w:t>
      </w:r>
    </w:p>
    <w:p>
      <w:pPr>
        <w:pStyle w:val="BodyText"/>
        <w:spacing w:line="240" w:lineRule="auto" w:before="101"/>
        <w:ind w:left="604" w:right="0"/>
        <w:jc w:val="left"/>
      </w:pPr>
      <w:r>
        <w:rPr/>
        <w:t>（</w:t>
      </w:r>
      <w:r>
        <w:rPr>
          <w:rFonts w:ascii="Times New Roman" w:hAnsi="Times New Roman" w:cs="Times New Roman" w:eastAsia="Times New Roman" w:hint="default"/>
        </w:rPr>
        <w:t>1</w:t>
      </w:r>
      <w:r>
        <w:rPr/>
        <w:t>）行业发展趋势</w:t>
      </w:r>
    </w:p>
    <w:p>
      <w:pPr>
        <w:pStyle w:val="BodyText"/>
        <w:spacing w:line="360" w:lineRule="auto" w:before="103"/>
        <w:ind w:left="513" w:right="0"/>
        <w:jc w:val="left"/>
      </w:pPr>
      <w:r>
        <w:rPr/>
        <w:t>①智慧金融市场发展趋势 </w:t>
      </w:r>
      <w:r>
        <w:rPr>
          <w:spacing w:val="-2"/>
        </w:rPr>
        <w:t>根据中国人民银行印发的《中国金融业信息技术“十三五”发展规划》，“十三五”期间，我国金融业信息技术既面临</w:t>
      </w:r>
    </w:p>
    <w:p>
      <w:pPr>
        <w:pStyle w:val="BodyText"/>
        <w:spacing w:line="222" w:lineRule="exact"/>
        <w:ind w:right="0"/>
        <w:jc w:val="left"/>
      </w:pPr>
      <w:r>
        <w:rPr/>
        <w:t>经济金融进一步深化改革以及复杂风险防控和网络安全形势的挑战，又存在金融与信息技术融合加速创新发展的机遇。信息</w:t>
      </w:r>
    </w:p>
    <w:p>
      <w:pPr>
        <w:pStyle w:val="BodyText"/>
        <w:spacing w:line="314" w:lineRule="auto" w:before="76"/>
        <w:ind w:right="114"/>
        <w:jc w:val="left"/>
      </w:pPr>
      <w:r>
        <w:rPr>
          <w:spacing w:val="-2"/>
        </w:rPr>
        <w:t>技术与金融业务深度融合已成为必然趋势。云计算、大数据、移动互联、物联网、生物识别、人工智能、区块链等新技术在</w:t>
      </w:r>
      <w:r>
        <w:rPr>
          <w:spacing w:val="-73"/>
        </w:rPr>
        <w:t> </w:t>
      </w:r>
      <w:r>
        <w:rPr>
          <w:spacing w:val="-73"/>
        </w:rPr>
      </w:r>
      <w:r>
        <w:rPr>
          <w:spacing w:val="-2"/>
        </w:rPr>
        <w:t>金融领域的探索与应用，网络借贷、网络众筹、第三方支付等互联网金融新模式不断涌现，金融机构经营模式和服务模式正</w:t>
      </w:r>
      <w:r>
        <w:rPr>
          <w:spacing w:val="-64"/>
        </w:rPr>
        <w:t> </w:t>
      </w:r>
      <w:r>
        <w:rPr>
          <w:spacing w:val="-64"/>
        </w:rPr>
      </w:r>
      <w:r>
        <w:rPr>
          <w:spacing w:val="-2"/>
        </w:rPr>
        <w:t>发生深刻变革。在互联网时代背景下，金融机构可以充分利用先进技术，推动创新发展，不断优化业务流程和服务手段，推</w:t>
      </w:r>
      <w:r>
        <w:rPr>
          <w:spacing w:val="-67"/>
        </w:rPr>
        <w:t> </w:t>
      </w:r>
      <w:r>
        <w:rPr>
          <w:spacing w:val="-67"/>
        </w:rPr>
      </w:r>
      <w:r>
        <w:rPr/>
        <w:t>进技术架构转型升级。按照金融业信息技术“十三五”发展规划目标，“十三五”期间，中国人民银行将推动新技术应用， 促进金融创新发展：加强金融科技（</w:t>
      </w:r>
      <w:r>
        <w:rPr>
          <w:rFonts w:ascii="Times New Roman" w:hAnsi="Times New Roman" w:cs="Times New Roman" w:eastAsia="Times New Roman" w:hint="default"/>
        </w:rPr>
        <w:t>Fintech</w:t>
      </w:r>
      <w:r>
        <w:rPr/>
        <w:t>）和监管科技（</w:t>
      </w:r>
      <w:r>
        <w:rPr>
          <w:rFonts w:ascii="Times New Roman" w:hAnsi="Times New Roman" w:cs="Times New Roman" w:eastAsia="Times New Roman" w:hint="default"/>
        </w:rPr>
        <w:t>Regtech</w:t>
      </w:r>
      <w:r>
        <w:rPr/>
        <w:t>）研究与应用；稳步推进系统架构和云计算技术应用研</w:t>
      </w:r>
      <w:r>
        <w:rPr>
          <w:spacing w:val="-49"/>
        </w:rPr>
        <w:t> </w:t>
      </w:r>
      <w:r>
        <w:rPr>
          <w:spacing w:val="-49"/>
        </w:rPr>
      </w:r>
      <w:r>
        <w:rPr/>
        <w:t>究；深入开展大数据技术应用创新；规范与普及互联网金融相关技术应用；积极推进区块链、人工智能等新技术应用研究。 智慧金融领域未来发展空间广阔。</w:t>
      </w:r>
    </w:p>
    <w:p>
      <w:pPr>
        <w:spacing w:after="0" w:line="314" w:lineRule="auto"/>
        <w:jc w:val="left"/>
        <w:sectPr>
          <w:pgSz w:w="11910" w:h="16840"/>
          <w:pgMar w:header="880" w:footer="979" w:top="1100" w:bottom="1160" w:left="980" w:right="920"/>
        </w:sectPr>
      </w:pPr>
    </w:p>
    <w:p>
      <w:pPr>
        <w:spacing w:line="240" w:lineRule="auto" w:before="0"/>
        <w:rPr>
          <w:rFonts w:ascii="宋体" w:hAnsi="宋体" w:cs="宋体" w:eastAsia="宋体" w:hint="default"/>
          <w:sz w:val="22"/>
          <w:szCs w:val="22"/>
        </w:rPr>
      </w:pPr>
    </w:p>
    <w:p>
      <w:pPr>
        <w:pStyle w:val="BodyText"/>
        <w:spacing w:line="300" w:lineRule="auto" w:before="44"/>
        <w:ind w:right="191" w:firstLine="360"/>
        <w:jc w:val="both"/>
      </w:pPr>
      <w:r>
        <w:rPr/>
        <w:t>国际</w:t>
      </w:r>
      <w:r>
        <w:rPr>
          <w:spacing w:val="-44"/>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市场上，根据英国</w:t>
      </w:r>
      <w:r>
        <w:rPr>
          <w:spacing w:val="-41"/>
        </w:rPr>
        <w:t> </w:t>
      </w:r>
      <w:r>
        <w:rPr>
          <w:rFonts w:ascii="Times New Roman" w:hAnsi="Times New Roman" w:cs="Times New Roman" w:eastAsia="Times New Roman" w:hint="default"/>
        </w:rPr>
        <w:t>RBR </w:t>
      </w:r>
      <w:r>
        <w:rPr/>
        <w:t>研究显示，近年来西欧、北美</w:t>
      </w:r>
      <w:r>
        <w:rPr>
          <w:spacing w:val="-44"/>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市场已经趋于饱和，增长率显著低于全球</w:t>
      </w:r>
      <w:r>
        <w:rPr>
          <w:spacing w:val="-44"/>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设备安装数量的平均水平。新兴市场的强劲需求成为近年来全球 </w:t>
      </w:r>
      <w:r>
        <w:rPr>
          <w:rFonts w:ascii="Times New Roman" w:hAnsi="Times New Roman" w:cs="Times New Roman" w:eastAsia="Times New Roman" w:hint="default"/>
        </w:rPr>
        <w:t>ATM </w:t>
      </w:r>
      <w:r>
        <w:rPr/>
        <w:t>增长的主要驱动力。</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年后，全球近三分之二的 </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t>增长来自亚太地区，而亚太地区的增长超过一半来自中国。另外两个增速较快的国家是印度和印度尼西亚，占亚太地 区新增数量的四分之一。同时，中东地区、非洲、中东欧等地区也表现出较为强劲的增长势头。</w:t>
      </w:r>
    </w:p>
    <w:p>
      <w:pPr>
        <w:pStyle w:val="BodyText"/>
        <w:spacing w:line="300" w:lineRule="auto" w:before="72"/>
        <w:ind w:right="161" w:firstLine="360"/>
        <w:jc w:val="both"/>
      </w:pPr>
      <w:r>
        <w:rPr/>
        <w:t>国内</w:t>
      </w:r>
      <w:r>
        <w:rPr>
          <w:spacing w:val="-47"/>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市场上，中国银行业为提高风险应对能力和市场竞争力，不断拓展新的业务增长点，覆盖新的客户和市场， 探索新的业务增长模式，一些银行开始加速向轻型化方向发展。据中国人民银行发布的《</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年支付体系运行总体情况》 显示，截至</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年底，国内</w:t>
      </w:r>
      <w:r>
        <w:rPr>
          <w:spacing w:val="-36"/>
        </w:rPr>
        <w:t> </w:t>
      </w:r>
      <w:r>
        <w:rPr>
          <w:rFonts w:ascii="Times New Roman" w:hAnsi="Times New Roman" w:cs="Times New Roman" w:eastAsia="Times New Roman" w:hint="default"/>
        </w:rPr>
        <w:t>ATM</w:t>
      </w:r>
      <w:r>
        <w:rPr>
          <w:rFonts w:ascii="Times New Roman" w:hAnsi="Times New Roman" w:cs="Times New Roman" w:eastAsia="Times New Roman" w:hint="default"/>
          <w:spacing w:val="9"/>
        </w:rPr>
        <w:t> </w:t>
      </w:r>
      <w:r>
        <w:rPr/>
        <w:t>保有量</w:t>
      </w:r>
      <w:r>
        <w:rPr>
          <w:spacing w:val="-36"/>
        </w:rPr>
        <w:t> </w:t>
      </w:r>
      <w:r>
        <w:rPr>
          <w:rFonts w:ascii="Times New Roman" w:hAnsi="Times New Roman" w:cs="Times New Roman" w:eastAsia="Times New Roman" w:hint="default"/>
        </w:rPr>
        <w:t>96.06</w:t>
      </w:r>
      <w:r>
        <w:rPr>
          <w:rFonts w:ascii="Times New Roman" w:hAnsi="Times New Roman" w:cs="Times New Roman" w:eastAsia="Times New Roman" w:hint="default"/>
          <w:spacing w:val="9"/>
        </w:rPr>
        <w:t> </w:t>
      </w:r>
      <w:r>
        <w:rPr/>
        <w:t>万台，较去年</w:t>
      </w:r>
      <w:r>
        <w:rPr>
          <w:spacing w:val="-36"/>
        </w:rPr>
        <w:t> </w:t>
      </w:r>
      <w:r>
        <w:rPr>
          <w:rFonts w:ascii="Times New Roman" w:hAnsi="Times New Roman" w:cs="Times New Roman" w:eastAsia="Times New Roman" w:hint="default"/>
        </w:rPr>
        <w:t>92.42</w:t>
      </w:r>
      <w:r>
        <w:rPr>
          <w:rFonts w:ascii="Times New Roman" w:hAnsi="Times New Roman" w:cs="Times New Roman" w:eastAsia="Times New Roman" w:hint="default"/>
          <w:spacing w:val="10"/>
        </w:rPr>
        <w:t> </w:t>
      </w:r>
      <w:r>
        <w:rPr/>
        <w:t>万台增长</w:t>
      </w:r>
      <w:r>
        <w:rPr>
          <w:spacing w:val="-36"/>
        </w:rPr>
        <w:t> </w:t>
      </w:r>
      <w:r>
        <w:rPr>
          <w:rFonts w:ascii="Times New Roman" w:hAnsi="Times New Roman" w:cs="Times New Roman" w:eastAsia="Times New Roman" w:hint="default"/>
        </w:rPr>
        <w:t>3.9%</w:t>
      </w:r>
      <w:r>
        <w:rPr/>
        <w:t>，继续保持增长势头，增速有所放缓进 入稳定增长阶段。每万人对应的</w:t>
      </w:r>
      <w:r>
        <w:rPr>
          <w:spacing w:val="-50"/>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数量</w:t>
      </w:r>
      <w:r>
        <w:rPr>
          <w:spacing w:val="-51"/>
        </w:rPr>
        <w:t> </w:t>
      </w:r>
      <w:r>
        <w:rPr>
          <w:rFonts w:ascii="Times New Roman" w:hAnsi="Times New Roman" w:cs="Times New Roman" w:eastAsia="Times New Roman" w:hint="default"/>
        </w:rPr>
        <w:t>6.95</w:t>
      </w:r>
      <w:r>
        <w:rPr>
          <w:rFonts w:ascii="Times New Roman" w:hAnsi="Times New Roman" w:cs="Times New Roman" w:eastAsia="Times New Roman" w:hint="default"/>
          <w:spacing w:val="-5"/>
        </w:rPr>
        <w:t> </w:t>
      </w:r>
      <w:r>
        <w:rPr/>
        <w:t>台，与发达国家相比仍有不小差距，同时，市场保有的</w:t>
      </w:r>
      <w:r>
        <w:rPr>
          <w:spacing w:val="-50"/>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将迎来替代升 级，未来国内传统现金类设备市场仍有较大发展空间，未来传统</w:t>
      </w:r>
      <w:r>
        <w:rPr>
          <w:spacing w:val="-5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厂商将加速洗牌，产品质量和成本控制成为市场竞争 的关键。</w:t>
      </w:r>
    </w:p>
    <w:p>
      <w:pPr>
        <w:pStyle w:val="BodyText"/>
        <w:spacing w:line="300" w:lineRule="auto" w:before="70"/>
        <w:ind w:right="191" w:firstLine="360"/>
        <w:jc w:val="both"/>
      </w:pPr>
      <w:r>
        <w:rPr/>
        <w:t>国内网点智能产品市场增长放缓，大额现金存取款设备及对公产品需求上升，网点非现智能设备</w:t>
      </w:r>
      <w:r>
        <w:rPr>
          <w:rFonts w:ascii="Times New Roman" w:hAnsi="Times New Roman" w:cs="Times New Roman" w:eastAsia="Times New Roman" w:hint="default"/>
        </w:rPr>
        <w:t>+</w:t>
      </w:r>
      <w:r>
        <w:rPr/>
        <w:t>大额机芯组合成为网 </w:t>
      </w:r>
      <w:r>
        <w:rPr>
          <w:spacing w:val="-2"/>
        </w:rPr>
        <w:t>点大堂设备新方向；助农设备需求受地方助农政策导向影响呈现区域化趋势，京东、苏宁等电商探索</w:t>
      </w:r>
      <w:r>
        <w:rPr>
          <w:rFonts w:ascii="Times New Roman" w:hAnsi="Times New Roman" w:cs="Times New Roman" w:eastAsia="Times New Roman" w:hint="default"/>
          <w:spacing w:val="-2"/>
        </w:rPr>
        <w:t>“</w:t>
      </w:r>
      <w:r>
        <w:rPr>
          <w:spacing w:val="-2"/>
        </w:rPr>
        <w:t>电商</w:t>
      </w:r>
      <w:r>
        <w:rPr>
          <w:rFonts w:ascii="Times New Roman" w:hAnsi="Times New Roman" w:cs="Times New Roman" w:eastAsia="Times New Roman" w:hint="default"/>
          <w:spacing w:val="-2"/>
        </w:rPr>
        <w:t>+</w:t>
      </w:r>
      <w:r>
        <w:rPr>
          <w:spacing w:val="-2"/>
        </w:rPr>
        <w:t>银行</w:t>
      </w:r>
      <w:r>
        <w:rPr>
          <w:rFonts w:ascii="Times New Roman" w:hAnsi="Times New Roman" w:cs="Times New Roman" w:eastAsia="Times New Roman" w:hint="default"/>
          <w:spacing w:val="-2"/>
        </w:rPr>
        <w:t>+</w:t>
      </w:r>
      <w:r>
        <w:rPr>
          <w:spacing w:val="-2"/>
        </w:rPr>
        <w:t>厂商</w:t>
      </w:r>
      <w:r>
        <w:rPr>
          <w:rFonts w:ascii="Times New Roman" w:hAnsi="Times New Roman" w:cs="Times New Roman" w:eastAsia="Times New Roman" w:hint="default"/>
          <w:spacing w:val="-2"/>
        </w:rPr>
        <w:t>”</w:t>
      </w:r>
      <w:r>
        <w:rPr>
          <w:spacing w:val="-2"/>
        </w:rPr>
        <w:t>新型</w:t>
      </w:r>
      <w:r>
        <w:rPr>
          <w:spacing w:val="-64"/>
        </w:rPr>
        <w:t> </w:t>
      </w:r>
      <w:r>
        <w:rPr/>
        <w:t>合作运营模式。</w:t>
      </w:r>
    </w:p>
    <w:p>
      <w:pPr>
        <w:pStyle w:val="BodyText"/>
        <w:spacing w:line="316" w:lineRule="auto" w:before="72"/>
        <w:ind w:right="193" w:firstLine="360"/>
        <w:jc w:val="both"/>
      </w:pPr>
      <w:r>
        <w:rPr>
          <w:spacing w:val="-2"/>
        </w:rPr>
        <w:t>金融外包服务市场上，随着金融行业降本增效、转型升级加剧，为了提高核心竞争力，有效分配管理资源，将非核心的</w:t>
      </w:r>
      <w:r>
        <w:rPr/>
        <w:t> </w:t>
      </w:r>
      <w:r>
        <w:rPr>
          <w:spacing w:val="-2"/>
        </w:rPr>
        <w:t>业务外包已成为银行不可避免的发展趋势。随着信息技术的深入发展，云计算、大数据、人工智能等的发展和应用大大拓展</w:t>
      </w:r>
      <w:r>
        <w:rPr>
          <w:spacing w:val="-66"/>
        </w:rPr>
        <w:t> </w:t>
      </w:r>
      <w:r>
        <w:rPr>
          <w:spacing w:val="-66"/>
        </w:rPr>
      </w:r>
      <w:r>
        <w:rPr>
          <w:spacing w:val="-2"/>
        </w:rPr>
        <w:t>了金融服务的广度和深度，改变了外包业务的结构，形成了由低端业务向高端、复杂、核心业务发展的趋势，原有金融设备</w:t>
      </w:r>
      <w:r>
        <w:rPr>
          <w:spacing w:val="-67"/>
        </w:rPr>
        <w:t> </w:t>
      </w:r>
      <w:r>
        <w:rPr>
          <w:spacing w:val="-67"/>
        </w:rPr>
      </w:r>
      <w:r>
        <w:rPr/>
        <w:t>维保向全设备管理升级，现金外包业务向全外包管理升级。</w:t>
      </w:r>
    </w:p>
    <w:p>
      <w:pPr>
        <w:pStyle w:val="BodyText"/>
        <w:spacing w:line="300" w:lineRule="auto" w:before="59"/>
        <w:ind w:right="192" w:firstLine="360"/>
        <w:jc w:val="both"/>
      </w:pPr>
      <w:r>
        <w:rPr/>
        <w:t>作为金融服务外包业务中起到闭环作用的押运业务，</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年国务院发布《保安服务管理条例》要求公安机关保安企业 脱钩改制。</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月公安部发布《关于加快推进公安机关保安企业脱钩改制工作的通知》，要求在</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月之前完 成改制，但是进展依旧缓慢。针对改制工作缓慢状况，</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年以来，公安部相继派出督导组，推动各地武装押运公司脱钩 改制工作。未来几年公司将持续收购武装押运公司，打造金融外包服务全产业链。</w:t>
      </w:r>
    </w:p>
    <w:p>
      <w:pPr>
        <w:pStyle w:val="BodyText"/>
        <w:spacing w:line="240" w:lineRule="auto" w:before="70"/>
        <w:ind w:left="513" w:right="87"/>
        <w:jc w:val="left"/>
      </w:pPr>
      <w:r>
        <w:rPr/>
        <w:t>②智慧交通市场发展趋势</w:t>
      </w:r>
    </w:p>
    <w:p>
      <w:pPr>
        <w:pStyle w:val="BodyText"/>
        <w:spacing w:line="240" w:lineRule="auto" w:before="117"/>
        <w:ind w:left="513" w:right="87"/>
        <w:jc w:val="left"/>
      </w:pPr>
      <w:r>
        <w:rPr/>
        <w:t>在铁路运输上，中国铁路总公司网站公布的数据显示，</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年至</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年，全国铁路完成固定资产投资</w:t>
      </w:r>
      <w:r>
        <w:rPr>
          <w:spacing w:val="-44"/>
        </w:rPr>
        <w:t> </w:t>
      </w:r>
      <w:r>
        <w:rPr>
          <w:rFonts w:ascii="Times New Roman" w:hAnsi="Times New Roman" w:cs="Times New Roman" w:eastAsia="Times New Roman" w:hint="default"/>
        </w:rPr>
        <w:t>3.9</w:t>
      </w:r>
      <w:r>
        <w:rPr>
          <w:rFonts w:ascii="Times New Roman" w:hAnsi="Times New Roman" w:cs="Times New Roman" w:eastAsia="Times New Roman" w:hint="default"/>
          <w:spacing w:val="2"/>
        </w:rPr>
        <w:t> </w:t>
      </w:r>
      <w:r>
        <w:rPr/>
        <w:t>万亿元，新</w:t>
      </w:r>
    </w:p>
    <w:p>
      <w:pPr>
        <w:pStyle w:val="BodyText"/>
        <w:spacing w:line="240" w:lineRule="auto" w:before="63"/>
        <w:ind w:right="87"/>
        <w:jc w:val="left"/>
      </w:pPr>
      <w:r>
        <w:rPr/>
        <w:t>增铁路营业里程</w:t>
      </w:r>
      <w:r>
        <w:rPr>
          <w:spacing w:val="-40"/>
        </w:rPr>
        <w:t> </w:t>
      </w:r>
      <w:r>
        <w:rPr>
          <w:rFonts w:ascii="Times New Roman" w:hAnsi="Times New Roman" w:cs="Times New Roman" w:eastAsia="Times New Roman" w:hint="default"/>
        </w:rPr>
        <w:t>2.94</w:t>
      </w:r>
      <w:r>
        <w:rPr>
          <w:rFonts w:ascii="Times New Roman" w:hAnsi="Times New Roman" w:cs="Times New Roman" w:eastAsia="Times New Roman" w:hint="default"/>
          <w:spacing w:val="6"/>
        </w:rPr>
        <w:t> </w:t>
      </w:r>
      <w:r>
        <w:rPr>
          <w:spacing w:val="-3"/>
        </w:rPr>
        <w:t>万公里，其中高铁</w:t>
      </w:r>
      <w:r>
        <w:rPr>
          <w:spacing w:val="-40"/>
        </w:rPr>
        <w:t> </w:t>
      </w:r>
      <w:r>
        <w:rPr>
          <w:rFonts w:ascii="Times New Roman" w:hAnsi="Times New Roman" w:cs="Times New Roman" w:eastAsia="Times New Roman" w:hint="default"/>
        </w:rPr>
        <w:t>1.57</w:t>
      </w:r>
      <w:r>
        <w:rPr>
          <w:rFonts w:ascii="Times New Roman" w:hAnsi="Times New Roman" w:cs="Times New Roman" w:eastAsia="Times New Roman" w:hint="default"/>
          <w:spacing w:val="6"/>
        </w:rPr>
        <w:t> </w:t>
      </w:r>
      <w:r>
        <w:rPr>
          <w:spacing w:val="-3"/>
        </w:rPr>
        <w:t>万公里，是历史上铁路投资最集中、强度最大的时期。到</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3"/>
        </w:rPr>
        <w:t>年底，全国铁路</w:t>
      </w:r>
    </w:p>
    <w:p>
      <w:pPr>
        <w:pStyle w:val="BodyText"/>
        <w:spacing w:line="309" w:lineRule="auto" w:before="63"/>
        <w:ind w:right="190"/>
        <w:jc w:val="both"/>
      </w:pPr>
      <w:r>
        <w:rPr/>
        <w:t>营业里程达到</w:t>
      </w:r>
      <w:r>
        <w:rPr>
          <w:spacing w:val="-45"/>
        </w:rPr>
        <w:t> </w:t>
      </w:r>
      <w:r>
        <w:rPr>
          <w:rFonts w:ascii="Times New Roman" w:hAnsi="Times New Roman" w:cs="Times New Roman" w:eastAsia="Times New Roman" w:hint="default"/>
        </w:rPr>
        <w:t>12.7</w:t>
      </w:r>
      <w:r>
        <w:rPr>
          <w:rFonts w:ascii="Times New Roman" w:hAnsi="Times New Roman" w:cs="Times New Roman" w:eastAsia="Times New Roman" w:hint="default"/>
          <w:spacing w:val="1"/>
        </w:rPr>
        <w:t> </w:t>
      </w:r>
      <w:r>
        <w:rPr/>
        <w:t>万公里，其中高铁</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万公里。中国铁路总公司在其</w:t>
      </w:r>
      <w:r>
        <w:rPr>
          <w:spacing w:val="-46"/>
        </w:rPr>
        <w:t> </w:t>
      </w:r>
      <w:r>
        <w:rPr>
          <w:rFonts w:ascii="Times New Roman" w:hAnsi="Times New Roman" w:cs="Times New Roman" w:eastAsia="Times New Roman" w:hint="default"/>
        </w:rPr>
        <w:t>2018 </w:t>
      </w:r>
      <w:r>
        <w:rPr/>
        <w:t>年铁路工作目标和重点任务中指出：将深化运 </w:t>
      </w:r>
      <w:r>
        <w:rPr>
          <w:spacing w:val="-2"/>
        </w:rPr>
        <w:t>输供给侧结构性改革，提升铁路对经济社会发展的服务保障能力，拓展互联网售票系统功能，同时也强调要从严控制建设规</w:t>
      </w:r>
      <w:r>
        <w:rPr>
          <w:spacing w:val="-63"/>
        </w:rPr>
        <w:t> </w:t>
      </w:r>
      <w:r>
        <w:rPr>
          <w:spacing w:val="-63"/>
        </w:rPr>
      </w:r>
      <w:r>
        <w:rPr/>
        <w:t>模和投资，提升铁路建设项目的经济性。</w:t>
      </w:r>
    </w:p>
    <w:p>
      <w:pPr>
        <w:pStyle w:val="BodyText"/>
        <w:spacing w:line="240" w:lineRule="auto" w:before="65"/>
        <w:ind w:left="513" w:right="0"/>
        <w:jc w:val="left"/>
      </w:pPr>
      <w:r>
        <w:rPr/>
        <w:t>轨道交通市场上，根据城市轨道交通协会统计，截至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月底，中国大陆地区</w:t>
      </w:r>
      <w:r>
        <w:rPr>
          <w:spacing w:val="-48"/>
        </w:rPr>
        <w:t> </w:t>
      </w:r>
      <w:r>
        <w:rPr>
          <w:rFonts w:ascii="Times New Roman" w:hAnsi="Times New Roman" w:cs="Times New Roman" w:eastAsia="Times New Roman" w:hint="default"/>
        </w:rPr>
        <w:t>31 </w:t>
      </w:r>
      <w:r>
        <w:rPr/>
        <w:t>个城市开通运营城市轨道交通，</w:t>
      </w:r>
    </w:p>
    <w:p>
      <w:pPr>
        <w:pStyle w:val="BodyText"/>
        <w:spacing w:line="307" w:lineRule="auto" w:before="63"/>
        <w:ind w:right="188"/>
        <w:jc w:val="both"/>
        <w:rPr>
          <w:rFonts w:ascii="Times New Roman" w:hAnsi="Times New Roman" w:cs="Times New Roman" w:eastAsia="Times New Roman" w:hint="default"/>
        </w:rPr>
      </w:pPr>
      <w:r>
        <w:rPr/>
        <w:t>共计</w:t>
      </w:r>
      <w:r>
        <w:rPr>
          <w:spacing w:val="-45"/>
        </w:rPr>
        <w:t> </w:t>
      </w:r>
      <w:r>
        <w:rPr>
          <w:rFonts w:ascii="Times New Roman" w:hAnsi="Times New Roman" w:cs="Times New Roman" w:eastAsia="Times New Roman" w:hint="default"/>
        </w:rPr>
        <w:t>133</w:t>
      </w:r>
      <w:r>
        <w:rPr>
          <w:rFonts w:ascii="Times New Roman" w:hAnsi="Times New Roman" w:cs="Times New Roman" w:eastAsia="Times New Roman" w:hint="default"/>
          <w:spacing w:val="1"/>
        </w:rPr>
        <w:t> </w:t>
      </w:r>
      <w:r>
        <w:rPr/>
        <w:t>条线路，运营线路总长度达</w:t>
      </w:r>
      <w:r>
        <w:rPr>
          <w:spacing w:val="-45"/>
        </w:rPr>
        <w:t> </w:t>
      </w:r>
      <w:r>
        <w:rPr>
          <w:rFonts w:ascii="Times New Roman" w:hAnsi="Times New Roman" w:cs="Times New Roman" w:eastAsia="Times New Roman" w:hint="default"/>
        </w:rPr>
        <w:t>4400</w:t>
      </w:r>
      <w:r>
        <w:rPr>
          <w:rFonts w:ascii="Times New Roman" w:hAnsi="Times New Roman" w:cs="Times New Roman" w:eastAsia="Times New Roman" w:hint="default"/>
          <w:spacing w:val="1"/>
        </w:rPr>
        <w:t> </w:t>
      </w:r>
      <w:r>
        <w:rPr/>
        <w:t>公里。近三年全国客运量仍以北京、上海、广州、深圳为主，但随着二三线运营 </w:t>
      </w:r>
      <w:r>
        <w:rPr>
          <w:spacing w:val="-2"/>
        </w:rPr>
        <w:t>城市数量的增加，二三线城市的客运量占比在逐年增长。轨道交通建设投资规模持续扩大，大城市集中度高，三线及以下城</w:t>
      </w:r>
      <w:r>
        <w:rPr>
          <w:spacing w:val="-64"/>
        </w:rPr>
        <w:t> </w:t>
      </w:r>
      <w:r>
        <w:rPr>
          <w:spacing w:val="-64"/>
        </w:rPr>
      </w:r>
      <w:r>
        <w:rPr>
          <w:spacing w:val="-2"/>
        </w:rPr>
        <w:t>市未来投资增长潜力较大。未来随着规划已获批城市陆续投建，城轨交通将继续呈快速增长态势。</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规划中提出，加</w:t>
      </w:r>
      <w:r>
        <w:rPr>
          <w:spacing w:val="-40"/>
        </w:rPr>
        <w:t> </w:t>
      </w:r>
      <w:r>
        <w:rPr>
          <w:spacing w:val="-40"/>
        </w:rPr>
      </w:r>
      <w:r>
        <w:rPr/>
        <w:t>快发展城市轨道交通，加快 </w:t>
      </w:r>
      <w:r>
        <w:rPr>
          <w:rFonts w:ascii="Times New Roman" w:hAnsi="Times New Roman" w:cs="Times New Roman" w:eastAsia="Times New Roman" w:hint="default"/>
        </w:rPr>
        <w:t>300 </w:t>
      </w:r>
      <w:r>
        <w:rPr/>
        <w:t>万以上人口城市城轨交通成网，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期间预计城轨交通投资将超过 </w:t>
      </w:r>
      <w:r>
        <w:rPr>
          <w:rFonts w:ascii="Times New Roman" w:hAnsi="Times New Roman" w:cs="Times New Roman" w:eastAsia="Times New Roman" w:hint="default"/>
        </w:rPr>
        <w:t>2 </w:t>
      </w:r>
      <w:r>
        <w:rPr/>
        <w:t>万亿元，到</w:t>
      </w:r>
      <w:r>
        <w:rPr>
          <w:spacing w:val="-65"/>
        </w:rPr>
        <w:t> </w:t>
      </w:r>
      <w:r>
        <w:rPr>
          <w:rFonts w:ascii="Times New Roman" w:hAnsi="Times New Roman" w:cs="Times New Roman" w:eastAsia="Times New Roman" w:hint="default"/>
        </w:rPr>
        <w:t>2020</w:t>
      </w:r>
    </w:p>
    <w:p>
      <w:pPr>
        <w:pStyle w:val="BodyText"/>
        <w:spacing w:line="338" w:lineRule="auto" w:before="7"/>
        <w:ind w:left="513" w:right="93" w:hanging="361"/>
        <w:jc w:val="left"/>
      </w:pPr>
      <w:r>
        <w:rPr/>
        <w:t>年，中国轨道交通运营里程将达到</w:t>
      </w:r>
      <w:r>
        <w:rPr>
          <w:spacing w:val="-44"/>
        </w:rPr>
        <w:t> </w:t>
      </w:r>
      <w:r>
        <w:rPr>
          <w:rFonts w:ascii="Times New Roman" w:hAnsi="Times New Roman" w:cs="Times New Roman" w:eastAsia="Times New Roman" w:hint="default"/>
        </w:rPr>
        <w:t>7,700 </w:t>
      </w:r>
      <w:r>
        <w:rPr/>
        <w:t>公里。 随着数字化新型支付手段、人工智能、生物识别等技术的应用不断拓展，一方面，交通市场部分终端设备呈现简单化、</w:t>
      </w:r>
    </w:p>
    <w:p>
      <w:pPr>
        <w:pStyle w:val="BodyText"/>
        <w:spacing w:line="360" w:lineRule="auto" w:before="2"/>
        <w:ind w:left="513" w:right="2433" w:hanging="361"/>
        <w:jc w:val="left"/>
      </w:pPr>
      <w:r>
        <w:rPr/>
        <w:t>低端化趋势；另一方面，智能安检、智能生物识别等新型设备不断涌现。 随着各高铁、轨道交通的运营年限不断增加，其设备的维护服务市场总需求将逐步放大。</w:t>
      </w:r>
    </w:p>
    <w:p>
      <w:pPr>
        <w:pStyle w:val="BodyText"/>
        <w:spacing w:line="357" w:lineRule="auto" w:before="27"/>
        <w:ind w:left="513" w:right="87"/>
        <w:jc w:val="left"/>
      </w:pPr>
      <w:r>
        <w:rPr/>
        <w:t>③智慧安防市场发展趋势 </w:t>
      </w:r>
      <w:r>
        <w:rPr>
          <w:spacing w:val="-2"/>
        </w:rPr>
        <w:t>在大数据、人工智能等技术的带动下，安防正向城市化、综合化、主动安防方向发展，包括前端感知硬件、后端存储平</w:t>
      </w:r>
    </w:p>
    <w:p>
      <w:pPr>
        <w:pStyle w:val="BodyText"/>
        <w:spacing w:line="224" w:lineRule="exact"/>
        <w:ind w:right="0"/>
        <w:jc w:val="left"/>
      </w:pPr>
      <w:r>
        <w:rPr/>
        <w:t>台、智能分析融合等在内的创新技术不断应用于安防产品中，行业的技术门槛不断提升，企业研发投入要求加大，安防产品</w:t>
      </w:r>
    </w:p>
    <w:p>
      <w:pPr>
        <w:pStyle w:val="BodyText"/>
        <w:spacing w:line="300" w:lineRule="auto" w:before="76"/>
        <w:ind w:right="94"/>
        <w:jc w:val="left"/>
      </w:pPr>
      <w:r>
        <w:rPr/>
        <w:t>功能越来越齐全，安防体系趋于完善。利用深度学习技术来理解视频内容</w:t>
      </w:r>
      <w:r>
        <w:rPr>
          <w:rFonts w:ascii="Times New Roman" w:hAnsi="Times New Roman" w:cs="Times New Roman" w:eastAsia="Times New Roman" w:hint="default"/>
        </w:rPr>
        <w:t>—</w:t>
      </w:r>
      <w:r>
        <w:rPr/>
        <w:t>安防领域成为人工智能技术最大应用场景之一， </w:t>
      </w:r>
      <w:r>
        <w:rPr>
          <w:spacing w:val="-2"/>
        </w:rPr>
        <w:t>智慧安防已经成为当前发展的主流趋势。受国家</w:t>
      </w:r>
      <w:r>
        <w:rPr>
          <w:rFonts w:ascii="Times New Roman" w:hAnsi="Times New Roman" w:cs="Times New Roman" w:eastAsia="Times New Roman" w:hint="default"/>
          <w:spacing w:val="-2"/>
        </w:rPr>
        <w:t>“</w:t>
      </w:r>
      <w:r>
        <w:rPr>
          <w:spacing w:val="-2"/>
        </w:rPr>
        <w:t>雪亮工程</w:t>
      </w:r>
      <w:r>
        <w:rPr>
          <w:rFonts w:ascii="Times New Roman" w:hAnsi="Times New Roman" w:cs="Times New Roman" w:eastAsia="Times New Roman" w:hint="default"/>
          <w:spacing w:val="-2"/>
        </w:rPr>
        <w:t>”</w:t>
      </w:r>
      <w:r>
        <w:rPr>
          <w:spacing w:val="-2"/>
        </w:rPr>
        <w:t>政策以及人工智能技术发展的多元驱动，未来智能安防市场前景</w:t>
      </w:r>
      <w:r>
        <w:rPr>
          <w:spacing w:val="-44"/>
        </w:rPr>
        <w:t> </w:t>
      </w:r>
      <w:r>
        <w:rPr>
          <w:spacing w:val="-44"/>
        </w:rPr>
      </w:r>
      <w:r>
        <w:rPr/>
        <w:t>良好。</w:t>
      </w:r>
    </w:p>
    <w:p>
      <w:pPr>
        <w:pStyle w:val="BodyText"/>
        <w:spacing w:line="240" w:lineRule="auto" w:before="72"/>
        <w:ind w:left="513" w:right="87"/>
        <w:jc w:val="left"/>
      </w:pPr>
      <w:r>
        <w:rPr/>
        <w:t>④智慧政务市场发展趋势</w:t>
      </w:r>
    </w:p>
    <w:p>
      <w:pPr>
        <w:spacing w:after="0" w:line="240" w:lineRule="auto"/>
        <w:jc w:val="left"/>
        <w:sectPr>
          <w:pgSz w:w="11910" w:h="16840"/>
          <w:pgMar w:header="880" w:footer="979" w:top="1100" w:bottom="1160" w:left="980" w:right="940"/>
        </w:sectPr>
      </w:pPr>
    </w:p>
    <w:p>
      <w:pPr>
        <w:spacing w:line="240" w:lineRule="auto" w:before="0"/>
        <w:rPr>
          <w:rFonts w:ascii="宋体" w:hAnsi="宋体" w:cs="宋体" w:eastAsia="宋体" w:hint="default"/>
          <w:sz w:val="22"/>
          <w:szCs w:val="22"/>
        </w:rPr>
      </w:pPr>
    </w:p>
    <w:p>
      <w:pPr>
        <w:pStyle w:val="BodyText"/>
        <w:spacing w:line="300" w:lineRule="auto" w:before="44"/>
        <w:ind w:right="211" w:firstLine="360"/>
        <w:jc w:val="both"/>
      </w:pPr>
      <w:r>
        <w:rPr>
          <w:spacing w:val="-1"/>
        </w:rPr>
        <w:t>根据《国家电子政务</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规划》等文件的要求，各级政府将加快推进政务管理及服务的网络信息化建设，大力推进</w:t>
      </w:r>
      <w:r>
        <w:rPr/>
        <w:t> 政务服务模式、政务信息互联等方面的创新，未来智慧政务市场需求较旺盛。</w:t>
      </w:r>
    </w:p>
    <w:p>
      <w:pPr>
        <w:pStyle w:val="BodyText"/>
        <w:spacing w:line="357" w:lineRule="auto" w:before="72"/>
        <w:ind w:left="513" w:right="0"/>
        <w:jc w:val="left"/>
      </w:pPr>
      <w:r>
        <w:rPr/>
        <w:t>⑤智慧便民市场发展趋势 </w:t>
      </w:r>
      <w:r>
        <w:rPr>
          <w:spacing w:val="-2"/>
        </w:rPr>
        <w:t>以智慧零售、智慧社区等为代表的智慧便民市场，近些年成为市场的热门话题。目前对于智慧零售等产业的形态、市场</w:t>
      </w:r>
    </w:p>
    <w:p>
      <w:pPr>
        <w:pStyle w:val="BodyText"/>
        <w:spacing w:line="224" w:lineRule="exact"/>
        <w:ind w:right="0"/>
        <w:jc w:val="both"/>
      </w:pPr>
      <w:r>
        <w:rPr/>
        <w:t>等存在较多争议与探讨，但基本都认为数字化新型支付手段、人工智能、生物识别等技术将在该领域得到广泛应用，市场前</w:t>
      </w:r>
    </w:p>
    <w:p>
      <w:pPr>
        <w:pStyle w:val="BodyText"/>
        <w:spacing w:line="240" w:lineRule="auto" w:before="76"/>
        <w:ind w:right="0"/>
        <w:jc w:val="both"/>
      </w:pPr>
      <w:r>
        <w:rPr/>
        <w:t>景较广阔。</w:t>
      </w:r>
    </w:p>
    <w:p>
      <w:pPr>
        <w:pStyle w:val="BodyText"/>
        <w:spacing w:line="240" w:lineRule="auto" w:before="117"/>
        <w:ind w:left="513" w:right="0"/>
        <w:jc w:val="left"/>
      </w:pPr>
      <w:r>
        <w:rPr/>
        <w:t>（</w:t>
      </w:r>
      <w:r>
        <w:rPr>
          <w:rFonts w:ascii="Times New Roman" w:hAnsi="Times New Roman" w:cs="Times New Roman" w:eastAsia="Times New Roman" w:hint="default"/>
        </w:rPr>
        <w:t>2</w:t>
      </w:r>
      <w:r>
        <w:rPr/>
        <w:t>）市场竞争格局</w:t>
      </w:r>
    </w:p>
    <w:p>
      <w:pPr>
        <w:pStyle w:val="BodyText"/>
        <w:spacing w:line="240" w:lineRule="auto" w:before="103"/>
        <w:ind w:left="513" w:right="0"/>
        <w:jc w:val="left"/>
      </w:pPr>
      <w:r>
        <w:rPr/>
        <w:t>①智慧金融市场竞争格局</w:t>
      </w:r>
    </w:p>
    <w:p>
      <w:pPr>
        <w:pStyle w:val="BodyText"/>
        <w:spacing w:line="300" w:lineRule="auto" w:before="115"/>
        <w:ind w:right="21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spacing w:val="-4"/>
        </w:rPr>
        <w:t>年，国际</w:t>
      </w:r>
      <w:r>
        <w:rPr>
          <w:spacing w:val="-60"/>
        </w:rPr>
        <w:t> </w:t>
      </w:r>
      <w:r>
        <w:rPr>
          <w:rFonts w:ascii="Times New Roman" w:hAnsi="Times New Roman" w:cs="Times New Roman" w:eastAsia="Times New Roman" w:hint="default"/>
        </w:rPr>
        <w:t>ATM</w:t>
      </w:r>
      <w:r>
        <w:rPr>
          <w:rFonts w:ascii="Times New Roman" w:hAnsi="Times New Roman" w:cs="Times New Roman" w:eastAsia="Times New Roman" w:hint="default"/>
          <w:spacing w:val="-14"/>
        </w:rPr>
        <w:t> </w:t>
      </w:r>
      <w:r>
        <w:rPr/>
        <w:t>市场设备供应商主要有：</w:t>
      </w:r>
      <w:r>
        <w:rPr>
          <w:rFonts w:ascii="Times New Roman" w:hAnsi="Times New Roman" w:cs="Times New Roman" w:eastAsia="Times New Roman" w:hint="default"/>
        </w:rPr>
        <w:t>Diebold•</w:t>
      </w:r>
      <w:r>
        <w:rPr>
          <w:rFonts w:ascii="Times New Roman" w:hAnsi="Times New Roman" w:cs="Times New Roman" w:eastAsia="Times New Roman" w:hint="default"/>
        </w:rPr>
        <w:t>Nixdorf</w:t>
      </w:r>
      <w:r>
        <w:rPr/>
        <w:t>、</w:t>
      </w:r>
      <w:r>
        <w:rPr>
          <w:rFonts w:ascii="Times New Roman" w:hAnsi="Times New Roman" w:cs="Times New Roman" w:eastAsia="Times New Roman" w:hint="default"/>
        </w:rPr>
        <w:t>NCR</w:t>
      </w:r>
      <w:r>
        <w:rPr/>
        <w:t>、</w:t>
      </w:r>
      <w:r>
        <w:rPr>
          <w:rFonts w:ascii="Times New Roman" w:hAnsi="Times New Roman" w:cs="Times New Roman" w:eastAsia="Times New Roman" w:hint="default"/>
        </w:rPr>
        <w:t>Hitachi</w:t>
      </w:r>
      <w:r>
        <w:rPr/>
        <w:t>（日立）、</w:t>
      </w:r>
      <w:r>
        <w:rPr>
          <w:rFonts w:ascii="Times New Roman" w:hAnsi="Times New Roman" w:cs="Times New Roman" w:eastAsia="Times New Roman" w:hint="default"/>
        </w:rPr>
        <w:t>Nautilus</w:t>
      </w:r>
      <w:r>
        <w:rPr>
          <w:rFonts w:ascii="Times New Roman" w:hAnsi="Times New Roman" w:cs="Times New Roman" w:eastAsia="Times New Roman" w:hint="default"/>
          <w:spacing w:val="-17"/>
        </w:rPr>
        <w:t> </w:t>
      </w:r>
      <w:r>
        <w:rPr>
          <w:rFonts w:ascii="Times New Roman" w:hAnsi="Times New Roman" w:cs="Times New Roman" w:eastAsia="Times New Roman" w:hint="default"/>
        </w:rPr>
        <w:t>Hyosung</w:t>
      </w:r>
      <w:r>
        <w:rPr/>
        <w:t>、</w:t>
      </w:r>
      <w:r>
        <w:rPr>
          <w:rFonts w:ascii="Times New Roman" w:hAnsi="Times New Roman" w:cs="Times New Roman" w:eastAsia="Times New Roman" w:hint="default"/>
        </w:rPr>
        <w:t>OKI</w:t>
      </w:r>
      <w:r>
        <w:rPr>
          <w:rFonts w:ascii="Times New Roman" w:hAnsi="Times New Roman" w:cs="Times New Roman" w:eastAsia="Times New Roman" w:hint="default"/>
          <w:spacing w:val="-15"/>
        </w:rPr>
        <w:t> </w:t>
      </w:r>
      <w:r>
        <w:rPr/>
        <w:t>和广电 运通；国内 </w:t>
      </w:r>
      <w:r>
        <w:rPr>
          <w:rFonts w:ascii="Times New Roman" w:hAnsi="Times New Roman" w:cs="Times New Roman" w:eastAsia="Times New Roman" w:hint="default"/>
        </w:rPr>
        <w:t>ATM </w:t>
      </w:r>
      <w:r>
        <w:rPr/>
        <w:t>市场设备供应商主要有：广电运通、恒银、</w:t>
      </w:r>
      <w:r>
        <w:rPr>
          <w:rFonts w:ascii="Times New Roman" w:hAnsi="Times New Roman" w:cs="Times New Roman" w:eastAsia="Times New Roman" w:hint="default"/>
        </w:rPr>
        <w:t>Hitachi</w:t>
      </w:r>
      <w:r>
        <w:rPr/>
        <w:t>、怡化、东方通信、御银股份、中钞科堡、新达通和</w:t>
      </w:r>
      <w:r>
        <w:rPr>
          <w:spacing w:val="-77"/>
        </w:rPr>
        <w:t> </w:t>
      </w:r>
      <w:r>
        <w:rPr>
          <w:spacing w:val="-77"/>
        </w:rPr>
      </w:r>
      <w:r>
        <w:rPr>
          <w:rFonts w:ascii="Times New Roman" w:hAnsi="Times New Roman" w:cs="Times New Roman" w:eastAsia="Times New Roman" w:hint="default"/>
        </w:rPr>
        <w:t>OKI</w:t>
      </w:r>
      <w:r>
        <w:rPr>
          <w:rFonts w:ascii="Times New Roman" w:hAnsi="Times New Roman" w:cs="Times New Roman" w:eastAsia="Times New Roman" w:hint="default"/>
          <w:spacing w:val="-1"/>
        </w:rPr>
        <w:t> </w:t>
      </w:r>
      <w:r>
        <w:rPr/>
        <w:t>等，前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大厂商占据大部分的市场份额，行业竞争集中度进一步提升。</w:t>
      </w:r>
    </w:p>
    <w:p>
      <w:pPr>
        <w:pStyle w:val="BodyText"/>
        <w:spacing w:line="300" w:lineRule="auto" w:before="53"/>
        <w:ind w:right="104" w:firstLine="360"/>
        <w:jc w:val="left"/>
      </w:pPr>
      <w:r>
        <w:rPr>
          <w:spacing w:val="-3"/>
        </w:rPr>
        <w:t>公司作为国内最大的民族品牌厂商，是国内唯一一家掌握循环机核心技术的厂家，带头起草了中国</w:t>
      </w:r>
      <w:r>
        <w:rPr>
          <w:spacing w:val="-40"/>
        </w:rPr>
        <w:t> </w:t>
      </w:r>
      <w:r>
        <w:rPr>
          <w:rFonts w:ascii="Times New Roman" w:hAnsi="Times New Roman" w:cs="Times New Roman" w:eastAsia="Times New Roman" w:hint="default"/>
        </w:rPr>
        <w:t>VTM</w:t>
      </w:r>
      <w:r>
        <w:rPr>
          <w:rFonts w:ascii="Times New Roman" w:hAnsi="Times New Roman" w:cs="Times New Roman" w:eastAsia="Times New Roman" w:hint="default"/>
          <w:spacing w:val="4"/>
        </w:rPr>
        <w:t> </w:t>
      </w:r>
      <w:r>
        <w:rPr/>
        <w:t>国家标准体系、 牵头制定了四项生物特征识别国家标准，技术与成本优势明显。</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spacing w:val="-3"/>
        </w:rPr>
        <w:t>年，公司在国内</w:t>
      </w:r>
      <w:r>
        <w:rPr>
          <w:spacing w:val="-57"/>
        </w:rPr>
        <w:t> </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市场继续保持领先地位，市场销 售量连续第十年位居第一。</w:t>
      </w:r>
    </w:p>
    <w:p>
      <w:pPr>
        <w:pStyle w:val="BodyText"/>
        <w:spacing w:line="300" w:lineRule="auto" w:before="72"/>
        <w:ind w:right="212" w:firstLine="360"/>
        <w:jc w:val="both"/>
      </w:pPr>
      <w:r>
        <w:rPr/>
        <w:t>目前，</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行业外包服务商除公司全资子公司广州银通及其下属子公司、控股子公司广州穗通外，还有中信外包、银 联商务、三泰电子、深圳威豹、</w:t>
      </w:r>
      <w:r>
        <w:rPr>
          <w:rFonts w:ascii="Times New Roman" w:hAnsi="Times New Roman" w:cs="Times New Roman" w:eastAsia="Times New Roman" w:hint="default"/>
        </w:rPr>
        <w:t>Diebold</w:t>
      </w:r>
      <w:r>
        <w:rPr/>
        <w:t>、合荣欣业等。武装押运业务在金融外包服务业务中起到闭环作用，随着保安企业</w:t>
      </w:r>
      <w:r>
        <w:rPr>
          <w:spacing w:val="-43"/>
        </w:rPr>
        <w:t> </w:t>
      </w:r>
      <w:r>
        <w:rPr>
          <w:spacing w:val="-43"/>
        </w:rPr>
      </w:r>
      <w:r>
        <w:rPr/>
        <w:t>脱钩改制的加速，公司也在加速收购武装押运公司，</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t>行业外包服务商大多不符合收购武装押运公司的政策要求，公司 的竞争对手主要为各地地方国有企业。</w:t>
      </w:r>
    </w:p>
    <w:p>
      <w:pPr>
        <w:pStyle w:val="BodyText"/>
        <w:spacing w:line="360" w:lineRule="auto" w:before="70"/>
        <w:ind w:left="513" w:right="0"/>
        <w:jc w:val="left"/>
      </w:pPr>
      <w:r>
        <w:rPr/>
        <w:t>②智慧交通市场竞争格局 </w:t>
      </w:r>
      <w:r>
        <w:rPr>
          <w:spacing w:val="-2"/>
        </w:rPr>
        <w:t>我国城市轨道交通的投资主体是各个城市的地方政府，行政上互不隶属，对于当地城市轨道交通建设都拥有充分的自主</w:t>
      </w:r>
    </w:p>
    <w:p>
      <w:pPr>
        <w:pStyle w:val="BodyText"/>
        <w:spacing w:line="236" w:lineRule="exact"/>
        <w:ind w:right="0"/>
        <w:jc w:val="both"/>
      </w:pPr>
      <w:r>
        <w:rPr/>
        <w:t>权，加之现在集成商、整机制造商、模块供应商出现</w:t>
      </w:r>
      <w:r>
        <w:rPr>
          <w:rFonts w:ascii="Times New Roman" w:hAnsi="Times New Roman" w:cs="Times New Roman" w:eastAsia="Times New Roman" w:hint="default"/>
        </w:rPr>
        <w:t>“</w:t>
      </w:r>
      <w:r>
        <w:rPr/>
        <w:t>垂直</w:t>
      </w:r>
      <w:r>
        <w:rPr>
          <w:rFonts w:ascii="Times New Roman" w:hAnsi="Times New Roman" w:cs="Times New Roman" w:eastAsia="Times New Roman" w:hint="default"/>
        </w:rPr>
        <w:t>”</w:t>
      </w:r>
      <w:r>
        <w:rPr/>
        <w:t>联盟发展趋势，互联网</w:t>
      </w:r>
      <w:r>
        <w:rPr>
          <w:rFonts w:ascii="Times New Roman" w:hAnsi="Times New Roman" w:cs="Times New Roman" w:eastAsia="Times New Roman" w:hint="default"/>
        </w:rPr>
        <w:t>+</w:t>
      </w:r>
      <w:r>
        <w:rPr/>
        <w:t>新技术的应用及资本市场投入加大，参</w:t>
      </w:r>
    </w:p>
    <w:p>
      <w:pPr>
        <w:pStyle w:val="BodyText"/>
        <w:spacing w:line="300" w:lineRule="auto" w:before="63"/>
        <w:ind w:right="122"/>
        <w:jc w:val="both"/>
      </w:pPr>
      <w:r>
        <w:rPr>
          <w:spacing w:val="-3"/>
        </w:rPr>
        <w:t>与该行业竞争的商家很多，主要有广电运通、</w:t>
      </w:r>
      <w:r>
        <w:rPr>
          <w:rFonts w:ascii="Times New Roman" w:hAnsi="Times New Roman" w:cs="Times New Roman" w:eastAsia="Times New Roman" w:hint="default"/>
          <w:spacing w:val="-3"/>
        </w:rPr>
        <w:t>MEI</w:t>
      </w:r>
      <w:r>
        <w:rPr>
          <w:spacing w:val="-3"/>
        </w:rPr>
        <w:t>、富士通、捷德、高见泽、上海邮通、华虹计通、华铭、华腾、南京熊猫、</w:t>
      </w:r>
      <w:r>
        <w:rPr>
          <w:spacing w:val="-72"/>
        </w:rPr>
        <w:t> </w:t>
      </w:r>
      <w:r>
        <w:rPr>
          <w:spacing w:val="-72"/>
        </w:rPr>
      </w:r>
      <w:r>
        <w:rPr/>
        <w:t>北京方正、中国软件、浙大网新、深圳现代等，其中在模块销售方面，主要竞争厂商有</w:t>
      </w:r>
      <w:r>
        <w:rPr>
          <w:spacing w:val="-53"/>
        </w:rPr>
        <w:t> </w:t>
      </w:r>
      <w:r>
        <w:rPr>
          <w:rFonts w:ascii="Times New Roman" w:hAnsi="Times New Roman" w:cs="Times New Roman" w:eastAsia="Times New Roman" w:hint="default"/>
        </w:rPr>
        <w:t>MEI</w:t>
      </w:r>
      <w:r>
        <w:rPr/>
        <w:t>、捷德、广电运通、富士通等，</w:t>
      </w:r>
      <w:r>
        <w:rPr>
          <w:w w:val="99"/>
        </w:rPr>
        <w:t> </w:t>
      </w:r>
      <w:r>
        <w:rPr/>
        <w:t>公司品牌已经得到了业内广泛认可，成为轨道交通行业内的国产知名品牌。</w:t>
      </w:r>
    </w:p>
    <w:p>
      <w:pPr>
        <w:pStyle w:val="BodyText"/>
        <w:spacing w:line="300" w:lineRule="auto" w:before="72"/>
        <w:ind w:right="215" w:firstLine="360"/>
        <w:jc w:val="both"/>
      </w:pPr>
      <w:r>
        <w:rPr/>
        <w:t>在高铁领域，</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年，现金设备需求有所下滑，但公司仍保持了在高铁自动售票机市场上的优势地位，竞争厂商主要 是新北洋。</w:t>
      </w:r>
    </w:p>
    <w:p>
      <w:pPr>
        <w:pStyle w:val="BodyText"/>
        <w:spacing w:line="360" w:lineRule="auto" w:before="70"/>
        <w:ind w:left="513" w:right="0"/>
        <w:jc w:val="left"/>
      </w:pPr>
      <w:r>
        <w:rPr/>
        <w:t>③智慧安防市场竞争格局 </w:t>
      </w:r>
      <w:r>
        <w:rPr>
          <w:spacing w:val="-2"/>
        </w:rPr>
        <w:t>安防行业竞争对手较多，在视频监控领域，海康威视和大华股份处于领先地位；在公共安全领域，公司控股孙公司信义</w:t>
      </w:r>
    </w:p>
    <w:p>
      <w:pPr>
        <w:pStyle w:val="BodyText"/>
        <w:spacing w:line="222" w:lineRule="exact"/>
        <w:ind w:right="0"/>
        <w:jc w:val="both"/>
      </w:pPr>
      <w:r>
        <w:rPr/>
        <w:t>科技的主要竞争对手有航天长峰、高新兴及佳都科技等。</w:t>
      </w:r>
    </w:p>
    <w:p>
      <w:pPr>
        <w:pStyle w:val="BodyText"/>
        <w:spacing w:line="357" w:lineRule="auto" w:before="117"/>
        <w:ind w:left="513" w:right="1913"/>
        <w:jc w:val="left"/>
      </w:pPr>
      <w:r>
        <w:rPr/>
        <w:t>④智慧政务市场竞争格局 涉及智慧城市及智慧政务市场的企业众多，主要有神州信息、数字政通、万达信息等上市公司。</w:t>
      </w:r>
    </w:p>
    <w:p>
      <w:pPr>
        <w:pStyle w:val="BodyText"/>
        <w:spacing w:line="352" w:lineRule="auto" w:before="29"/>
        <w:ind w:left="513" w:right="113"/>
        <w:jc w:val="left"/>
      </w:pPr>
      <w:r>
        <w:rPr/>
        <w:t>⑤智慧便民市场竞争格局 智慧便民市场方兴未艾，目前仍然存在较多的讨论与争议，各大互联网企业纷纷投入资金、技术，试图抢占龙头位置。 </w:t>
      </w:r>
      <w:r>
        <w:rPr>
          <w:rFonts w:ascii="Times New Roman" w:hAnsi="Times New Roman" w:cs="Times New Roman" w:eastAsia="Times New Roman" w:hint="default"/>
        </w:rPr>
        <w:t>2</w:t>
      </w:r>
      <w:r>
        <w:rPr/>
        <w:t>、公司的发展规划 </w:t>
      </w:r>
      <w:r>
        <w:rPr>
          <w:spacing w:val="-2"/>
        </w:rPr>
        <w:t>在习近平新时代中国特色社会主义思想指引下，充分发挥国有控股的竞争优势、员工持股的机制优势、科技创新的技术</w:t>
      </w:r>
    </w:p>
    <w:p>
      <w:pPr>
        <w:pStyle w:val="BodyText"/>
        <w:spacing w:line="309" w:lineRule="auto"/>
        <w:ind w:right="211"/>
        <w:jc w:val="both"/>
      </w:pPr>
      <w:r>
        <w:rPr/>
        <w:t>优势、布局全国的人才优势，实施以</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引领的战略转型和产业升级。继续做强做大金融智造与服务的存量，同时</w:t>
      </w:r>
      <w:r>
        <w:rPr>
          <w:spacing w:val="-74"/>
        </w:rPr>
        <w:t> </w:t>
      </w:r>
      <w:r>
        <w:rPr>
          <w:spacing w:val="-74"/>
        </w:rPr>
      </w:r>
      <w:r>
        <w:rPr>
          <w:spacing w:val="-2"/>
        </w:rPr>
        <w:t>快速扩展人工智能的产业增量，在智慧金融、智慧交通、智慧安防、智慧政务、智慧便民等领域为客户构建智能化应用与场</w:t>
      </w:r>
      <w:r>
        <w:rPr>
          <w:spacing w:val="-65"/>
        </w:rPr>
        <w:t> </w:t>
      </w:r>
      <w:r>
        <w:rPr>
          <w:spacing w:val="-65"/>
        </w:rPr>
      </w:r>
      <w:r>
        <w:rPr/>
        <w:t>景，为人民带来更便捷、更智能、更安全的服务与体验，成为构建科技强国、智慧中国的重要力量。</w:t>
      </w:r>
    </w:p>
    <w:p>
      <w:pPr>
        <w:pStyle w:val="BodyText"/>
        <w:spacing w:line="240" w:lineRule="auto" w:before="65"/>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年经营计划</w:t>
      </w:r>
    </w:p>
    <w:p>
      <w:pPr>
        <w:pStyle w:val="BodyText"/>
        <w:spacing w:line="300" w:lineRule="auto" w:before="101"/>
        <w:ind w:right="211" w:firstLine="360"/>
        <w:jc w:val="both"/>
      </w:pPr>
      <w:r>
        <w:rPr>
          <w:rFonts w:ascii="Times New Roman" w:hAnsi="Times New Roman" w:cs="Times New Roman" w:eastAsia="Times New Roman" w:hint="default"/>
        </w:rPr>
        <w:t>2018</w:t>
      </w:r>
      <w:r>
        <w:rPr/>
        <w:t>年是人工智能商业化元年，广电运通将围绕</w:t>
      </w:r>
      <w:r>
        <w:rPr>
          <w:rFonts w:ascii="Times New Roman" w:hAnsi="Times New Roman" w:cs="Times New Roman" w:eastAsia="Times New Roman" w:hint="default"/>
        </w:rPr>
        <w:t>“</w:t>
      </w:r>
      <w:r>
        <w:rPr/>
        <w:t>不忘初心</w:t>
      </w:r>
      <w:r>
        <w:rPr>
          <w:rFonts w:ascii="Times New Roman" w:hAnsi="Times New Roman" w:cs="Times New Roman" w:eastAsia="Times New Roman" w:hint="default"/>
        </w:rPr>
        <w:t>•</w:t>
      </w:r>
      <w:r>
        <w:rPr/>
        <w:t>做强人工智能，开启转型升级新时代</w:t>
      </w:r>
      <w:r>
        <w:rPr>
          <w:rFonts w:ascii="Times New Roman" w:hAnsi="Times New Roman" w:cs="Times New Roman" w:eastAsia="Times New Roman" w:hint="default"/>
        </w:rPr>
        <w:t>”</w:t>
      </w:r>
      <w:r>
        <w:rPr/>
        <w:t>的年度发展主题，秉 </w:t>
      </w:r>
      <w:r>
        <w:rPr>
          <w:spacing w:val="-2"/>
        </w:rPr>
        <w:t>持</w:t>
      </w:r>
      <w:r>
        <w:rPr>
          <w:rFonts w:ascii="Times New Roman" w:hAnsi="Times New Roman" w:cs="Times New Roman" w:eastAsia="Times New Roman" w:hint="default"/>
          <w:spacing w:val="-2"/>
        </w:rPr>
        <w:t>“</w:t>
      </w:r>
      <w:r>
        <w:rPr>
          <w:spacing w:val="-2"/>
        </w:rPr>
        <w:t>以创新的科技便利人类生活</w:t>
      </w:r>
      <w:r>
        <w:rPr>
          <w:rFonts w:ascii="Times New Roman" w:hAnsi="Times New Roman" w:cs="Times New Roman" w:eastAsia="Times New Roman" w:hint="default"/>
          <w:spacing w:val="-2"/>
        </w:rPr>
        <w:t>”</w:t>
      </w:r>
      <w:r>
        <w:rPr>
          <w:spacing w:val="-2"/>
        </w:rPr>
        <w:t>的发展动力与初心使命，紧跟行业、技术发展大势，深入拓展生物识别、智能视频、智能语</w:t>
      </w:r>
      <w:r>
        <w:rPr>
          <w:spacing w:val="-47"/>
        </w:rPr>
        <w:t> </w:t>
      </w:r>
      <w:r>
        <w:rPr>
          <w:spacing w:val="-47"/>
        </w:rPr>
      </w:r>
      <w:r>
        <w:rPr>
          <w:spacing w:val="-2"/>
        </w:rPr>
        <w:t>音、区块链等人工智能技术应用，扎实耕耘智慧金融行业，横向拓展智慧交通业务，大力开拓智慧安防、智慧政务、智慧便</w:t>
      </w:r>
    </w:p>
    <w:p>
      <w:pPr>
        <w:spacing w:after="0" w:line="300" w:lineRule="auto"/>
        <w:jc w:val="both"/>
        <w:sectPr>
          <w:pgSz w:w="11910" w:h="16840"/>
          <w:pgMar w:header="880" w:footer="979" w:top="1100" w:bottom="1160" w:left="980" w:right="920"/>
        </w:sectPr>
      </w:pPr>
    </w:p>
    <w:p>
      <w:pPr>
        <w:spacing w:line="240" w:lineRule="auto" w:before="0"/>
        <w:rPr>
          <w:rFonts w:ascii="宋体" w:hAnsi="宋体" w:cs="宋体" w:eastAsia="宋体" w:hint="default"/>
          <w:sz w:val="22"/>
          <w:szCs w:val="22"/>
        </w:rPr>
      </w:pPr>
    </w:p>
    <w:p>
      <w:pPr>
        <w:pStyle w:val="BodyText"/>
        <w:spacing w:line="360" w:lineRule="auto" w:before="44"/>
        <w:ind w:left="513" w:right="6933" w:hanging="361"/>
        <w:jc w:val="left"/>
      </w:pPr>
      <w:r>
        <w:rPr/>
        <w:t>民等创新领域。 重点做好以下几个方面的工作：</w:t>
      </w:r>
    </w:p>
    <w:p>
      <w:pPr>
        <w:pStyle w:val="BodyText"/>
        <w:spacing w:line="240" w:lineRule="auto" w:before="25"/>
        <w:ind w:left="513" w:right="87"/>
        <w:jc w:val="left"/>
      </w:pPr>
      <w:r>
        <w:rPr/>
        <w:t>（</w:t>
      </w:r>
      <w:r>
        <w:rPr>
          <w:rFonts w:ascii="Times New Roman" w:hAnsi="Times New Roman" w:cs="Times New Roman" w:eastAsia="Times New Roman" w:hint="default"/>
        </w:rPr>
        <w:t>1</w:t>
      </w:r>
      <w:r>
        <w:rPr/>
        <w:t>）制造业</w:t>
      </w:r>
    </w:p>
    <w:p>
      <w:pPr>
        <w:pStyle w:val="BodyText"/>
        <w:spacing w:line="360" w:lineRule="auto" w:before="103"/>
        <w:ind w:left="513" w:right="87"/>
        <w:jc w:val="left"/>
      </w:pPr>
      <w:r>
        <w:rPr/>
        <w:t>①国内营销：转变思维、整合资源，打造智慧金融最强营销平台 </w:t>
      </w:r>
      <w:r>
        <w:rPr>
          <w:spacing w:val="-2"/>
        </w:rPr>
        <w:t>在传统现金类设备市场需求增速放缓、设备价格持续下滑、行业洗牌加速的背景下，在银行业持续推进网点转型及业务</w:t>
      </w:r>
    </w:p>
    <w:p>
      <w:pPr>
        <w:pStyle w:val="BodyText"/>
        <w:spacing w:line="222" w:lineRule="exact"/>
        <w:ind w:right="0"/>
        <w:jc w:val="both"/>
      </w:pPr>
      <w:r>
        <w:rPr/>
        <w:t>流程规划重组的行业变革下，公司将深度拓展传统现金设备市场，重点推进大额存取款机总行入围，巩固国内传统现金类设</w:t>
      </w:r>
    </w:p>
    <w:p>
      <w:pPr>
        <w:pStyle w:val="BodyText"/>
        <w:spacing w:line="316" w:lineRule="auto" w:before="76"/>
        <w:ind w:right="87"/>
        <w:jc w:val="left"/>
      </w:pPr>
      <w:r>
        <w:rPr>
          <w:spacing w:val="-2"/>
        </w:rPr>
        <w:t>备市场第一的行业地位；紧跟银行需求变化，系统规划创新产品线，提升智能设备市场占有率；构筑网点转型综合解决方案</w:t>
      </w:r>
      <w:r>
        <w:rPr>
          <w:spacing w:val="-64"/>
        </w:rPr>
        <w:t> </w:t>
      </w:r>
      <w:r>
        <w:rPr>
          <w:spacing w:val="-64"/>
        </w:rPr>
      </w:r>
      <w:r>
        <w:rPr/>
        <w:t>竞争优势，打造行业网点集成样板工程；调整营销思维，整合营销资源，以开放融合的心态，积极拓展各项新兴业务。</w:t>
      </w:r>
    </w:p>
    <w:p>
      <w:pPr>
        <w:pStyle w:val="BodyText"/>
        <w:spacing w:line="360" w:lineRule="auto" w:before="57"/>
        <w:ind w:left="513" w:right="87"/>
        <w:jc w:val="left"/>
      </w:pPr>
      <w:r>
        <w:rPr/>
        <w:t>②海外市场：深度经营、资本助力，推动海外业务持续增长 采取重点市场重点投入的总体策略，深度经营重点市场，战略突破潜力市场；持续深化传统</w:t>
      </w:r>
      <w:r>
        <w:rPr>
          <w:rFonts w:ascii="Times New Roman" w:hAnsi="Times New Roman" w:cs="Times New Roman" w:eastAsia="Times New Roman" w:hint="default"/>
        </w:rPr>
        <w:t>ATM</w:t>
      </w:r>
      <w:r>
        <w:rPr/>
        <w:t>、网点智能化设备、</w:t>
      </w:r>
    </w:p>
    <w:p>
      <w:pPr>
        <w:pStyle w:val="BodyText"/>
        <w:spacing w:line="199" w:lineRule="exact"/>
        <w:ind w:right="0"/>
        <w:jc w:val="both"/>
      </w:pPr>
      <w:r>
        <w:rPr/>
        <w:t>清分机等主要产品策略，积极研究创新型网点业务形态，利用资本手段，寻求银行外包服务、软件等业务机会；深入推进本</w:t>
      </w:r>
    </w:p>
    <w:p>
      <w:pPr>
        <w:pStyle w:val="BodyText"/>
        <w:spacing w:line="240" w:lineRule="auto" w:before="76"/>
        <w:ind w:right="0"/>
        <w:jc w:val="both"/>
      </w:pPr>
      <w:r>
        <w:rPr/>
        <w:t>地化经营模式，理清总部职能部门定位，强化总部</w:t>
      </w:r>
      <w:r>
        <w:rPr>
          <w:rFonts w:ascii="Times New Roman" w:hAnsi="Times New Roman" w:cs="Times New Roman" w:eastAsia="Times New Roman" w:hint="default"/>
        </w:rPr>
        <w:t>IT</w:t>
      </w:r>
      <w:r>
        <w:rPr/>
        <w:t>平台和软件技术支持能力；完善分支机构基础制度体系建设。</w:t>
      </w:r>
    </w:p>
    <w:p>
      <w:pPr>
        <w:pStyle w:val="BodyText"/>
        <w:spacing w:line="357" w:lineRule="auto" w:before="103"/>
        <w:ind w:left="513" w:right="87"/>
        <w:jc w:val="left"/>
      </w:pPr>
      <w:r>
        <w:rPr/>
        <w:t>③智慧交通：聚集资源、横向拓展，做大做强智慧交通产业 </w:t>
      </w:r>
      <w:r>
        <w:rPr>
          <w:spacing w:val="-1"/>
        </w:rPr>
        <w:t>在地铁、高铁市场，探索</w:t>
      </w:r>
      <w:r>
        <w:rPr>
          <w:rFonts w:ascii="Times New Roman" w:hAnsi="Times New Roman" w:cs="Times New Roman" w:eastAsia="Times New Roman" w:hint="default"/>
          <w:spacing w:val="-1"/>
        </w:rPr>
        <w:t>PPP</w:t>
      </w:r>
      <w:r>
        <w:rPr>
          <w:spacing w:val="-1"/>
        </w:rPr>
        <w:t>业务模式，横向拓展智慧交通产业链；结合人工智能技术，寻求人脸过闸、安检等新业务</w:t>
      </w:r>
    </w:p>
    <w:p>
      <w:pPr>
        <w:pStyle w:val="BodyText"/>
        <w:spacing w:line="201" w:lineRule="exact"/>
        <w:ind w:right="0"/>
        <w:jc w:val="both"/>
      </w:pPr>
      <w:r>
        <w:rPr/>
        <w:t>机会，提供轨道大交通系统解决方案；以互联网运营思维，进一步拓展终端模块业务布局，打造标杆项目，逐步形成规模效</w:t>
      </w:r>
    </w:p>
    <w:p>
      <w:pPr>
        <w:pStyle w:val="BodyText"/>
        <w:spacing w:line="240" w:lineRule="auto" w:before="76"/>
        <w:ind w:right="0"/>
        <w:jc w:val="both"/>
      </w:pPr>
      <w:r>
        <w:rPr/>
        <w:t>应；重点引进创新业务高素质人才，促进业务转型。</w:t>
      </w:r>
    </w:p>
    <w:p>
      <w:pPr>
        <w:pStyle w:val="BodyText"/>
        <w:spacing w:line="360" w:lineRule="auto" w:before="117"/>
        <w:ind w:left="513" w:right="87"/>
        <w:jc w:val="left"/>
      </w:pPr>
      <w:r>
        <w:rPr/>
        <w:t>④清分机业务：夯实清分基础，提升运营效率，加快转型步伐 </w:t>
      </w:r>
      <w:r>
        <w:rPr>
          <w:spacing w:val="-4"/>
        </w:rPr>
        <w:t>聚焦传统清分产品竞争力提升，加快市场拓展力度，提升市场占有率；优化产品布局，加快推进新一代清分机量产替代；</w:t>
      </w:r>
    </w:p>
    <w:p>
      <w:pPr>
        <w:pStyle w:val="BodyText"/>
        <w:spacing w:line="222" w:lineRule="exact"/>
        <w:ind w:right="0"/>
        <w:jc w:val="both"/>
      </w:pPr>
      <w:r>
        <w:rPr/>
        <w:t>强化供应链管理，优化库存；围绕银行新需求，布局与实施金库智能化改造解决方案；整合营销资源，优化公司组织架构和</w:t>
      </w:r>
    </w:p>
    <w:p>
      <w:pPr>
        <w:pStyle w:val="BodyText"/>
        <w:spacing w:line="240" w:lineRule="auto" w:before="76"/>
        <w:ind w:right="0"/>
        <w:jc w:val="both"/>
      </w:pPr>
      <w:r>
        <w:rPr/>
        <w:t>职责分工，提升运营效率；积极寻找战略上可支撑公司长远发展的业务，加快企业转型步伐。</w:t>
      </w:r>
    </w:p>
    <w:p>
      <w:pPr>
        <w:pStyle w:val="BodyText"/>
        <w:spacing w:line="360" w:lineRule="auto" w:before="115"/>
        <w:ind w:left="513" w:right="87"/>
        <w:jc w:val="left"/>
      </w:pPr>
      <w:r>
        <w:rPr/>
        <w:t>⑤读卡器业务：有序过渡、规范管理，构建模块业务新格局 </w:t>
      </w:r>
      <w:r>
        <w:rPr>
          <w:spacing w:val="-2"/>
        </w:rPr>
        <w:t>深化</w:t>
      </w:r>
      <w:r>
        <w:rPr>
          <w:rFonts w:ascii="Times New Roman" w:hAnsi="Times New Roman" w:cs="Times New Roman" w:eastAsia="Times New Roman" w:hint="default"/>
          <w:spacing w:val="-2"/>
        </w:rPr>
        <w:t>“</w:t>
      </w:r>
      <w:r>
        <w:rPr>
          <w:spacing w:val="-2"/>
        </w:rPr>
        <w:t>稳抓国内、拓延海外</w:t>
      </w:r>
      <w:r>
        <w:rPr>
          <w:rFonts w:ascii="Times New Roman" w:hAnsi="Times New Roman" w:cs="Times New Roman" w:eastAsia="Times New Roman" w:hint="default"/>
          <w:spacing w:val="-2"/>
        </w:rPr>
        <w:t>”</w:t>
      </w:r>
      <w:r>
        <w:rPr>
          <w:spacing w:val="-2"/>
        </w:rPr>
        <w:t>的总体营销策略，重点拓展金融、通信、彩票等行业；推进乱序发卡、金融便携终端等产品</w:t>
      </w:r>
    </w:p>
    <w:p>
      <w:pPr>
        <w:pStyle w:val="BodyText"/>
        <w:spacing w:line="199" w:lineRule="exact"/>
        <w:ind w:right="0"/>
        <w:jc w:val="both"/>
      </w:pPr>
      <w:r>
        <w:rPr/>
        <w:t>技术研发，依托现有客户规划布局至少一条创新产品线；搭建新业务孵化平台，积累发展新动能；做好股权投资第一阶段核</w:t>
      </w:r>
    </w:p>
    <w:p>
      <w:pPr>
        <w:pStyle w:val="BodyText"/>
        <w:spacing w:line="240" w:lineRule="auto" w:before="76"/>
        <w:ind w:right="0"/>
        <w:jc w:val="both"/>
      </w:pPr>
      <w:r>
        <w:rPr/>
        <w:t>算工作，实现有序过渡；持续优化经营管理团队，加强内部管控，利用好总部供应链资源，构建模块业务新格局。</w:t>
      </w:r>
    </w:p>
    <w:p>
      <w:pPr>
        <w:pStyle w:val="BodyText"/>
        <w:spacing w:line="357" w:lineRule="auto" w:before="117"/>
        <w:ind w:left="513" w:right="87"/>
        <w:jc w:val="left"/>
      </w:pPr>
      <w:r>
        <w:rPr/>
        <w:t>⑥智造中心：加强产销研协同，全面提升供应链管理水平 </w:t>
      </w:r>
      <w:r>
        <w:rPr>
          <w:spacing w:val="-1"/>
        </w:rPr>
        <w:t>重点优化</w:t>
      </w:r>
      <w:r>
        <w:rPr>
          <w:rFonts w:ascii="Times New Roman" w:hAnsi="Times New Roman" w:cs="Times New Roman" w:eastAsia="Times New Roman" w:hint="default"/>
          <w:spacing w:val="-1"/>
        </w:rPr>
        <w:t>V</w:t>
      </w:r>
      <w:r>
        <w:rPr>
          <w:spacing w:val="-1"/>
        </w:rPr>
        <w:t>系列产品，降本提质，确保全面切换工作；加快大额存取款设备研发，全力保障总行测试；产销研协同，聚</w:t>
      </w:r>
    </w:p>
    <w:p>
      <w:pPr>
        <w:pStyle w:val="BodyText"/>
        <w:spacing w:line="201" w:lineRule="exact"/>
        <w:ind w:right="0"/>
        <w:jc w:val="both"/>
      </w:pPr>
      <w:r>
        <w:rPr/>
        <w:t>焦网点标准产品，完善备货供货机制，提升快速开发与柔性制造能力，保障产品质量；围绕成本、交期、质量等目标，持续</w:t>
      </w:r>
    </w:p>
    <w:p>
      <w:pPr>
        <w:pStyle w:val="BodyText"/>
        <w:spacing w:line="316" w:lineRule="auto" w:before="76"/>
        <w:ind w:right="87"/>
        <w:jc w:val="left"/>
      </w:pPr>
      <w:r>
        <w:rPr>
          <w:spacing w:val="-2"/>
        </w:rPr>
        <w:t>优化供应链，满足快速响应需求；各方联动严格控制库存，并重点集中清理呆滞库存；配合落实公司行业人工智能战略，以</w:t>
      </w:r>
      <w:r>
        <w:rPr>
          <w:spacing w:val="-66"/>
        </w:rPr>
        <w:t> </w:t>
      </w:r>
      <w:r>
        <w:rPr>
          <w:spacing w:val="-66"/>
        </w:rPr>
      </w:r>
      <w:r>
        <w:rPr/>
        <w:t>更开放的心态，积极整合珠三角制造资源，目标是打造具有核心竞争力的智造中心。</w:t>
      </w:r>
    </w:p>
    <w:p>
      <w:pPr>
        <w:pStyle w:val="BodyText"/>
        <w:spacing w:line="360" w:lineRule="auto" w:before="59"/>
        <w:ind w:left="513" w:right="87"/>
        <w:jc w:val="left"/>
      </w:pPr>
      <w:r>
        <w:rPr/>
        <w:t>⑦技术研发：加大投入、优化架构，集聚转型发展新动能 通过业务需求驱动技术创新，与</w:t>
      </w:r>
      <w:r>
        <w:rPr>
          <w:rFonts w:ascii="Times New Roman" w:hAnsi="Times New Roman" w:cs="Times New Roman" w:eastAsia="Times New Roman" w:hint="default"/>
        </w:rPr>
        <w:t>Aibee</w:t>
      </w:r>
      <w:r>
        <w:rPr/>
        <w:t>等人工智能领域知名企业展开深度合作，务实开展生物识别、智能语音、智能视</w:t>
      </w:r>
    </w:p>
    <w:p>
      <w:pPr>
        <w:pStyle w:val="BodyText"/>
        <w:spacing w:line="199" w:lineRule="exact"/>
        <w:ind w:right="0"/>
        <w:jc w:val="both"/>
      </w:pPr>
      <w:r>
        <w:rPr/>
        <w:t>频、区块链等技术研发工作；持续完善已孵化产品性能，推动相关产品在智慧金融、智慧安防、智慧交通等领域成熟应用；</w:t>
      </w:r>
    </w:p>
    <w:p>
      <w:pPr>
        <w:pStyle w:val="BodyText"/>
        <w:spacing w:line="316" w:lineRule="auto" w:before="76"/>
        <w:ind w:right="87"/>
        <w:jc w:val="left"/>
      </w:pPr>
      <w:r>
        <w:rPr>
          <w:spacing w:val="-2"/>
        </w:rPr>
        <w:t>创新激励机制，加快引进行业高端人才，构建公司人工智能技术研发组织体系，支撑各业务板块转型升级，打造国内领先的</w:t>
      </w:r>
      <w:r>
        <w:rPr>
          <w:spacing w:val="-65"/>
        </w:rPr>
        <w:t> </w:t>
      </w:r>
      <w:r>
        <w:rPr>
          <w:spacing w:val="-65"/>
        </w:rPr>
      </w:r>
      <w:r>
        <w:rPr/>
        <w:t>人工智能产学研平台。</w:t>
      </w:r>
    </w:p>
    <w:p>
      <w:pPr>
        <w:pStyle w:val="BodyText"/>
        <w:spacing w:line="240" w:lineRule="auto" w:before="57"/>
        <w:ind w:left="424" w:right="87"/>
        <w:jc w:val="left"/>
      </w:pPr>
      <w:r>
        <w:rPr/>
        <w:t>（</w:t>
      </w:r>
      <w:r>
        <w:rPr>
          <w:rFonts w:ascii="Times New Roman" w:hAnsi="Times New Roman" w:cs="Times New Roman" w:eastAsia="Times New Roman" w:hint="default"/>
        </w:rPr>
        <w:t>2</w:t>
      </w:r>
      <w:r>
        <w:rPr/>
        <w:t>）服务业</w:t>
      </w:r>
    </w:p>
    <w:p>
      <w:pPr>
        <w:pStyle w:val="BodyText"/>
        <w:spacing w:line="360" w:lineRule="auto" w:before="103"/>
        <w:ind w:left="513" w:right="87"/>
        <w:jc w:val="left"/>
      </w:pPr>
      <w:r>
        <w:rPr/>
        <w:t>①金融维保业务：固本拓新，科技引领，持续构筑设备维保核心竞争力 </w:t>
      </w:r>
      <w:r>
        <w:rPr>
          <w:spacing w:val="-2"/>
        </w:rPr>
        <w:t>完善金融全设备管理云平台，提升设备运维核心竞争力；重点突破城商、农信等区域客户全设备维保业务，打造样板工</w:t>
      </w:r>
    </w:p>
    <w:p>
      <w:pPr>
        <w:pStyle w:val="BodyText"/>
        <w:spacing w:line="222" w:lineRule="exact"/>
        <w:ind w:right="0"/>
        <w:jc w:val="both"/>
      </w:pPr>
      <w:r>
        <w:rPr/>
        <w:t>程，同时策划推进总行业务机会；全方位推进降本增效，向管理要效益；以平云小匠为平台，聚焦自助设备、商业显示屏、</w:t>
      </w:r>
    </w:p>
    <w:p>
      <w:pPr>
        <w:pStyle w:val="BodyText"/>
        <w:spacing w:line="309" w:lineRule="auto" w:before="76"/>
        <w:ind w:right="190"/>
        <w:jc w:val="both"/>
      </w:pPr>
      <w:r>
        <w:rPr>
          <w:rFonts w:ascii="Times New Roman" w:hAnsi="Times New Roman" w:cs="Times New Roman" w:eastAsia="Times New Roman" w:hint="default"/>
        </w:rPr>
        <w:t>IT</w:t>
      </w:r>
      <w:r>
        <w:rPr/>
        <w:t>网络设备服务三大领域，加强与粤铁天福、富士康等厂商合作，加速</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平台建设，打造品牌影响力；以便民</w:t>
      </w:r>
      <w:r>
        <w:rPr>
          <w:spacing w:val="-65"/>
        </w:rPr>
        <w:t> </w:t>
      </w:r>
      <w:r>
        <w:rPr>
          <w:spacing w:val="-65"/>
        </w:rPr>
      </w:r>
      <w:r>
        <w:rPr>
          <w:spacing w:val="-2"/>
        </w:rPr>
        <w:t>作为战略定位，探索智能新零售业务，重点引进行业资深专才，加大科技投入，利用好服务优势，逐步推进规模化经营；全</w:t>
      </w:r>
      <w:r>
        <w:rPr>
          <w:spacing w:val="-70"/>
        </w:rPr>
        <w:t> </w:t>
      </w:r>
      <w:r>
        <w:rPr>
          <w:spacing w:val="-70"/>
        </w:rPr>
      </w:r>
      <w:r>
        <w:rPr/>
        <w:t>面规划合理使用募集资金，加快推进产业基地建设。</w:t>
      </w:r>
    </w:p>
    <w:p>
      <w:pPr>
        <w:pStyle w:val="BodyText"/>
        <w:spacing w:line="240" w:lineRule="auto" w:before="62"/>
        <w:ind w:left="513" w:right="87"/>
        <w:jc w:val="left"/>
      </w:pPr>
      <w:r>
        <w:rPr/>
        <w:t>②现金外包服务业务：择优并购、整合资源，打造国内现金安全服务第一品牌</w:t>
      </w:r>
    </w:p>
    <w:p>
      <w:pPr>
        <w:spacing w:after="0" w:line="240" w:lineRule="auto"/>
        <w:jc w:val="left"/>
        <w:sectPr>
          <w:pgSz w:w="11910" w:h="16840"/>
          <w:pgMar w:header="880" w:footer="979" w:top="1100" w:bottom="1160" w:left="980" w:right="940"/>
        </w:sectPr>
      </w:pPr>
    </w:p>
    <w:p>
      <w:pPr>
        <w:spacing w:line="240" w:lineRule="auto" w:before="0"/>
        <w:rPr>
          <w:rFonts w:ascii="宋体" w:hAnsi="宋体" w:cs="宋体" w:eastAsia="宋体" w:hint="default"/>
          <w:sz w:val="22"/>
          <w:szCs w:val="22"/>
        </w:rPr>
      </w:pPr>
    </w:p>
    <w:p>
      <w:pPr>
        <w:pStyle w:val="BodyText"/>
        <w:spacing w:line="316" w:lineRule="auto" w:before="44"/>
        <w:ind w:right="191" w:firstLine="360"/>
        <w:jc w:val="both"/>
      </w:pPr>
      <w:r>
        <w:rPr>
          <w:spacing w:val="-2"/>
        </w:rPr>
        <w:t>适时调整全国押运公司并购策略，根据条件择优收购；持续深化全国已布局的押运公司资源整合，构筑核心竞争力；完</w:t>
      </w:r>
      <w:r>
        <w:rPr/>
        <w:t> </w:t>
      </w:r>
      <w:r>
        <w:rPr>
          <w:spacing w:val="-2"/>
        </w:rPr>
        <w:t>善全外包管理平台，策划推进重点项目落地；垂直整合全外包产业链，打造国内现金安全服务第一品牌；广州穗通定位于现</w:t>
      </w:r>
      <w:r>
        <w:rPr>
          <w:spacing w:val="-65"/>
        </w:rPr>
        <w:t> </w:t>
      </w:r>
      <w:r>
        <w:rPr>
          <w:spacing w:val="-65"/>
        </w:rPr>
      </w:r>
      <w:r>
        <w:rPr>
          <w:spacing w:val="-2"/>
        </w:rPr>
        <w:t>金外包试验田，深耕广州传统现金外包业务，把握好与穗保合作关系，同时要开源节流、降本增效；强化全外包业务危机管</w:t>
      </w:r>
      <w:r>
        <w:rPr>
          <w:spacing w:val="-67"/>
        </w:rPr>
        <w:t> </w:t>
      </w:r>
      <w:r>
        <w:rPr>
          <w:spacing w:val="-67"/>
        </w:rPr>
      </w:r>
      <w:r>
        <w:rPr/>
        <w:t>理和风险管控机制，完善审计监察、预算及授权管理体系。</w:t>
      </w:r>
    </w:p>
    <w:p>
      <w:pPr>
        <w:pStyle w:val="BodyText"/>
        <w:spacing w:line="357" w:lineRule="auto" w:before="59"/>
        <w:ind w:left="513" w:right="87"/>
        <w:jc w:val="left"/>
      </w:pPr>
      <w:r>
        <w:rPr/>
        <w:t>③非现金外包服务业务：深化布局、降本增效，构筑非现外包业务竞争优势 </w:t>
      </w:r>
      <w:r>
        <w:rPr>
          <w:spacing w:val="-2"/>
        </w:rPr>
        <w:t>扩大客服、外呼等传统业务规模，持续优化业务结构，推进智慧银行、智能语音等应用解决方案有效落地；健全人才梯</w:t>
      </w:r>
    </w:p>
    <w:p>
      <w:pPr>
        <w:pStyle w:val="BodyText"/>
        <w:spacing w:line="224" w:lineRule="exact"/>
        <w:ind w:right="0"/>
        <w:jc w:val="both"/>
      </w:pPr>
      <w:r>
        <w:rPr/>
        <w:t>队及激励机制，利用总部营销平台，深入拓展银行客户资源；积极寻找并购标的，打造非现外包全产业链。</w:t>
      </w:r>
    </w:p>
    <w:p>
      <w:pPr>
        <w:pStyle w:val="BodyText"/>
        <w:spacing w:line="240" w:lineRule="auto" w:before="117"/>
        <w:ind w:left="513" w:right="87"/>
        <w:jc w:val="left"/>
      </w:pPr>
      <w:r>
        <w:rPr/>
        <w:t>（</w:t>
      </w:r>
      <w:r>
        <w:rPr>
          <w:rFonts w:ascii="Times New Roman" w:hAnsi="Times New Roman" w:cs="Times New Roman" w:eastAsia="Times New Roman" w:hint="default"/>
        </w:rPr>
        <w:t>3</w:t>
      </w:r>
      <w:r>
        <w:rPr/>
        <w:t>）创新业务</w:t>
      </w:r>
    </w:p>
    <w:p>
      <w:pPr>
        <w:pStyle w:val="BodyText"/>
        <w:spacing w:line="357" w:lineRule="auto" w:before="103"/>
        <w:ind w:left="513" w:right="87"/>
        <w:jc w:val="left"/>
      </w:pPr>
      <w:r>
        <w:rPr/>
        <w:t>①平安城市：系统布局、资本驱动，打造城市公共安全服务骨干提供商 </w:t>
      </w:r>
      <w:r>
        <w:rPr>
          <w:spacing w:val="-4"/>
        </w:rPr>
        <w:t>抓紧组建业务核心团队，利用押运公司本地优势及现有安防业务资源，拓展区域安防运营业务，力促重点项目落地实施；</w:t>
      </w:r>
    </w:p>
    <w:p>
      <w:pPr>
        <w:pStyle w:val="BodyText"/>
        <w:spacing w:line="309" w:lineRule="auto"/>
        <w:ind w:right="188"/>
        <w:jc w:val="both"/>
      </w:pPr>
      <w:r>
        <w:rPr>
          <w:spacing w:val="-2"/>
        </w:rPr>
        <w:t>以战略投资深圳信义为起点，加速对智能安防类创新企业的战略投资和资本并购，打造平安城市项目标杆，建设智慧城市安</w:t>
      </w:r>
      <w:r>
        <w:rPr>
          <w:spacing w:val="-61"/>
        </w:rPr>
        <w:t> </w:t>
      </w:r>
      <w:r>
        <w:rPr>
          <w:spacing w:val="-61"/>
        </w:rPr>
      </w:r>
      <w:r>
        <w:rPr>
          <w:spacing w:val="-2"/>
        </w:rPr>
        <w:t>防运营体系；整合公司智能公共安全技术资源，以</w:t>
      </w:r>
      <w:r>
        <w:rPr>
          <w:rFonts w:ascii="Times New Roman" w:hAnsi="Times New Roman" w:cs="Times New Roman" w:eastAsia="Times New Roman" w:hint="default"/>
          <w:spacing w:val="-2"/>
        </w:rPr>
        <w:t>“</w:t>
      </w:r>
      <w:r>
        <w:rPr>
          <w:spacing w:val="-2"/>
        </w:rPr>
        <w:t>打造业内最具影响力的智能公共安全研发机构</w:t>
      </w:r>
      <w:r>
        <w:rPr>
          <w:rFonts w:ascii="Times New Roman" w:hAnsi="Times New Roman" w:cs="Times New Roman" w:eastAsia="Times New Roman" w:hint="default"/>
          <w:spacing w:val="-2"/>
        </w:rPr>
        <w:t>”</w:t>
      </w:r>
      <w:r>
        <w:rPr>
          <w:spacing w:val="-2"/>
        </w:rPr>
        <w:t>为目标，打造技术创新组</w:t>
      </w:r>
      <w:r>
        <w:rPr>
          <w:spacing w:val="-43"/>
        </w:rPr>
        <w:t> </w:t>
      </w:r>
      <w:r>
        <w:rPr>
          <w:spacing w:val="-43"/>
        </w:rPr>
      </w:r>
      <w:r>
        <w:rPr/>
        <w:t>织体系；加大技术人才引进，与人工智能技术团队高效协同，促进产业转型升级。</w:t>
      </w:r>
    </w:p>
    <w:p>
      <w:pPr>
        <w:pStyle w:val="BodyText"/>
        <w:spacing w:line="360" w:lineRule="auto" w:before="65"/>
        <w:ind w:left="513" w:right="87"/>
        <w:jc w:val="left"/>
      </w:pPr>
      <w:r>
        <w:rPr/>
        <w:t>②人工智能：积极布局、适度聚焦，构筑核心竞争力 </w:t>
      </w:r>
      <w:r>
        <w:rPr>
          <w:spacing w:val="-2"/>
        </w:rPr>
        <w:t>积极打造智慧交通、智慧政务、智慧便民等领域的标杆应用场景，加大生物特征识别技术的研发投入和音视频大数据分</w:t>
      </w:r>
    </w:p>
    <w:p>
      <w:pPr>
        <w:pStyle w:val="BodyText"/>
        <w:spacing w:line="222" w:lineRule="exact"/>
        <w:ind w:right="0"/>
        <w:jc w:val="both"/>
      </w:pPr>
      <w:r>
        <w:rPr/>
        <w:t>析的国际合作，形成行业人工智能应用解决方案，参与大数据基础设施和平台建设，在所聚焦的人工智能应用领域形成基础</w:t>
      </w:r>
    </w:p>
    <w:p>
      <w:pPr>
        <w:pStyle w:val="BodyText"/>
        <w:spacing w:line="240" w:lineRule="auto" w:before="76"/>
        <w:ind w:right="0"/>
        <w:jc w:val="both"/>
      </w:pPr>
      <w:r>
        <w:rPr/>
        <w:t>层、技术层、应用层的全生态链布局。</w:t>
      </w:r>
    </w:p>
    <w:p>
      <w:pPr>
        <w:pStyle w:val="BodyText"/>
        <w:spacing w:line="240" w:lineRule="auto" w:before="115"/>
        <w:ind w:left="513" w:right="87"/>
        <w:jc w:val="left"/>
      </w:pPr>
      <w:r>
        <w:rPr/>
        <w:t>（</w:t>
      </w:r>
      <w:r>
        <w:rPr>
          <w:rFonts w:ascii="Times New Roman" w:hAnsi="Times New Roman" w:cs="Times New Roman" w:eastAsia="Times New Roman" w:hint="default"/>
        </w:rPr>
        <w:t>4</w:t>
      </w:r>
      <w:r>
        <w:rPr/>
        <w:t>）软实力建设</w:t>
      </w:r>
    </w:p>
    <w:p>
      <w:pPr>
        <w:pStyle w:val="BodyText"/>
        <w:spacing w:line="316" w:lineRule="auto" w:before="103"/>
        <w:ind w:right="100" w:firstLine="360"/>
        <w:jc w:val="both"/>
      </w:pPr>
      <w:r>
        <w:rPr>
          <w:spacing w:val="-4"/>
        </w:rPr>
        <w:t>①集团化管理体系建设：落实“全球化、集团化、移动化、可量化”管理要求，系统推进企管、财务、人力资源、公关、</w:t>
      </w:r>
      <w:r>
        <w:rPr/>
        <w:t> 法务、审计、证券等各子体系的集团化</w:t>
      </w:r>
      <w:r>
        <w:rPr>
          <w:rFonts w:ascii="Times New Roman" w:hAnsi="Times New Roman" w:cs="Times New Roman" w:eastAsia="Times New Roman" w:hint="default"/>
        </w:rPr>
        <w:t>2.0</w:t>
      </w:r>
      <w:r>
        <w:rPr/>
        <w:t>建设。</w:t>
      </w:r>
    </w:p>
    <w:p>
      <w:pPr>
        <w:pStyle w:val="BodyText"/>
        <w:spacing w:line="316" w:lineRule="auto" w:before="40"/>
        <w:ind w:right="193" w:firstLine="360"/>
        <w:jc w:val="both"/>
      </w:pPr>
      <w:r>
        <w:rPr>
          <w:spacing w:val="-2"/>
        </w:rPr>
        <w:t>②人才管理策略：优化集团人才结构，重点引进创新领域高端技术人才，鼓励人才内部流动；持续完善各板块绩效考核</w:t>
      </w:r>
      <w:r>
        <w:rPr/>
        <w:t> 机制，支持下属单位探索更具竞争力的激励机制。</w:t>
      </w:r>
    </w:p>
    <w:p>
      <w:pPr>
        <w:pStyle w:val="BodyText"/>
        <w:spacing w:line="316" w:lineRule="auto" w:before="57"/>
        <w:ind w:right="193" w:firstLine="360"/>
        <w:jc w:val="both"/>
      </w:pPr>
      <w:r>
        <w:rPr>
          <w:spacing w:val="-2"/>
        </w:rPr>
        <w:t>③财务管理策略：完善内部关联交易、预算管理等财务制度；加大中高级财务骨干引进与培育力度，为并购企业派驻财</w:t>
      </w:r>
      <w:r>
        <w:rPr/>
        <w:t> 务负责人储备人才；筹建财务管理中心，全面提升业财融合水平。</w:t>
      </w:r>
    </w:p>
    <w:p>
      <w:pPr>
        <w:pStyle w:val="BodyText"/>
        <w:spacing w:line="300" w:lineRule="auto" w:before="59"/>
        <w:ind w:right="102" w:firstLine="360"/>
        <w:jc w:val="both"/>
      </w:pPr>
      <w:r>
        <w:rPr>
          <w:spacing w:val="-8"/>
          <w:w w:val="99"/>
        </w:rPr>
        <w:t>④信息化建设策略：推进算力中心、“混合云”等项目建设，为公司战略转型提供信息化保障；持续优化协同办公（</w:t>
      </w:r>
      <w:r>
        <w:rPr>
          <w:rFonts w:ascii="Times New Roman" w:hAnsi="Times New Roman" w:cs="Times New Roman" w:eastAsia="Times New Roman" w:hint="default"/>
          <w:spacing w:val="-8"/>
          <w:w w:val="99"/>
        </w:rPr>
        <w:t>OA</w:t>
      </w:r>
      <w:r>
        <w:rPr>
          <w:spacing w:val="-8"/>
          <w:w w:val="99"/>
        </w:rPr>
        <w:t>）、</w:t>
      </w:r>
      <w:r>
        <w:rPr/>
        <w:t> 海外客户关系管理（</w:t>
      </w:r>
      <w:r>
        <w:rPr>
          <w:rFonts w:ascii="Times New Roman" w:hAnsi="Times New Roman" w:cs="Times New Roman" w:eastAsia="Times New Roman" w:hint="default"/>
        </w:rPr>
        <w:t>CRM</w:t>
      </w:r>
      <w:r>
        <w:rPr/>
        <w:t>）等信息化系统，实现移动化延伸。</w:t>
      </w:r>
    </w:p>
    <w:p>
      <w:pPr>
        <w:pStyle w:val="BodyText"/>
        <w:spacing w:line="316" w:lineRule="auto" w:before="53"/>
        <w:ind w:right="195" w:firstLine="360"/>
        <w:jc w:val="both"/>
      </w:pPr>
      <w:r>
        <w:rPr>
          <w:spacing w:val="-2"/>
        </w:rPr>
        <w:t>⑤品牌建设策略：围绕“行业人工智能”系统策划品牌传播方案，充分利用行业重大事件、峰会论坛、媒体报道等传播</w:t>
      </w:r>
      <w:r>
        <w:rPr/>
        <w:t> 渠道，积极探索与创新创业类媒体机构合作，做好广电运通品牌传播和价值传播。</w:t>
      </w:r>
    </w:p>
    <w:p>
      <w:pPr>
        <w:pStyle w:val="BodyText"/>
        <w:spacing w:line="316" w:lineRule="auto" w:before="57"/>
        <w:ind w:right="190" w:firstLine="360"/>
        <w:jc w:val="both"/>
      </w:pPr>
      <w:r>
        <w:rPr>
          <w:spacing w:val="-2"/>
        </w:rPr>
        <w:t>⑥党建工作：加强党员队伍及基层党支部建设，探索与广电运通转型升级相适应的党建工作体系；健全党风廉政建设机</w:t>
      </w:r>
      <w:r>
        <w:rPr/>
        <w:t> 制，重点加强对重点领域、敏感岗位和关键环节的监督，为公司规范有序经营保驾护航。</w:t>
      </w:r>
    </w:p>
    <w:p>
      <w:pPr>
        <w:pStyle w:val="BodyText"/>
        <w:spacing w:line="240" w:lineRule="auto" w:before="60"/>
        <w:ind w:left="513" w:right="87"/>
        <w:jc w:val="left"/>
      </w:pPr>
      <w:r>
        <w:rPr>
          <w:rFonts w:ascii="Times New Roman" w:hAnsi="Times New Roman" w:cs="Times New Roman" w:eastAsia="Times New Roman" w:hint="default"/>
        </w:rPr>
        <w:t>4</w:t>
      </w:r>
      <w:r>
        <w:rPr/>
        <w:t>、资金需求及使用计划</w:t>
      </w:r>
    </w:p>
    <w:p>
      <w:pPr>
        <w:pStyle w:val="BodyText"/>
        <w:spacing w:line="309" w:lineRule="auto" w:before="103"/>
        <w:ind w:right="193" w:firstLine="360"/>
        <w:jc w:val="both"/>
      </w:pPr>
      <w:r>
        <w:rPr>
          <w:rFonts w:ascii="Times New Roman" w:hAnsi="Times New Roman" w:cs="Times New Roman" w:eastAsia="Times New Roman" w:hint="default"/>
        </w:rPr>
        <w:t>2018</w:t>
      </w:r>
      <w:r>
        <w:rPr/>
        <w:t>年是人工智能商业化元年，公司将围绕“不忘初心</w:t>
      </w:r>
      <w:r>
        <w:rPr>
          <w:rFonts w:ascii="Times New Roman" w:hAnsi="Times New Roman" w:cs="Times New Roman" w:eastAsia="Times New Roman" w:hint="default"/>
        </w:rPr>
        <w:t>•</w:t>
      </w:r>
      <w:r>
        <w:rPr/>
        <w:t>做强人工智能，开启转型升级新时代”的年度发展主题，紧跟 </w:t>
      </w:r>
      <w:r>
        <w:rPr>
          <w:spacing w:val="-2"/>
        </w:rPr>
        <w:t>行业、技术发展大势，深入拓展生物识别、智能语音、智能视频、大数据等人工智能技术应用，扎实耕耘智慧金融行业，大</w:t>
      </w:r>
      <w:r>
        <w:rPr>
          <w:spacing w:val="-71"/>
        </w:rPr>
        <w:t> </w:t>
      </w:r>
      <w:r>
        <w:rPr>
          <w:spacing w:val="-71"/>
        </w:rPr>
      </w:r>
      <w:r>
        <w:rPr>
          <w:spacing w:val="-2"/>
        </w:rPr>
        <w:t>力开拓智慧交通、智慧安防、智慧政务、智慧便民等创新领域。随着公司在人工智能应用场景开拓的不断深入，公司对于资</w:t>
      </w:r>
      <w:r>
        <w:rPr>
          <w:spacing w:val="-66"/>
        </w:rPr>
        <w:t> </w:t>
      </w:r>
      <w:r>
        <w:rPr>
          <w:spacing w:val="-66"/>
        </w:rPr>
      </w:r>
      <w:r>
        <w:rPr>
          <w:spacing w:val="-2"/>
        </w:rPr>
        <w:t>金的需求将有所增加。目前公司资产结构稳健、偿债能力较强、信贷资信良好，各种融资渠道畅通，再加上公司</w:t>
      </w:r>
      <w:r>
        <w:rPr>
          <w:rFonts w:ascii="Times New Roman" w:hAnsi="Times New Roman" w:cs="Times New Roman" w:eastAsia="Times New Roman" w:hint="default"/>
          <w:spacing w:val="-2"/>
        </w:rPr>
        <w:t>2016</w:t>
      </w:r>
      <w:r>
        <w:rPr>
          <w:spacing w:val="-2"/>
        </w:rPr>
        <w:t>年通过</w:t>
      </w:r>
      <w:r>
        <w:rPr>
          <w:spacing w:val="-64"/>
        </w:rPr>
        <w:t> </w:t>
      </w:r>
      <w:r>
        <w:rPr>
          <w:spacing w:val="-64"/>
        </w:rPr>
      </w:r>
      <w:r>
        <w:rPr/>
        <w:t>非公开发行股票募集资金</w:t>
      </w:r>
      <w:r>
        <w:rPr>
          <w:rFonts w:ascii="Times New Roman" w:hAnsi="Times New Roman" w:cs="Times New Roman" w:eastAsia="Times New Roman" w:hint="default"/>
        </w:rPr>
        <w:t>311,552.98</w:t>
      </w:r>
      <w:r>
        <w:rPr/>
        <w:t>万元（净额），公司及各子公司发展的资金来源有充足的保障。</w:t>
      </w:r>
    </w:p>
    <w:p>
      <w:pPr>
        <w:pStyle w:val="BodyText"/>
        <w:spacing w:line="240" w:lineRule="auto" w:before="43"/>
        <w:ind w:left="513" w:right="87"/>
        <w:jc w:val="left"/>
      </w:pPr>
      <w:r>
        <w:rPr>
          <w:rFonts w:ascii="Times New Roman" w:hAnsi="Times New Roman" w:cs="Times New Roman" w:eastAsia="Times New Roman" w:hint="default"/>
        </w:rPr>
        <w:t>5</w:t>
      </w:r>
      <w:r>
        <w:rPr/>
        <w:t>、公司面临的风险及应对措施</w:t>
      </w:r>
    </w:p>
    <w:p>
      <w:pPr>
        <w:pStyle w:val="BodyText"/>
        <w:spacing w:line="340" w:lineRule="auto" w:before="103"/>
        <w:ind w:left="513" w:right="87" w:hanging="89"/>
        <w:jc w:val="left"/>
      </w:pPr>
      <w:r>
        <w:rPr/>
        <w:t>（</w:t>
      </w:r>
      <w:r>
        <w:rPr>
          <w:rFonts w:ascii="Times New Roman" w:hAnsi="Times New Roman" w:cs="Times New Roman" w:eastAsia="Times New Roman" w:hint="default"/>
        </w:rPr>
        <w:t>1</w:t>
      </w:r>
      <w:r>
        <w:rPr/>
        <w:t>）市场风险 </w:t>
      </w:r>
      <w:r>
        <w:rPr>
          <w:spacing w:val="-2"/>
        </w:rPr>
        <w:t>随着银行业转型的持续推进，银行业对网点转型产品的需求不断扩大，而对传统现金设备的需求则持续缩减，传统现金</w:t>
      </w:r>
    </w:p>
    <w:p>
      <w:pPr>
        <w:pStyle w:val="BodyText"/>
        <w:spacing w:line="338" w:lineRule="auto" w:before="1"/>
        <w:ind w:left="513" w:right="87" w:hanging="361"/>
        <w:jc w:val="left"/>
      </w:pPr>
      <w:r>
        <w:rPr/>
        <w:t>设备行业洗牌加速，</w:t>
      </w:r>
      <w:r>
        <w:rPr>
          <w:rFonts w:ascii="Times New Roman" w:hAnsi="Times New Roman" w:cs="Times New Roman" w:eastAsia="Times New Roman" w:hint="default"/>
        </w:rPr>
        <w:t>ATM</w:t>
      </w:r>
      <w:r>
        <w:rPr/>
        <w:t>、</w:t>
      </w:r>
      <w:r>
        <w:rPr>
          <w:rFonts w:ascii="Times New Roman" w:hAnsi="Times New Roman" w:cs="Times New Roman" w:eastAsia="Times New Roman" w:hint="default"/>
        </w:rPr>
        <w:t>VTM</w:t>
      </w:r>
      <w:r>
        <w:rPr/>
        <w:t>等设备价格、维保服务价格持续下滑，整个行业利润持续趋窄。 </w:t>
      </w:r>
      <w:r>
        <w:rPr>
          <w:spacing w:val="-2"/>
        </w:rPr>
        <w:t>为此，公司将深度拓展传统现金设备市场，巩固国内传统现金类设备市场第一的行业地位；紧跟银行需求变化，系统规</w:t>
      </w:r>
    </w:p>
    <w:p>
      <w:pPr>
        <w:pStyle w:val="BodyText"/>
        <w:spacing w:line="240" w:lineRule="auto" w:before="2"/>
        <w:ind w:right="0"/>
        <w:jc w:val="both"/>
      </w:pPr>
      <w:r>
        <w:rPr/>
        <w:t>划创新产品线，提升智能设备市场占有率；构筑网点转型综合解决方案竞争优势，打造行业网点集成样板工程；围绕银行新</w:t>
      </w:r>
    </w:p>
    <w:p>
      <w:pPr>
        <w:spacing w:after="0" w:line="240" w:lineRule="auto"/>
        <w:jc w:val="both"/>
        <w:sectPr>
          <w:pgSz w:w="11910" w:h="16840"/>
          <w:pgMar w:header="880" w:footer="979" w:top="1100" w:bottom="1160" w:left="980" w:right="940"/>
        </w:sectPr>
      </w:pPr>
    </w:p>
    <w:p>
      <w:pPr>
        <w:spacing w:line="240" w:lineRule="auto" w:before="0"/>
        <w:rPr>
          <w:rFonts w:ascii="宋体" w:hAnsi="宋体" w:cs="宋体" w:eastAsia="宋体" w:hint="default"/>
          <w:sz w:val="22"/>
          <w:szCs w:val="22"/>
        </w:rPr>
      </w:pPr>
    </w:p>
    <w:p>
      <w:pPr>
        <w:pStyle w:val="BodyText"/>
        <w:spacing w:line="300" w:lineRule="auto" w:before="44"/>
        <w:ind w:right="0"/>
        <w:jc w:val="left"/>
      </w:pPr>
      <w:r>
        <w:rPr/>
        <w:t>需求，布局与实施金库智能化改造解决方案；积极拓展金融、电信、电力、零售等领域智能设备维保业务，同时加速</w:t>
      </w:r>
      <w:r>
        <w:rPr>
          <w:rFonts w:ascii="Times New Roman" w:hAnsi="Times New Roman" w:cs="Times New Roman" w:eastAsia="Times New Roman" w:hint="default"/>
        </w:rPr>
        <w:t>“</w:t>
      </w:r>
      <w:r>
        <w:rPr/>
        <w:t>互联</w:t>
      </w:r>
      <w:r>
        <w:rPr>
          <w:spacing w:val="-71"/>
        </w:rPr>
        <w:t> </w:t>
      </w:r>
      <w:r>
        <w:rPr/>
        <w:t>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平台建设，打造品牌影响力；全方位推进降本增效，向管理要效益。</w:t>
      </w:r>
    </w:p>
    <w:p>
      <w:pPr>
        <w:pStyle w:val="BodyText"/>
        <w:spacing w:line="338" w:lineRule="auto" w:before="53"/>
        <w:ind w:left="513" w:right="0"/>
        <w:jc w:val="left"/>
      </w:pPr>
      <w:r>
        <w:rPr/>
        <w:t>（</w:t>
      </w:r>
      <w:r>
        <w:rPr>
          <w:rFonts w:ascii="Times New Roman" w:hAnsi="Times New Roman" w:cs="Times New Roman" w:eastAsia="Times New Roman" w:hint="default"/>
        </w:rPr>
        <w:t>2</w:t>
      </w:r>
      <w:r>
        <w:rPr/>
        <w:t>）开展</w:t>
      </w:r>
      <w:r>
        <w:rPr>
          <w:rFonts w:ascii="Times New Roman" w:hAnsi="Times New Roman" w:cs="Times New Roman" w:eastAsia="Times New Roman" w:hint="default"/>
        </w:rPr>
        <w:t>ATM</w:t>
      </w:r>
      <w:r>
        <w:rPr/>
        <w:t>外包服务的运营风险 公司大力开展</w:t>
      </w:r>
      <w:r>
        <w:rPr>
          <w:rFonts w:ascii="Times New Roman" w:hAnsi="Times New Roman" w:cs="Times New Roman" w:eastAsia="Times New Roman" w:hint="default"/>
        </w:rPr>
        <w:t>ATM</w:t>
      </w:r>
      <w:r>
        <w:rPr/>
        <w:t>外包服务中的现金管理业务，主要包括武装押运、清机加钞、现金清分、现金预测、金库管理等过</w:t>
      </w:r>
    </w:p>
    <w:p>
      <w:pPr>
        <w:pStyle w:val="BodyText"/>
        <w:spacing w:line="217" w:lineRule="exact"/>
        <w:ind w:right="0"/>
        <w:jc w:val="left"/>
      </w:pPr>
      <w:r>
        <w:rPr/>
        <w:t>程，现金由于其特殊性，可能出现意外损失，即使公司已经为相关业务购买了一定额度的保险，仍有可能出现公司赔付客户</w:t>
      </w:r>
    </w:p>
    <w:p>
      <w:pPr>
        <w:pStyle w:val="BodyText"/>
        <w:spacing w:line="360" w:lineRule="auto" w:before="76"/>
        <w:ind w:left="513" w:right="0" w:hanging="361"/>
        <w:jc w:val="left"/>
      </w:pPr>
      <w:r>
        <w:rPr/>
        <w:t>现金损失的风险。 </w:t>
      </w:r>
      <w:r>
        <w:rPr>
          <w:spacing w:val="-2"/>
        </w:rPr>
        <w:t>其中，武装押运的持枪经营具有特殊性，枪支在对犯罪份子产生巨大的震慑作用的同时亦可能因为管理不当导致巨大的</w:t>
      </w:r>
    </w:p>
    <w:p>
      <w:pPr>
        <w:pStyle w:val="BodyText"/>
        <w:spacing w:line="222" w:lineRule="exact"/>
        <w:ind w:right="0"/>
        <w:jc w:val="left"/>
      </w:pPr>
      <w:r>
        <w:rPr/>
        <w:t>危害性，存在一定的运营风险。由此，公司制定了严格的管理制度并运用信息技术手段规范枪支的使用，同时，增强管理团</w:t>
      </w:r>
    </w:p>
    <w:p>
      <w:pPr>
        <w:pStyle w:val="BodyText"/>
        <w:spacing w:line="240" w:lineRule="auto" w:before="76"/>
        <w:ind w:right="0"/>
        <w:jc w:val="left"/>
      </w:pPr>
      <w:r>
        <w:rPr/>
        <w:t>队的枪支管理意识，维持管理团队稳定，加强管理输出，使得武装押运公司顺利运转。</w:t>
      </w:r>
    </w:p>
    <w:p>
      <w:pPr>
        <w:pStyle w:val="BodyText"/>
        <w:spacing w:line="240" w:lineRule="auto" w:before="117"/>
        <w:ind w:left="513" w:right="0"/>
        <w:jc w:val="left"/>
      </w:pPr>
      <w:r>
        <w:rPr/>
        <w:t>（</w:t>
      </w:r>
      <w:r>
        <w:rPr>
          <w:rFonts w:ascii="Times New Roman" w:hAnsi="Times New Roman" w:cs="Times New Roman" w:eastAsia="Times New Roman" w:hint="default"/>
        </w:rPr>
        <w:t>3</w:t>
      </w:r>
      <w:r>
        <w:rPr/>
        <w:t>）投资风险</w:t>
      </w:r>
    </w:p>
    <w:p>
      <w:pPr>
        <w:pStyle w:val="BodyText"/>
        <w:spacing w:line="309" w:lineRule="auto" w:before="102"/>
        <w:ind w:right="413"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年，公司将继续加大投资并购力度，把握市场机遇，瞄准人工智能行业方向，重点把握金融、交通、公共安全等 </w:t>
      </w:r>
      <w:r>
        <w:rPr>
          <w:spacing w:val="-2"/>
        </w:rPr>
        <w:t>领域并购机会，拓宽公司产业空间。公司在投资过程中将面临宏观经济波动影响、对新领域不熟悉、收益不及预期、未来团</w:t>
      </w:r>
      <w:r>
        <w:rPr>
          <w:spacing w:val="-66"/>
        </w:rPr>
        <w:t> </w:t>
      </w:r>
      <w:r>
        <w:rPr>
          <w:spacing w:val="-66"/>
        </w:rPr>
      </w:r>
      <w:r>
        <w:rPr/>
        <w:t>队整合及运营管理等风险。</w:t>
      </w:r>
    </w:p>
    <w:p>
      <w:pPr>
        <w:pStyle w:val="BodyText"/>
        <w:spacing w:line="316" w:lineRule="auto" w:before="65"/>
        <w:ind w:right="0" w:firstLine="360"/>
        <w:jc w:val="left"/>
      </w:pPr>
      <w:r>
        <w:rPr>
          <w:spacing w:val="-2"/>
        </w:rPr>
        <w:t>为此，公司一方面将加强市场分析和调研，严格执行《风险投资管理制度》及对外股权投资相关制度，必要时聘请外部</w:t>
      </w:r>
      <w:r>
        <w:rPr/>
        <w:t> </w:t>
      </w:r>
      <w:r>
        <w:rPr>
          <w:spacing w:val="-2"/>
        </w:rPr>
        <w:t>具有丰富投资实战管理经验的人员为公司对外投资提供咨询服务，努力降低投资风险。另一方面，公司将最大限度保留原管</w:t>
      </w:r>
      <w:r>
        <w:rPr>
          <w:spacing w:val="-66"/>
        </w:rPr>
        <w:t> </w:t>
      </w:r>
      <w:r>
        <w:rPr>
          <w:spacing w:val="-66"/>
        </w:rPr>
      </w:r>
      <w:r>
        <w:rPr>
          <w:spacing w:val="-4"/>
        </w:rPr>
        <w:t>理团队，利用原管理团队对项目进行日常管理，并保持与当地政府、客户之间良好的关系，使投资完成后的公司能平稳过渡、</w:t>
      </w:r>
      <w:r>
        <w:rPr>
          <w:spacing w:val="-46"/>
        </w:rPr>
        <w:t> </w:t>
      </w:r>
      <w:r>
        <w:rPr>
          <w:spacing w:val="-46"/>
        </w:rPr>
      </w:r>
      <w:r>
        <w:rPr/>
        <w:t>顺利运转。</w:t>
      </w:r>
    </w:p>
    <w:p>
      <w:pPr>
        <w:pStyle w:val="BodyText"/>
        <w:spacing w:line="338" w:lineRule="auto" w:before="59"/>
        <w:ind w:left="513" w:right="0"/>
        <w:jc w:val="left"/>
      </w:pPr>
      <w:r>
        <w:rPr/>
        <w:t>（</w:t>
      </w:r>
      <w:r>
        <w:rPr>
          <w:rFonts w:ascii="Times New Roman" w:hAnsi="Times New Roman" w:cs="Times New Roman" w:eastAsia="Times New Roman" w:hint="default"/>
        </w:rPr>
        <w:t>4</w:t>
      </w:r>
      <w:r>
        <w:rPr/>
        <w:t>）经营规模迅速扩张导致的管理风险 </w:t>
      </w:r>
      <w:r>
        <w:rPr>
          <w:spacing w:val="-2"/>
        </w:rPr>
        <w:t>随着公司金融外包服务网络布局的逐步开展，公司资产规模、经营规模、人员规模将迅速扩大，下设的分、子、孙公司</w:t>
      </w:r>
    </w:p>
    <w:p>
      <w:pPr>
        <w:pStyle w:val="BodyText"/>
        <w:spacing w:line="360" w:lineRule="auto" w:before="2"/>
        <w:ind w:left="513" w:right="0" w:hanging="361"/>
        <w:jc w:val="left"/>
      </w:pPr>
      <w:r>
        <w:rPr/>
        <w:t>增多且分布分散，公司经营管理的复杂程度大大提高，面临着管理风险。 </w:t>
      </w:r>
      <w:r>
        <w:rPr>
          <w:spacing w:val="-2"/>
        </w:rPr>
        <w:t>为此，公司围绕集团化管理分工，细化总部服务、管理、监督职能，系统推进企管、财务、人力资源、公关、法务、审</w:t>
      </w:r>
    </w:p>
    <w:p>
      <w:pPr>
        <w:pStyle w:val="BodyText"/>
        <w:spacing w:line="222" w:lineRule="exact"/>
        <w:ind w:right="0"/>
        <w:jc w:val="left"/>
      </w:pPr>
      <w:r>
        <w:rPr/>
        <w:t>计、证券等各子体系建设，进一步细化和完善分、子、孙公司的经营管理体系；加强集团化财务管控，细化子公司财务负责</w:t>
      </w:r>
    </w:p>
    <w:p>
      <w:pPr>
        <w:pStyle w:val="BodyText"/>
        <w:spacing w:line="316" w:lineRule="auto" w:before="76"/>
        <w:ind w:right="0"/>
        <w:jc w:val="left"/>
      </w:pPr>
      <w:r>
        <w:rPr>
          <w:spacing w:val="-2"/>
        </w:rPr>
        <w:t>人岗位职责，推进合并报表平台建设，研究建立集团资金管控中心，提升审计综合应对能力；同时加强企业文化建设，提高</w:t>
      </w:r>
      <w:r>
        <w:rPr>
          <w:spacing w:val="-67"/>
        </w:rPr>
        <w:t> </w:t>
      </w:r>
      <w:r>
        <w:rPr>
          <w:spacing w:val="-67"/>
        </w:rPr>
      </w:r>
      <w:r>
        <w:rPr/>
        <w:t>全体人员的企业认同感和归属感，努力降低管理风险。</w:t>
      </w:r>
    </w:p>
    <w:p>
      <w:pPr>
        <w:pStyle w:val="BodyText"/>
        <w:spacing w:line="338" w:lineRule="auto" w:before="59"/>
        <w:ind w:left="513" w:right="0"/>
        <w:jc w:val="left"/>
      </w:pPr>
      <w:r>
        <w:rPr/>
        <w:t>（</w:t>
      </w:r>
      <w:r>
        <w:rPr>
          <w:rFonts w:ascii="Times New Roman" w:hAnsi="Times New Roman" w:cs="Times New Roman" w:eastAsia="Times New Roman" w:hint="default"/>
        </w:rPr>
        <w:t>5</w:t>
      </w:r>
      <w:r>
        <w:rPr/>
        <w:t>）商誉减值风险 </w:t>
      </w:r>
      <w:r>
        <w:rPr>
          <w:spacing w:val="-2"/>
        </w:rPr>
        <w:t>公司在开展各类并购时多采用收益法对并购标的进行评估，由此协定的并购对价会形成较高的商誉。随着公司并购项目</w:t>
      </w:r>
    </w:p>
    <w:p>
      <w:pPr>
        <w:pStyle w:val="BodyText"/>
        <w:spacing w:line="360" w:lineRule="auto" w:before="2"/>
        <w:ind w:left="513" w:right="0" w:hanging="361"/>
        <w:jc w:val="left"/>
      </w:pPr>
      <w:r>
        <w:rPr/>
        <w:t>的不断增多，因并购形成的商誉存在计提减值的风险。 </w:t>
      </w:r>
      <w:r>
        <w:rPr>
          <w:spacing w:val="-2"/>
        </w:rPr>
        <w:t>为此，公司一方面强化收购成本的控制，避免产生过高的商誉；一方面加强投后管理，努力提高并购效益，减轻商誉减</w:t>
      </w:r>
    </w:p>
    <w:p>
      <w:pPr>
        <w:pStyle w:val="BodyText"/>
        <w:spacing w:line="222" w:lineRule="exact"/>
        <w:ind w:right="0"/>
        <w:jc w:val="left"/>
      </w:pPr>
      <w:r>
        <w:rPr/>
        <w:t>值压力。</w:t>
      </w:r>
    </w:p>
    <w:p>
      <w:pPr>
        <w:pStyle w:val="BodyText"/>
        <w:spacing w:line="338" w:lineRule="auto" w:before="117"/>
        <w:ind w:left="513" w:right="0"/>
        <w:jc w:val="left"/>
      </w:pPr>
      <w:r>
        <w:rPr/>
        <w:t>（</w:t>
      </w:r>
      <w:r>
        <w:rPr>
          <w:rFonts w:ascii="Times New Roman" w:hAnsi="Times New Roman" w:cs="Times New Roman" w:eastAsia="Times New Roman" w:hint="default"/>
        </w:rPr>
        <w:t>6</w:t>
      </w:r>
      <w:r>
        <w:rPr/>
        <w:t>）汇率波动风险 </w:t>
      </w:r>
      <w:r>
        <w:rPr>
          <w:spacing w:val="-4"/>
        </w:rPr>
        <w:t>公司海外业务主要以美元、欧元、土耳其里拉等外币进行结算，随着公司海外业务的不断拓展，当汇率出现较大波动时，</w:t>
      </w:r>
    </w:p>
    <w:p>
      <w:pPr>
        <w:pStyle w:val="BodyText"/>
        <w:spacing w:line="360" w:lineRule="auto" w:before="2"/>
        <w:ind w:left="513" w:right="313" w:hanging="361"/>
        <w:jc w:val="left"/>
      </w:pPr>
      <w:r>
        <w:rPr/>
        <w:t>公司可能存在较大的汇率风险。 为此，公司制定了《外汇套期保值业务管理制度》，计划开展外汇套期保值业务，以降低汇率波动对公司利润的影响，</w:t>
      </w:r>
    </w:p>
    <w:p>
      <w:pPr>
        <w:pStyle w:val="BodyText"/>
        <w:spacing w:line="222" w:lineRule="exact"/>
        <w:ind w:right="0"/>
        <w:jc w:val="left"/>
      </w:pPr>
      <w:r>
        <w:rPr/>
        <w:t>有效防范和控制外币汇率风险。</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十、接待调研、沟通、采访等活动</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850"/>
        <w:gridCol w:w="425"/>
        <w:gridCol w:w="7091"/>
      </w:tblGrid>
      <w:tr>
        <w:trPr>
          <w:trHeight w:val="67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6"/>
              <w:jc w:val="left"/>
              <w:rPr>
                <w:rFonts w:ascii="宋体" w:hAnsi="宋体" w:cs="宋体" w:eastAsia="宋体" w:hint="default"/>
                <w:sz w:val="18"/>
                <w:szCs w:val="18"/>
              </w:rPr>
            </w:pPr>
            <w:r>
              <w:rPr>
                <w:rFonts w:ascii="宋体" w:hAnsi="宋体" w:cs="宋体" w:eastAsia="宋体" w:hint="default"/>
                <w:sz w:val="18"/>
                <w:szCs w:val="18"/>
              </w:rPr>
              <w:t>接待 对象</w:t>
            </w:r>
          </w:p>
        </w:tc>
        <w:tc>
          <w:tcPr>
            <w:tcW w:w="7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7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0"/>
        <w:gridCol w:w="850"/>
        <w:gridCol w:w="425"/>
        <w:gridCol w:w="7091"/>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70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机构</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809" w:right="3788"/>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212" w:right="0"/>
        <w:jc w:val="both"/>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0"/>
        <w:jc w:val="both"/>
      </w:pPr>
      <w:r>
        <w:rPr/>
        <w:t>报告期内普通股利润分配政策，特别是现金分红政策的制定、执行或调整情况</w:t>
      </w:r>
    </w:p>
    <w:p>
      <w:pPr>
        <w:pStyle w:val="BodyText"/>
        <w:spacing w:line="338" w:lineRule="auto" w:before="117"/>
        <w:ind w:left="57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为建立和健全公司科学、持续、稳定的分红决策和监督机制，积极回报投资者，引导投资者树立长期投资和理性投资理</w:t>
      </w:r>
    </w:p>
    <w:p>
      <w:pPr>
        <w:pStyle w:val="BodyText"/>
        <w:spacing w:line="240" w:lineRule="auto" w:before="2"/>
        <w:ind w:left="212" w:right="0"/>
        <w:jc w:val="both"/>
      </w:pPr>
      <w:r>
        <w:rPr>
          <w:spacing w:val="-7"/>
        </w:rPr>
        <w:t>念，同时综合公司盈利能力、经营发展规划、股东回报、资金成本以及外部融资环境等因素，根据《中华人民共和国公司法》、</w:t>
      </w:r>
    </w:p>
    <w:p>
      <w:pPr>
        <w:pStyle w:val="BodyText"/>
        <w:spacing w:line="309" w:lineRule="auto" w:before="77"/>
        <w:ind w:left="212" w:right="187"/>
        <w:jc w:val="both"/>
      </w:pPr>
      <w:r>
        <w:rPr>
          <w:spacing w:val="-2"/>
        </w:rPr>
        <w:t>《中华人民共和国证券法》、《上市公司章程指引》、《关于进一步落实上市公司现金分红有关事项的通知》、《上市公司</w:t>
      </w:r>
      <w:r>
        <w:rPr>
          <w:spacing w:val="-68"/>
        </w:rPr>
        <w:t> </w:t>
      </w:r>
      <w:r>
        <w:rPr>
          <w:spacing w:val="-68"/>
        </w:rPr>
      </w:r>
      <w:r>
        <w:rPr>
          <w:spacing w:val="-1"/>
        </w:rPr>
        <w:t>监管指引第</w:t>
      </w:r>
      <w:r>
        <w:rPr>
          <w:rFonts w:ascii="Times New Roman" w:hAnsi="Times New Roman" w:cs="Times New Roman" w:eastAsia="Times New Roman" w:hint="default"/>
          <w:spacing w:val="-1"/>
        </w:rPr>
        <w:t>3</w:t>
      </w:r>
      <w:r>
        <w:rPr>
          <w:spacing w:val="-1"/>
        </w:rPr>
        <w:t>号</w:t>
      </w:r>
      <w:r>
        <w:rPr>
          <w:rFonts w:ascii="Times New Roman" w:hAnsi="Times New Roman" w:cs="Times New Roman" w:eastAsia="Times New Roman" w:hint="default"/>
          <w:spacing w:val="-1"/>
        </w:rPr>
        <w:t>——</w:t>
      </w:r>
      <w:r>
        <w:rPr>
          <w:spacing w:val="-1"/>
        </w:rPr>
        <w:t>上市公司现金分红》等法律、法规、规章及《公司章程》的要求，公司制订了《未来三年（</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年）股东回报规划》，并经公司第四届董事会第二次会议审议通过。</w:t>
      </w:r>
    </w:p>
    <w:p>
      <w:pPr>
        <w:spacing w:line="240" w:lineRule="auto" w:before="2"/>
        <w:rPr>
          <w:rFonts w:ascii="宋体" w:hAnsi="宋体" w:cs="宋体" w:eastAsia="宋体" w:hint="default"/>
          <w:sz w:val="4"/>
          <w:szCs w:val="4"/>
        </w:rPr>
      </w:pPr>
    </w:p>
    <w:tbl>
      <w:tblPr>
        <w:tblW w:w="0" w:type="auto"/>
        <w:jc w:val="left"/>
        <w:tblInd w:w="220" w:type="dxa"/>
        <w:tblLayout w:type="fixed"/>
        <w:tblCellMar>
          <w:top w:w="0" w:type="dxa"/>
          <w:left w:w="0" w:type="dxa"/>
          <w:bottom w:w="0" w:type="dxa"/>
          <w:right w:w="0" w:type="dxa"/>
        </w:tblCellMar>
        <w:tblLook w:val="01E0"/>
      </w:tblPr>
      <w:tblGrid>
        <w:gridCol w:w="6641"/>
        <w:gridCol w:w="2918"/>
      </w:tblGrid>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51"/>
        <w:ind w:left="573" w:right="0" w:hanging="361"/>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年（包括本报告期）的普通股股利分配方案（预案）、资本公积金转增股本方案（预案）情况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年利润分配方案 </w:t>
      </w:r>
      <w:r>
        <w:rPr>
          <w:spacing w:val="-1"/>
        </w:rPr>
        <w:t>以公司总股本</w:t>
      </w:r>
      <w:r>
        <w:rPr>
          <w:rFonts w:ascii="Times New Roman" w:hAnsi="Times New Roman" w:cs="Times New Roman" w:eastAsia="Times New Roman" w:hint="default"/>
          <w:spacing w:val="-1"/>
        </w:rPr>
        <w:t>1,079,504,767</w:t>
      </w:r>
      <w:r>
        <w:rPr>
          <w:spacing w:val="-1"/>
        </w:rPr>
        <w:t>股为基数，向全体股东每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股（含税）红股，派发现金红利</w:t>
      </w:r>
      <w:r>
        <w:rPr>
          <w:rFonts w:ascii="Times New Roman" w:hAnsi="Times New Roman" w:cs="Times New Roman" w:eastAsia="Times New Roman" w:hint="default"/>
          <w:spacing w:val="-1"/>
        </w:rPr>
        <w:t>2</w:t>
      </w:r>
      <w:r>
        <w:rPr>
          <w:spacing w:val="-1"/>
        </w:rPr>
        <w:t>元（含税），本次分配送</w:t>
      </w:r>
    </w:p>
    <w:p>
      <w:pPr>
        <w:pStyle w:val="BodyText"/>
        <w:spacing w:line="300" w:lineRule="auto"/>
        <w:ind w:left="212" w:right="184"/>
        <w:jc w:val="left"/>
      </w:pPr>
      <w:r>
        <w:rPr/>
        <w:t>出红股</w:t>
      </w:r>
      <w:r>
        <w:rPr>
          <w:rFonts w:ascii="Times New Roman" w:hAnsi="Times New Roman" w:cs="Times New Roman" w:eastAsia="Times New Roman" w:hint="default"/>
        </w:rPr>
        <w:t>539,752,383</w:t>
      </w:r>
      <w:r>
        <w:rPr/>
        <w:t>股，派发现金红利</w:t>
      </w:r>
      <w:r>
        <w:rPr>
          <w:rFonts w:ascii="Times New Roman" w:hAnsi="Times New Roman" w:cs="Times New Roman" w:eastAsia="Times New Roman" w:hint="default"/>
        </w:rPr>
        <w:t>215,900,953.40</w:t>
      </w:r>
      <w:r>
        <w:rPr/>
        <w:t>元，共计分配利润</w:t>
      </w:r>
      <w:r>
        <w:rPr>
          <w:rFonts w:ascii="Times New Roman" w:hAnsi="Times New Roman" w:cs="Times New Roman" w:eastAsia="Times New Roman" w:hint="default"/>
        </w:rPr>
        <w:t>755,653,336.40</w:t>
      </w:r>
      <w:r>
        <w:rPr/>
        <w:t>元，剩余未分配利润</w:t>
      </w:r>
      <w:r>
        <w:rPr>
          <w:rFonts w:ascii="Times New Roman" w:hAnsi="Times New Roman" w:cs="Times New Roman" w:eastAsia="Times New Roman" w:hint="default"/>
        </w:rPr>
        <w:t>1,836,676,309.34</w:t>
      </w:r>
      <w:r>
        <w:rPr/>
        <w:t>元 结转至下一年度，送红股后公司总股本变更为</w:t>
      </w:r>
      <w:r>
        <w:rPr>
          <w:rFonts w:ascii="Times New Roman" w:hAnsi="Times New Roman" w:cs="Times New Roman" w:eastAsia="Times New Roman" w:hint="default"/>
        </w:rPr>
        <w:t>1,619,257,150</w:t>
      </w:r>
      <w:r>
        <w:rPr/>
        <w:t>股。</w:t>
      </w:r>
      <w:r>
        <w:rPr>
          <w:rFonts w:ascii="Times New Roman" w:hAnsi="Times New Roman" w:cs="Times New Roman" w:eastAsia="Times New Roman" w:hint="default"/>
        </w:rPr>
        <w:t>2015</w:t>
      </w:r>
      <w:r>
        <w:rPr/>
        <w:t>年度，公司不进行资本公积转增股本。</w:t>
      </w:r>
    </w:p>
    <w:p>
      <w:pPr>
        <w:pStyle w:val="BodyText"/>
        <w:spacing w:line="300" w:lineRule="auto" w:before="13"/>
        <w:ind w:left="573" w:right="408"/>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年利润分配方案 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1,619,257,150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元（含税），共计分配利润</w:t>
      </w:r>
    </w:p>
    <w:p>
      <w:pPr>
        <w:pStyle w:val="BodyText"/>
        <w:spacing w:line="300" w:lineRule="auto" w:before="13"/>
        <w:ind w:left="212" w:right="0"/>
        <w:jc w:val="left"/>
      </w:pPr>
      <w:r>
        <w:rPr>
          <w:rFonts w:ascii="Times New Roman" w:hAnsi="Times New Roman" w:cs="Times New Roman" w:eastAsia="Times New Roman" w:hint="default"/>
          <w:spacing w:val="-1"/>
        </w:rPr>
        <w:t>161,925,715</w:t>
      </w:r>
      <w:r>
        <w:rPr>
          <w:spacing w:val="-1"/>
        </w:rPr>
        <w:t>元，剩余未分配利润</w:t>
      </w:r>
      <w:r>
        <w:rPr>
          <w:rFonts w:ascii="Times New Roman" w:hAnsi="Times New Roman" w:cs="Times New Roman" w:eastAsia="Times New Roman" w:hint="default"/>
          <w:spacing w:val="-1"/>
        </w:rPr>
        <w:t>2,294,939,287.32</w:t>
      </w:r>
      <w:r>
        <w:rPr>
          <w:spacing w:val="-1"/>
        </w:rPr>
        <w:t>元结转至下一年度。同时，以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1,619,257,150</w:t>
      </w:r>
      <w:r>
        <w:rPr>
          <w:spacing w:val="-1"/>
        </w:rPr>
        <w:t>股为</w:t>
      </w:r>
      <w:r>
        <w:rPr>
          <w:spacing w:val="-71"/>
        </w:rPr>
        <w:t> </w:t>
      </w:r>
      <w:r>
        <w:rPr/>
        <w:t>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w:t>
      </w:r>
      <w:r>
        <w:rPr>
          <w:rFonts w:ascii="Times New Roman" w:hAnsi="Times New Roman" w:cs="Times New Roman" w:eastAsia="Times New Roman" w:hint="default"/>
        </w:rPr>
        <w:t>809,628,575</w:t>
      </w:r>
      <w:r>
        <w:rPr/>
        <w:t>股，转增后股本为</w:t>
      </w:r>
      <w:r>
        <w:rPr>
          <w:rFonts w:ascii="Times New Roman" w:hAnsi="Times New Roman" w:cs="Times New Roman" w:eastAsia="Times New Roman" w:hint="default"/>
        </w:rPr>
        <w:t>2,428,885,725</w:t>
      </w:r>
      <w:r>
        <w:rPr/>
        <w:t>股。</w:t>
      </w:r>
    </w:p>
    <w:p>
      <w:pPr>
        <w:pStyle w:val="BodyText"/>
        <w:spacing w:line="300" w:lineRule="auto" w:before="13"/>
        <w:ind w:left="573" w:right="183"/>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年利润分配预案 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2,428,885,725</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2.00</w:t>
      </w:r>
      <w:r>
        <w:rPr/>
        <w:t>元（含税），共计派发现金</w:t>
      </w:r>
    </w:p>
    <w:p>
      <w:pPr>
        <w:pStyle w:val="BodyText"/>
        <w:spacing w:line="340" w:lineRule="auto" w:before="13"/>
        <w:ind w:left="212" w:right="409"/>
        <w:jc w:val="left"/>
      </w:pPr>
      <w:r>
        <w:rPr/>
        <w:t>红利</w:t>
      </w:r>
      <w:r>
        <w:rPr>
          <w:rFonts w:ascii="Times New Roman" w:hAnsi="Times New Roman" w:cs="Times New Roman" w:eastAsia="Times New Roman" w:hint="default"/>
        </w:rPr>
        <w:t>485,777,145.00</w:t>
      </w:r>
      <w:r>
        <w:rPr/>
        <w:t>元，剩余未分配利润</w:t>
      </w:r>
      <w:r>
        <w:rPr>
          <w:rFonts w:ascii="Times New Roman" w:hAnsi="Times New Roman" w:cs="Times New Roman" w:eastAsia="Times New Roman" w:hint="default"/>
        </w:rPr>
        <w:t>2,494,925,484.01</w:t>
      </w:r>
      <w:r>
        <w:rPr/>
        <w:t>元结转至下一年度。</w:t>
      </w:r>
      <w:r>
        <w:rPr>
          <w:rFonts w:ascii="Times New Roman" w:hAnsi="Times New Roman" w:cs="Times New Roman" w:eastAsia="Times New Roman" w:hint="default"/>
        </w:rPr>
        <w:t>2017</w:t>
      </w:r>
      <w:r>
        <w:rPr/>
        <w:t>年度，公司不进行资本公积转增股本。 公司近三年（包括本报告期）普通股现金分红情况表</w:t>
      </w:r>
    </w:p>
    <w:p>
      <w:pPr>
        <w:pStyle w:val="BodyText"/>
        <w:spacing w:line="240" w:lineRule="auto" w:before="39"/>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60"/>
        <w:gridCol w:w="1591"/>
        <w:gridCol w:w="1844"/>
        <w:gridCol w:w="1985"/>
        <w:gridCol w:w="1594"/>
        <w:gridCol w:w="1594"/>
      </w:tblGrid>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11" w:right="98"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8" w:right="10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7" w:right="177"/>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0"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0"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485,777,145.00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899,485,037.43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161,925,715.00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843,972,144.65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215,900,953.40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898,465,097.07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20" w:right="940"/>
        </w:sectPr>
      </w:pPr>
    </w:p>
    <w:p>
      <w:pPr>
        <w:spacing w:line="240" w:lineRule="auto" w:before="0"/>
        <w:rPr>
          <w:rFonts w:ascii="宋体" w:hAnsi="宋体" w:cs="宋体" w:eastAsia="宋体" w:hint="default"/>
          <w:sz w:val="22"/>
          <w:szCs w:val="22"/>
        </w:rPr>
      </w:pPr>
      <w:r>
        <w:rPr/>
        <w:pict>
          <v:group style="position:absolute;margin-left:426.670013pt;margin-top:721.055969pt;width:11.4pt;height:17.7pt;mso-position-horizontal-relative:page;mso-position-vertical-relative:page;z-index:-1234144" coordorigin="8533,14421" coordsize="228,354">
            <v:shape style="position:absolute;left:8533;top:14421;width:228;height:354" coordorigin="8533,14421" coordsize="228,354" path="m8533,14774l8761,14774,8761,14421,8533,14421,8533,14774xe" filled="true" fillcolor="#ffffff" stroked="false">
              <v:path arrowok="t"/>
              <v:fill type="solid"/>
            </v:shape>
            <w10:wrap type="none"/>
          </v:group>
        </w:pict>
      </w: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2,428,885,725</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485,777,145</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2,980,702,629.01</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firstLine="451"/>
              <w:jc w:val="both"/>
              <w:rPr>
                <w:rFonts w:ascii="宋体" w:hAnsi="宋体" w:cs="宋体" w:eastAsia="宋体" w:hint="default"/>
                <w:sz w:val="18"/>
                <w:szCs w:val="18"/>
              </w:rPr>
            </w:pPr>
            <w:r>
              <w:rPr>
                <w:rFonts w:ascii="宋体" w:hAnsi="宋体" w:cs="宋体" w:eastAsia="宋体" w:hint="default"/>
                <w:spacing w:val="-3"/>
                <w:sz w:val="18"/>
                <w:szCs w:val="18"/>
              </w:rPr>
              <w:t>经立信会计师事务所（特殊普通合伙）审计确认，公司（母公司）</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年度实现净利润 </w:t>
            </w:r>
            <w:r>
              <w:rPr>
                <w:rFonts w:ascii="Times New Roman" w:hAnsi="Times New Roman" w:cs="Times New Roman" w:eastAsia="Times New Roman" w:hint="default"/>
                <w:sz w:val="18"/>
                <w:szCs w:val="18"/>
              </w:rPr>
              <w:t>761,959,268.54</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元。依照《公</w:t>
            </w:r>
            <w:r>
              <w:rPr>
                <w:rFonts w:ascii="宋体" w:hAnsi="宋体" w:cs="宋体" w:eastAsia="宋体" w:hint="default"/>
                <w:sz w:val="18"/>
                <w:szCs w:val="18"/>
              </w:rPr>
              <w:t> </w:t>
            </w:r>
            <w:r>
              <w:rPr>
                <w:rFonts w:ascii="宋体" w:hAnsi="宋体" w:cs="宋体" w:eastAsia="宋体" w:hint="default"/>
                <w:spacing w:val="-5"/>
                <w:sz w:val="18"/>
                <w:szCs w:val="18"/>
              </w:rPr>
              <w:t>司法》和《公司章程》的规定，提取法定盈余公积金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76,195,926.85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元后，公司可供股东分配利润为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2,980,702,629.01</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元（含</w:t>
            </w:r>
            <w:r>
              <w:rPr>
                <w:rFonts w:ascii="宋体" w:hAnsi="宋体" w:cs="宋体" w:eastAsia="宋体" w:hint="default"/>
                <w:sz w:val="18"/>
                <w:szCs w:val="18"/>
              </w:rPr>
              <w:t> 以前年度未分配利润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2,294,939,287.32 </w:t>
            </w:r>
            <w:r>
              <w:rPr>
                <w:rFonts w:ascii="宋体" w:hAnsi="宋体" w:cs="宋体" w:eastAsia="宋体" w:hint="default"/>
                <w:sz w:val="18"/>
                <w:szCs w:val="18"/>
              </w:rPr>
              <w:t>元）。根据公司利润实现情况和公司发展需要，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年度公司利润分配预案为：</w:t>
            </w:r>
          </w:p>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2,428,885,725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元（含税），共计</w:t>
            </w:r>
          </w:p>
          <w:p>
            <w:pPr>
              <w:pStyle w:val="TableParagraph"/>
              <w:spacing w:line="300" w:lineRule="auto" w:before="63"/>
              <w:ind w:left="24" w:right="80"/>
              <w:jc w:val="left"/>
              <w:rPr>
                <w:rFonts w:ascii="宋体" w:hAnsi="宋体" w:cs="宋体" w:eastAsia="宋体" w:hint="default"/>
                <w:sz w:val="18"/>
                <w:szCs w:val="18"/>
              </w:rPr>
            </w:pPr>
            <w:r>
              <w:rPr>
                <w:rFonts w:ascii="宋体" w:hAnsi="宋体" w:cs="宋体" w:eastAsia="宋体" w:hint="default"/>
                <w:sz w:val="18"/>
                <w:szCs w:val="18"/>
              </w:rPr>
              <w:t>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485,777,145.00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2,494,925,484.01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元结转至下一年度。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年度，公司不进行资本公积 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4"/>
        <w:spacing w:line="273" w:lineRule="auto"/>
        <w:ind w:right="0"/>
        <w:jc w:val="left"/>
        <w:rPr>
          <w:b w:val="0"/>
          <w:bCs w:val="0"/>
        </w:rPr>
      </w:pPr>
      <w:r>
        <w:rPr>
          <w:rFonts w:ascii="Times New Roman" w:hAnsi="Times New Roman" w:cs="Times New Roman" w:eastAsia="Times New Roman" w:hint="default"/>
          <w:spacing w:val="-1"/>
          <w:w w:val="95"/>
        </w:rPr>
        <w:t>1</w:t>
      </w:r>
      <w:r>
        <w:rPr>
          <w:spacing w:val="-1"/>
          <w:w w:val="95"/>
        </w:rPr>
        <w:t>、公司实际控制人、股东、关联方、收购人以及公司等承诺相关方在报告期内履行完毕及截至报告期末尚未履</w:t>
      </w:r>
      <w:r>
        <w:rPr>
          <w:spacing w:val="43"/>
          <w:w w:val="95"/>
        </w:rPr>
        <w:t> </w:t>
      </w:r>
      <w:r>
        <w:rPr>
          <w:spacing w:val="43"/>
          <w:w w:val="95"/>
        </w:rPr>
      </w:r>
      <w:r>
        <w:rPr/>
        <w:t>行完毕的承诺事项</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566"/>
        <w:gridCol w:w="3684"/>
        <w:gridCol w:w="286"/>
        <w:gridCol w:w="284"/>
        <w:gridCol w:w="1627"/>
      </w:tblGrid>
      <w:tr>
        <w:trPr>
          <w:trHeight w:val="317"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4" w:type="dxa"/>
            <w:vMerge w:val="restart"/>
            <w:tcBorders>
              <w:top w:val="single" w:sz="4" w:space="0" w:color="000000"/>
              <w:left w:val="single" w:sz="4" w:space="0" w:color="000000"/>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7" w:right="47"/>
              <w:jc w:val="both"/>
              <w:rPr>
                <w:rFonts w:ascii="宋体" w:hAnsi="宋体" w:cs="宋体" w:eastAsia="宋体" w:hint="default"/>
                <w:sz w:val="18"/>
                <w:szCs w:val="18"/>
              </w:rPr>
            </w:pPr>
            <w:r>
              <w:rPr>
                <w:rFonts w:ascii="宋体" w:hAnsi="宋体" w:cs="宋体" w:eastAsia="宋体" w:hint="default"/>
                <w:sz w:val="18"/>
                <w:szCs w:val="18"/>
              </w:rPr>
              <w:t>承 诺 时 间</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4"/>
              <w:jc w:val="both"/>
              <w:rPr>
                <w:rFonts w:ascii="宋体" w:hAnsi="宋体" w:cs="宋体" w:eastAsia="宋体" w:hint="default"/>
                <w:sz w:val="18"/>
                <w:szCs w:val="18"/>
              </w:rPr>
            </w:pPr>
            <w:r>
              <w:rPr>
                <w:rFonts w:ascii="宋体" w:hAnsi="宋体" w:cs="宋体" w:eastAsia="宋体" w:hint="default"/>
                <w:sz w:val="18"/>
                <w:szCs w:val="18"/>
              </w:rPr>
              <w:t>承 诺 期 限</w:t>
            </w:r>
          </w:p>
        </w:tc>
        <w:tc>
          <w:tcPr>
            <w:tcW w:w="162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684" w:type="dxa"/>
            <w:vMerge/>
            <w:tcBorders>
              <w:left w:val="single" w:sz="4" w:space="0" w:color="000000"/>
              <w:bottom w:val="nil" w:sz="6" w:space="0" w:color="auto"/>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566" w:type="dxa"/>
            <w:vMerge/>
            <w:tcBorders>
              <w:left w:val="single" w:sz="4" w:space="0" w:color="000000"/>
              <w:right w:val="single" w:sz="4" w:space="0" w:color="000000"/>
            </w:tcBorders>
            <w:shd w:val="clear" w:color="auto" w:fill="D2D2D2"/>
          </w:tcPr>
          <w:p>
            <w:pPr/>
          </w:p>
        </w:tc>
        <w:tc>
          <w:tcPr>
            <w:tcW w:w="3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6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6"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3684" w:type="dxa"/>
            <w:vMerge w:val="restart"/>
            <w:tcBorders>
              <w:top w:val="nil" w:sz="6" w:space="0" w:color="auto"/>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627"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4"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300" w:lineRule="auto" w:before="51"/>
              <w:ind w:left="17"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 监事及高级管理</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关于 同业</w:t>
            </w:r>
          </w:p>
        </w:tc>
        <w:tc>
          <w:tcPr>
            <w:tcW w:w="3684" w:type="dxa"/>
            <w:vMerge w:val="restart"/>
            <w:tcBorders>
              <w:top w:val="single" w:sz="4" w:space="0" w:color="000000"/>
              <w:left w:val="single" w:sz="4" w:space="0" w:color="000000"/>
              <w:right w:val="single" w:sz="13" w:space="0" w:color="FFFFFF"/>
            </w:tcBorders>
          </w:tcPr>
          <w:p>
            <w:pPr>
              <w:pStyle w:val="TableParagraph"/>
              <w:spacing w:line="300" w:lineRule="auto" w:before="51"/>
              <w:ind w:left="23" w:right="-46"/>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）担任公司董事、监事及高级管理人员承诺，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在其任职期间每年转让的股份不超过其所持有</w:t>
            </w:r>
          </w:p>
        </w:tc>
        <w:tc>
          <w:tcPr>
            <w:tcW w:w="286" w:type="dxa"/>
            <w:tcBorders>
              <w:top w:val="single" w:sz="4" w:space="0" w:color="000000"/>
              <w:left w:val="single" w:sz="13" w:space="0" w:color="FFFFFF"/>
              <w:bottom w:val="nil" w:sz="6" w:space="0" w:color="auto"/>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w:t>
            </w:r>
          </w:p>
        </w:tc>
        <w:tc>
          <w:tcPr>
            <w:tcW w:w="1419"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3684" w:type="dxa"/>
            <w:vMerge/>
            <w:tcBorders>
              <w:left w:val="single" w:sz="4" w:space="0" w:color="000000"/>
              <w:right w:val="single" w:sz="13" w:space="0" w:color="FFFFFF"/>
            </w:tcBorders>
          </w:tcPr>
          <w:p>
            <w:pPr/>
          </w:p>
        </w:tc>
        <w:tc>
          <w:tcPr>
            <w:tcW w:w="286" w:type="dxa"/>
            <w:vMerge w:val="restart"/>
            <w:tcBorders>
              <w:top w:val="nil" w:sz="6" w:space="0" w:color="auto"/>
              <w:left w:val="single" w:sz="13" w:space="0" w:color="FFFFFF"/>
              <w:right w:val="single" w:sz="4" w:space="0" w:color="000000"/>
            </w:tcBorders>
          </w:tcPr>
          <w:p>
            <w:pPr>
              <w:pStyle w:val="TableParagraph"/>
              <w:spacing w:line="143" w:lineRule="exact"/>
              <w:ind w:left="11"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07</w:t>
            </w:r>
          </w:p>
        </w:tc>
        <w:tc>
          <w:tcPr>
            <w:tcW w:w="284" w:type="dxa"/>
            <w:vMerge/>
            <w:tcBorders>
              <w:left w:val="single" w:sz="4" w:space="0" w:color="000000"/>
              <w:right w:val="single" w:sz="4" w:space="0" w:color="000000"/>
            </w:tcBorders>
          </w:tcPr>
          <w:p>
            <w:pPr/>
          </w:p>
        </w:tc>
        <w:tc>
          <w:tcPr>
            <w:tcW w:w="1627" w:type="dxa"/>
            <w:vMerge/>
            <w:tcBorders>
              <w:left w:val="single" w:sz="4" w:space="0" w:color="000000"/>
              <w:right w:val="single" w:sz="4" w:space="0" w:color="000000"/>
            </w:tcBorders>
          </w:tcPr>
          <w:p>
            <w:pPr/>
          </w:p>
        </w:tc>
      </w:tr>
      <w:tr>
        <w:trPr>
          <w:trHeight w:val="16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13" w:space="0" w:color="FFFFFF"/>
            </w:tcBorders>
          </w:tcPr>
          <w:p>
            <w:pPr/>
          </w:p>
        </w:tc>
        <w:tc>
          <w:tcPr>
            <w:tcW w:w="286" w:type="dxa"/>
            <w:vMerge/>
            <w:tcBorders>
              <w:left w:val="single" w:sz="13" w:space="0" w:color="FFFFFF"/>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1pt;height:696.4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1419"/>
                    <w:gridCol w:w="566"/>
                    <w:gridCol w:w="3684"/>
                    <w:gridCol w:w="286"/>
                    <w:gridCol w:w="284"/>
                    <w:gridCol w:w="1627"/>
                  </w:tblGrid>
                  <w:tr>
                    <w:trPr>
                      <w:trHeight w:val="3795"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资时所作承诺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人员；（</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控股股东无线电 集团和其他三名 发起人股东梅州 敬基实业有限公 </w:t>
                        </w:r>
                        <w:r>
                          <w:rPr>
                            <w:rFonts w:ascii="宋体" w:hAnsi="宋体" w:cs="宋体" w:eastAsia="宋体" w:hint="default"/>
                            <w:spacing w:val="-10"/>
                            <w:sz w:val="18"/>
                            <w:szCs w:val="18"/>
                          </w:rPr>
                          <w:t>司、盈富泰克创业</w:t>
                        </w:r>
                        <w:r>
                          <w:rPr>
                            <w:rFonts w:ascii="宋体" w:hAnsi="宋体" w:cs="宋体" w:eastAsia="宋体" w:hint="default"/>
                            <w:sz w:val="18"/>
                            <w:szCs w:val="18"/>
                          </w:rPr>
                          <w:t> </w:t>
                        </w:r>
                        <w:r>
                          <w:rPr>
                            <w:rFonts w:ascii="宋体" w:hAnsi="宋体" w:cs="宋体" w:eastAsia="宋体" w:hint="default"/>
                            <w:spacing w:val="-10"/>
                            <w:sz w:val="18"/>
                            <w:szCs w:val="18"/>
                          </w:rPr>
                          <w:t>投资有限公司、广</w:t>
                        </w:r>
                        <w:r>
                          <w:rPr>
                            <w:rFonts w:ascii="宋体" w:hAnsi="宋体" w:cs="宋体" w:eastAsia="宋体" w:hint="default"/>
                            <w:sz w:val="18"/>
                            <w:szCs w:val="18"/>
                          </w:rPr>
                          <w:t> 州藤川科技有限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
                          <w:jc w:val="left"/>
                          <w:rPr>
                            <w:rFonts w:ascii="宋体" w:hAnsi="宋体" w:cs="宋体" w:eastAsia="宋体" w:hint="default"/>
                            <w:sz w:val="18"/>
                            <w:szCs w:val="18"/>
                          </w:rPr>
                        </w:pPr>
                        <w:r>
                          <w:rPr>
                            <w:rFonts w:ascii="宋体" w:hAnsi="宋体" w:cs="宋体" w:eastAsia="宋体" w:hint="default"/>
                            <w:sz w:val="18"/>
                            <w:szCs w:val="18"/>
                          </w:rPr>
                          <w:t>竞争、 关联 交易、 资金 占用 方面 的承</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31"/>
                          <w:jc w:val="both"/>
                          <w:rPr>
                            <w:rFonts w:ascii="宋体" w:hAnsi="宋体" w:cs="宋体" w:eastAsia="宋体" w:hint="default"/>
                            <w:sz w:val="18"/>
                            <w:szCs w:val="18"/>
                          </w:rPr>
                        </w:pPr>
                        <w:r>
                          <w:rPr>
                            <w:rFonts w:ascii="宋体" w:hAnsi="宋体" w:cs="宋体" w:eastAsia="宋体" w:hint="default"/>
                            <w:sz w:val="18"/>
                            <w:szCs w:val="18"/>
                          </w:rPr>
                          <w:t>本公司股份总数的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 转让其所持有的本公司股份；离职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p>
                      <w:p>
                        <w:pPr>
                          <w:pStyle w:val="TableParagraph"/>
                          <w:spacing w:line="314" w:lineRule="auto" w:before="13"/>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个月内通过证券交易所挂牌交易出售本公司 股票数量占其所持有本公司股票总数（包括有 限售条件和无限售条件的股份）的比例不超过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）为避免在以后的经营中产生同业竞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争，公司控股股东无线电集团和其他三名发起 人股东梅州敬基实业有限公司、盈富泰克创业 投资有限公司、广州藤川科技有限公司向公司 出具了《关于避免与广州广电运通金融电子股 份有限公司同业竞争的承诺函》，承诺其以后 不从事与本公司业务相同或相近的业务。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68"/>
                          <w:jc w:val="left"/>
                          <w:rPr>
                            <w:rFonts w:ascii="宋体" w:hAnsi="宋体" w:cs="宋体" w:eastAsia="宋体" w:hint="default"/>
                            <w:sz w:val="18"/>
                            <w:szCs w:val="18"/>
                          </w:rPr>
                        </w:pPr>
                        <w:r>
                          <w:rPr>
                            <w:rFonts w:ascii="宋体" w:hAnsi="宋体" w:cs="宋体" w:eastAsia="宋体" w:hint="default"/>
                            <w:sz w:val="18"/>
                            <w:szCs w:val="18"/>
                          </w:rPr>
                          <w:t>有 效</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广州广电运通金 融电子股份有限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 </w:t>
                        </w:r>
                        <w:r>
                          <w:rPr>
                            <w:rFonts w:ascii="宋体" w:hAnsi="宋体" w:cs="宋体" w:eastAsia="宋体" w:hint="default"/>
                            <w:spacing w:val="-10"/>
                            <w:sz w:val="18"/>
                            <w:szCs w:val="18"/>
                          </w:rPr>
                          <w:t>持股计划、广州无</w:t>
                        </w:r>
                        <w:r>
                          <w:rPr>
                            <w:rFonts w:ascii="宋体" w:hAnsi="宋体" w:cs="宋体" w:eastAsia="宋体" w:hint="default"/>
                            <w:sz w:val="18"/>
                            <w:szCs w:val="18"/>
                          </w:rPr>
                          <w:t> 线电集团有限公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68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本次非公开发行对象广州无线电集团有限公 司、广州广电运通金融电子股份有限公司第一 期员工持股计划（鲲鹏运通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w:t>
                        </w:r>
                      </w:p>
                      <w:p>
                        <w:pPr>
                          <w:pStyle w:val="TableParagraph"/>
                          <w:spacing w:line="309" w:lineRule="auto"/>
                          <w:ind w:left="23" w:right="36"/>
                          <w:jc w:val="both"/>
                          <w:rPr>
                            <w:rFonts w:ascii="宋体" w:hAnsi="宋体" w:cs="宋体" w:eastAsia="宋体" w:hint="default"/>
                            <w:sz w:val="18"/>
                            <w:szCs w:val="18"/>
                          </w:rPr>
                        </w:pPr>
                        <w:r>
                          <w:rPr>
                            <w:rFonts w:ascii="宋体" w:hAnsi="宋体" w:cs="宋体" w:eastAsia="宋体" w:hint="default"/>
                            <w:spacing w:val="-10"/>
                            <w:sz w:val="18"/>
                            <w:szCs w:val="18"/>
                          </w:rPr>
                          <w:t>计划）承诺：自本次发行结束之日起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r>
                          <w:rPr>
                            <w:rFonts w:ascii="宋体" w:hAnsi="宋体" w:cs="宋体" w:eastAsia="宋体" w:hint="default"/>
                            <w:spacing w:val="-87"/>
                            <w:sz w:val="18"/>
                            <w:szCs w:val="18"/>
                          </w:rPr>
                          <w:t> </w:t>
                        </w:r>
                        <w:r>
                          <w:rPr>
                            <w:rFonts w:ascii="宋体" w:hAnsi="宋体" w:cs="宋体" w:eastAsia="宋体" w:hint="default"/>
                            <w:sz w:val="18"/>
                            <w:szCs w:val="18"/>
                          </w:rPr>
                          <w:t>不以任何方式转让在本次发行中认购的广电运 通的股份。</w:t>
                        </w:r>
                      </w:p>
                    </w:tc>
                    <w:tc>
                      <w:tcPr>
                        <w:tcW w:w="2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62" w:lineRule="exact" w:before="116"/>
                          <w:ind w:left="11"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150"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1"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46"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海南华安保安器 </w:t>
                        </w:r>
                        <w:r>
                          <w:rPr>
                            <w:rFonts w:ascii="宋体" w:hAnsi="宋体" w:cs="宋体" w:eastAsia="宋体" w:hint="default"/>
                            <w:spacing w:val="-10"/>
                            <w:sz w:val="18"/>
                            <w:szCs w:val="18"/>
                          </w:rPr>
                          <w:t>材装备公司、海南</w:t>
                        </w:r>
                        <w:r>
                          <w:rPr>
                            <w:rFonts w:ascii="宋体" w:hAnsi="宋体" w:cs="宋体" w:eastAsia="宋体" w:hint="default"/>
                            <w:sz w:val="18"/>
                            <w:szCs w:val="18"/>
                          </w:rPr>
                          <w:t> 警盾保安器材装 备有限公司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海南华安保安器材装备公司、海南警盾保安器 材装备有限公司保证：海南警锐股权完成变更 的当年及次年，即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年度经有 证券从业资格的会计事务所审计的税后净利润 不低于人民币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680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年，否则差额部分由海 南警盾保安器材装备有限公司逐年对广电安保 投资公司进行经济补偿，且海南华安保安器材 装备公司、海南警盾保安器材装备有限公司对 该补偿金额的给付承担连带责任。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海南警锐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经审计税后净利润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526.02 </w:t>
                        </w:r>
                        <w:r>
                          <w:rPr>
                            <w:rFonts w:ascii="宋体" w:hAnsi="宋体" w:cs="宋体" w:eastAsia="宋体" w:hint="default"/>
                            <w:sz w:val="18"/>
                            <w:szCs w:val="18"/>
                          </w:rPr>
                          <w:t>万元，未</w:t>
                        </w:r>
                      </w:p>
                      <w:p>
                        <w:pPr>
                          <w:pStyle w:val="TableParagraph"/>
                          <w:spacing w:line="309"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达到协议约定的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日，海南警盾保安 器材装备有限公司 与广电安保投资公 司就补偿事宜签订 </w:t>
                        </w:r>
                        <w:r>
                          <w:rPr>
                            <w:rFonts w:ascii="宋体" w:hAnsi="宋体" w:cs="宋体" w:eastAsia="宋体" w:hint="default"/>
                            <w:spacing w:val="-6"/>
                            <w:sz w:val="18"/>
                            <w:szCs w:val="18"/>
                          </w:rPr>
                          <w:t>协议，协议中约定的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78.23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万元经济补偿</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日支付结算完毕</w:t>
                        </w:r>
                      </w:p>
                    </w:tc>
                  </w:tr>
                  <w:tr>
                    <w:trPr>
                      <w:trHeight w:val="2275" w:hRule="exact"/>
                    </w:trPr>
                    <w:tc>
                      <w:tcPr>
                        <w:tcW w:w="1701"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深圳市创自成长 </w:t>
                        </w:r>
                        <w:r>
                          <w:rPr>
                            <w:rFonts w:ascii="宋体" w:hAnsi="宋体" w:cs="宋体" w:eastAsia="宋体" w:hint="default"/>
                            <w:spacing w:val="-10"/>
                            <w:sz w:val="18"/>
                            <w:szCs w:val="18"/>
                          </w:rPr>
                          <w:t>投资企业（有限合</w:t>
                        </w:r>
                        <w:r>
                          <w:rPr>
                            <w:rFonts w:ascii="宋体" w:hAnsi="宋体" w:cs="宋体" w:eastAsia="宋体" w:hint="default"/>
                            <w:sz w:val="18"/>
                            <w:szCs w:val="18"/>
                          </w:rPr>
                          <w:t> </w:t>
                        </w:r>
                        <w:r>
                          <w:rPr>
                            <w:rFonts w:ascii="宋体" w:hAnsi="宋体" w:cs="宋体" w:eastAsia="宋体" w:hint="default"/>
                            <w:spacing w:val="-11"/>
                            <w:sz w:val="18"/>
                            <w:szCs w:val="18"/>
                          </w:rPr>
                          <w:t>伙）、王朝晖、李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翔、冯彬、海玉芳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日召开的第四届董事会 第九次（临时）会议审议通过了《关于收购深 圳市创自技术有限公司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股权的议案》，公 司使用自有资金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13,650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万元收购创自技术</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70%</w:t>
                        </w:r>
                      </w:p>
                      <w:p>
                        <w:pPr>
                          <w:pStyle w:val="TableParagraph"/>
                          <w:spacing w:line="309" w:lineRule="auto" w:before="7"/>
                          <w:ind w:left="23" w:right="74"/>
                          <w:jc w:val="left"/>
                          <w:rPr>
                            <w:rFonts w:ascii="宋体" w:hAnsi="宋体" w:cs="宋体" w:eastAsia="宋体" w:hint="default"/>
                            <w:sz w:val="18"/>
                            <w:szCs w:val="18"/>
                          </w:rPr>
                        </w:pPr>
                        <w:r>
                          <w:rPr>
                            <w:rFonts w:ascii="宋体" w:hAnsi="宋体" w:cs="宋体" w:eastAsia="宋体" w:hint="default"/>
                            <w:sz w:val="18"/>
                            <w:szCs w:val="18"/>
                          </w:rPr>
                          <w:t>的股权。出让五方承诺：在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年累计 实现扣除非经常性损益后净利润数不低于 </w:t>
                        </w:r>
                        <w:r>
                          <w:rPr>
                            <w:rFonts w:ascii="Times New Roman" w:hAnsi="Times New Roman" w:cs="Times New Roman" w:eastAsia="Times New Roman" w:hint="default"/>
                            <w:sz w:val="18"/>
                            <w:szCs w:val="18"/>
                          </w:rPr>
                          <w:t>55,860,000.00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25" w:hRule="exact"/>
                    </w:trPr>
                    <w:tc>
                      <w:tcPr>
                        <w:tcW w:w="1701" w:type="dxa"/>
                        <w:vMerge/>
                        <w:tcBorders>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3"/>
                          <w:jc w:val="both"/>
                          <w:rPr>
                            <w:rFonts w:ascii="宋体" w:hAnsi="宋体" w:cs="宋体" w:eastAsia="宋体" w:hint="default"/>
                            <w:sz w:val="18"/>
                            <w:szCs w:val="18"/>
                          </w:rPr>
                        </w:pPr>
                        <w:r>
                          <w:rPr>
                            <w:rFonts w:ascii="宋体" w:hAnsi="宋体" w:cs="宋体" w:eastAsia="宋体" w:hint="default"/>
                            <w:sz w:val="18"/>
                            <w:szCs w:val="18"/>
                          </w:rPr>
                          <w:t>广州广电运通金 融电子股份有限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募集 资金 使用</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4"/>
                          <w:jc w:val="both"/>
                          <w:rPr>
                            <w:rFonts w:ascii="宋体" w:hAnsi="宋体" w:cs="宋体" w:eastAsia="宋体" w:hint="default"/>
                            <w:sz w:val="18"/>
                            <w:szCs w:val="18"/>
                          </w:rPr>
                        </w:pPr>
                        <w:r>
                          <w:rPr>
                            <w:rFonts w:ascii="宋体" w:hAnsi="宋体" w:cs="宋体" w:eastAsia="宋体" w:hint="default"/>
                            <w:spacing w:val="-3"/>
                            <w:sz w:val="18"/>
                            <w:szCs w:val="18"/>
                          </w:rPr>
                          <w:t>公司在以下期间，不进行风险投资：</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、使用闲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置募集资金暂时补充流动资金期间；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、将募集</w:t>
                        </w:r>
                        <w:r>
                          <w:rPr>
                            <w:rFonts w:ascii="宋体" w:hAnsi="宋体" w:cs="宋体" w:eastAsia="宋体" w:hint="default"/>
                            <w:sz w:val="18"/>
                            <w:szCs w:val="18"/>
                          </w:rPr>
                          <w:t> 资金投向变更为永久性补充流动资金后十二个</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进 行 风</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line="624" w:lineRule="exact"/>
        <w:ind w:left="755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1.4pt;height:31.2pt;mso-position-horizontal-relative:char;mso-position-vertical-relative:line" coordorigin="0,0" coordsize="228,624">
            <v:group style="position:absolute;left:0;top:0;width:228;height:312" coordorigin="0,0" coordsize="228,312">
              <v:shape style="position:absolute;left:0;top:0;width:228;height:312" coordorigin="0,0" coordsize="228,312" path="m0,312l228,312,228,0,0,0,0,312xe" filled="true" fillcolor="#ffffff" stroked="false">
                <v:path arrowok="t"/>
                <v:fill type="solid"/>
              </v:shape>
            </v:group>
            <v:group style="position:absolute;left:0;top:312;width:228;height:312" coordorigin="0,312" coordsize="228,312">
              <v:shape style="position:absolute;left:0;top:312;width:228;height:312" coordorigin="0,312" coordsize="228,312" path="m0,624l228,624,228,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111"/>
        <w:ind w:left="0" w:right="156"/>
        <w:jc w:val="right"/>
      </w:pPr>
      <w:r>
        <w:rPr/>
        <w:t>。</w:t>
      </w:r>
    </w:p>
    <w:p>
      <w:pPr>
        <w:spacing w:after="0" w:line="240" w:lineRule="auto"/>
        <w:jc w:val="right"/>
        <w:sectPr>
          <w:pgSz w:w="11910" w:h="16840"/>
          <w:pgMar w:header="880" w:footer="979" w:top="1100" w:bottom="1160" w:left="980" w:right="980"/>
        </w:sectPr>
      </w:pPr>
    </w:p>
    <w:p>
      <w:pPr>
        <w:spacing w:line="240" w:lineRule="auto" w:before="8"/>
        <w:rPr>
          <w:rFonts w:ascii="宋体" w:hAnsi="宋体" w:cs="宋体" w:eastAsia="宋体" w:hint="default"/>
          <w:sz w:val="24"/>
          <w:szCs w:val="24"/>
        </w:rPr>
      </w:pPr>
      <w:r>
        <w:rPr/>
        <w:pict>
          <v:group style="position:absolute;margin-left:425.589996pt;margin-top:344.205994pt;width:13.7pt;height:78.05pt;mso-position-horizontal-relative:page;mso-position-vertical-relative:page;z-index:-1234072" coordorigin="8512,6884" coordsize="274,1561">
            <v:shape style="position:absolute;left:8512;top:6884;width:274;height:1561" coordorigin="8512,6884" coordsize="274,1561" path="m8512,8445l8785,8445,8785,6884,8512,6884,8512,844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01"/>
        <w:gridCol w:w="1419"/>
        <w:gridCol w:w="566"/>
        <w:gridCol w:w="3684"/>
        <w:gridCol w:w="286"/>
        <w:gridCol w:w="284"/>
        <w:gridCol w:w="1627"/>
      </w:tblGrid>
      <w:tr>
        <w:trPr>
          <w:trHeight w:val="3171" w:hRule="exact"/>
        </w:trPr>
        <w:tc>
          <w:tcPr>
            <w:tcW w:w="1701" w:type="dxa"/>
            <w:vMerge w:val="restart"/>
            <w:tcBorders>
              <w:top w:val="nil" w:sz="6" w:space="0" w:color="auto"/>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9"/>
              <w:jc w:val="both"/>
              <w:rPr>
                <w:rFonts w:ascii="宋体" w:hAnsi="宋体" w:cs="宋体" w:eastAsia="宋体" w:hint="default"/>
                <w:sz w:val="18"/>
                <w:szCs w:val="18"/>
              </w:rPr>
            </w:pPr>
            <w:r>
              <w:rPr>
                <w:rFonts w:ascii="宋体" w:hAnsi="宋体" w:cs="宋体" w:eastAsia="宋体" w:hint="default"/>
                <w:spacing w:val="-3"/>
                <w:sz w:val="18"/>
                <w:szCs w:val="18"/>
              </w:rPr>
              <w:t>月内；</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、将超募资金永久性用于补充流动资金</w:t>
            </w:r>
            <w:r>
              <w:rPr>
                <w:rFonts w:ascii="宋体" w:hAnsi="宋体" w:cs="宋体" w:eastAsia="宋体" w:hint="default"/>
                <w:sz w:val="18"/>
                <w:szCs w:val="18"/>
              </w:rPr>
              <w:t> 或者归还银行贷款后的十二个月内。</w:t>
            </w:r>
          </w:p>
          <w:p>
            <w:pPr>
              <w:pStyle w:val="TableParagraph"/>
              <w:spacing w:line="316" w:lineRule="auto" w:before="72"/>
              <w:ind w:left="23" w:right="48"/>
              <w:jc w:val="both"/>
              <w:rPr>
                <w:rFonts w:ascii="宋体" w:hAnsi="宋体" w:cs="宋体" w:eastAsia="宋体" w:hint="default"/>
                <w:sz w:val="18"/>
                <w:szCs w:val="18"/>
              </w:rPr>
            </w:pPr>
            <w:r>
              <w:rPr>
                <w:rFonts w:ascii="宋体" w:hAnsi="宋体" w:cs="宋体" w:eastAsia="宋体" w:hint="default"/>
                <w:sz w:val="18"/>
                <w:szCs w:val="18"/>
              </w:rPr>
              <w:t>公司承诺进行风险投资后的十二个月内，不使 用闲置募集资金暂时补充流动资金，不将募集 资金投向变更为永久性补充流动资金，不将超 募资金永久性用于补充流动资金或归还银行贷 款。</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68"/>
              <w:jc w:val="both"/>
              <w:rPr>
                <w:rFonts w:ascii="宋体" w:hAnsi="宋体" w:cs="宋体" w:eastAsia="宋体" w:hint="default"/>
                <w:sz w:val="18"/>
                <w:szCs w:val="18"/>
              </w:rPr>
            </w:pPr>
            <w:r>
              <w:rPr>
                <w:rFonts w:ascii="宋体" w:hAnsi="宋体" w:cs="宋体" w:eastAsia="宋体" w:hint="default"/>
                <w:sz w:val="18"/>
                <w:szCs w:val="18"/>
              </w:rPr>
              <w:t>险 投 资 后 的 十 二 个 月 内</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701"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王艳春、郑孙满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日召开的第四届董事会 第二十九次（临时）会议审议通过了《关于拟 协议受让及认购定向发行股份投资持有广东美 电贝尔科技集团股份有限公司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股权的议 案》，公司使用自有资金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63,998,892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元收购广 东美电贝尔科技集团股份有限公司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w:t>
            </w:r>
            <w:r>
              <w:rPr>
                <w:rFonts w:ascii="宋体" w:hAnsi="宋体" w:cs="宋体" w:eastAsia="宋体" w:hint="default"/>
                <w:sz w:val="18"/>
                <w:szCs w:val="18"/>
              </w:rPr>
              <w:t>的 </w:t>
            </w:r>
            <w:r>
              <w:rPr>
                <w:rFonts w:ascii="宋体" w:hAnsi="宋体" w:cs="宋体" w:eastAsia="宋体" w:hint="default"/>
                <w:spacing w:val="-4"/>
                <w:sz w:val="18"/>
                <w:szCs w:val="18"/>
              </w:rPr>
              <w:t>股权。出让两方郑孙满、王艳春承诺：（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）美</w:t>
            </w:r>
            <w:r>
              <w:rPr>
                <w:rFonts w:ascii="宋体" w:hAnsi="宋体" w:cs="宋体" w:eastAsia="宋体" w:hint="default"/>
                <w:spacing w:val="-79"/>
                <w:sz w:val="18"/>
                <w:szCs w:val="18"/>
              </w:rPr>
              <w:t> </w:t>
            </w:r>
            <w:r>
              <w:rPr>
                <w:rFonts w:ascii="宋体" w:hAnsi="宋体" w:cs="宋体" w:eastAsia="宋体" w:hint="default"/>
                <w:sz w:val="18"/>
                <w:szCs w:val="18"/>
              </w:rPr>
              <w:t>电贝尔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年经审计的扣除非经常性损益的</w:t>
            </w:r>
          </w:p>
          <w:p>
            <w:pPr>
              <w:pStyle w:val="TableParagraph"/>
              <w:spacing w:line="240" w:lineRule="auto" w:before="9"/>
              <w:ind w:left="23" w:right="-44"/>
              <w:jc w:val="left"/>
              <w:rPr>
                <w:rFonts w:ascii="宋体" w:hAnsi="宋体" w:cs="宋体" w:eastAsia="宋体" w:hint="default"/>
                <w:sz w:val="18"/>
                <w:szCs w:val="18"/>
              </w:rPr>
            </w:pPr>
            <w:r>
              <w:rPr>
                <w:rFonts w:ascii="宋体" w:hAnsi="宋体" w:cs="宋体" w:eastAsia="宋体" w:hint="default"/>
                <w:sz w:val="18"/>
                <w:szCs w:val="18"/>
              </w:rPr>
              <w:t>税后净利润不低于人民币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9" w:lineRule="auto" w:before="63"/>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年美电贝尔经审计的 扣除非经常性损益的税后净利润累计不低于人 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80,080,000 </w:t>
            </w:r>
            <w:r>
              <w:rPr>
                <w:rFonts w:ascii="宋体" w:hAnsi="宋体" w:cs="宋体" w:eastAsia="宋体" w:hint="default"/>
                <w:sz w:val="18"/>
                <w:szCs w:val="18"/>
              </w:rPr>
              <w:t>元。</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美电贝尔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23"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年经审计的扣 除非经常性损益的 税后净利润分别为 </w:t>
            </w:r>
            <w:r>
              <w:rPr>
                <w:rFonts w:ascii="Times New Roman" w:hAnsi="Times New Roman" w:cs="Times New Roman" w:eastAsia="Times New Roman" w:hint="default"/>
                <w:sz w:val="18"/>
                <w:szCs w:val="18"/>
              </w:rPr>
              <w:t>2,322.97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1,986.31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275"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湖北琪顺投资有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68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湖北琪顺投资有限公司承诺湖北融信</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p>
            <w:pPr>
              <w:pStyle w:val="TableParagraph"/>
              <w:spacing w:line="309" w:lineRule="auto" w:before="63"/>
              <w:ind w:left="23"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年三个会计年度扣除非经常性损 益后的净利润（经具有证券业务资格的审计机 构审计）累计不低于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11"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1"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湖北融信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 审计的扣除非经常 性损益后的净利润 为</w:t>
            </w:r>
            <w:r>
              <w:rPr>
                <w:rFonts w:ascii="Times New Roman" w:hAnsi="Times New Roman" w:cs="Times New Roman" w:eastAsia="Times New Roman" w:hint="default"/>
                <w:sz w:val="18"/>
                <w:szCs w:val="18"/>
              </w:rPr>
              <w:t>-1,287.45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8"/>
        <w:rPr>
          <w:rFonts w:ascii="宋体" w:hAnsi="宋体" w:cs="宋体" w:eastAsia="宋体" w:hint="default"/>
          <w:sz w:val="19"/>
          <w:szCs w:val="19"/>
        </w:rPr>
      </w:pPr>
    </w:p>
    <w:p>
      <w:pPr>
        <w:pStyle w:val="Heading4"/>
        <w:spacing w:line="271" w:lineRule="auto" w:before="37"/>
        <w:ind w:right="0"/>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、公司资产或项目存在盈利预测，且报告期仍处在盈利预测期间，公司就资产或项目达到原盈利预测及其原因</w:t>
      </w:r>
      <w:r>
        <w:rPr>
          <w:spacing w:val="37"/>
          <w:w w:val="95"/>
        </w:rPr>
        <w:t> </w:t>
      </w:r>
      <w:r>
        <w:rPr>
          <w:spacing w:val="37"/>
          <w:w w:val="95"/>
        </w:rPr>
      </w:r>
      <w:r>
        <w:rPr/>
        <w:t>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242"/>
        <w:gridCol w:w="850"/>
        <w:gridCol w:w="853"/>
        <w:gridCol w:w="991"/>
        <w:gridCol w:w="994"/>
        <w:gridCol w:w="850"/>
        <w:gridCol w:w="991"/>
        <w:gridCol w:w="2799"/>
      </w:tblGrid>
      <w:tr>
        <w:trPr>
          <w:trHeight w:val="713"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4" w:right="75"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1" w:right="58" w:hanging="92"/>
              <w:jc w:val="left"/>
              <w:rPr>
                <w:rFonts w:ascii="宋体" w:hAnsi="宋体" w:cs="宋体" w:eastAsia="宋体" w:hint="default"/>
                <w:sz w:val="18"/>
                <w:szCs w:val="18"/>
              </w:rPr>
            </w:pPr>
            <w:r>
              <w:rPr>
                <w:rFonts w:ascii="宋体" w:hAnsi="宋体" w:cs="宋体" w:eastAsia="宋体" w:hint="default"/>
                <w:sz w:val="18"/>
                <w:szCs w:val="18"/>
              </w:rPr>
              <w:t>未达预测 的原因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1" w:right="38"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244"/>
        <w:gridCol w:w="850"/>
        <w:gridCol w:w="850"/>
        <w:gridCol w:w="994"/>
        <w:gridCol w:w="994"/>
        <w:gridCol w:w="850"/>
        <w:gridCol w:w="991"/>
        <w:gridCol w:w="2799"/>
      </w:tblGrid>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收购创自技术</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2,366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3,805.40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已达到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《证券时报》及巨潮资讯网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上的临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2015-052 </w:t>
            </w:r>
            <w:r>
              <w:rPr>
                <w:rFonts w:ascii="宋体" w:hAnsi="宋体" w:cs="宋体" w:eastAsia="宋体" w:hint="default"/>
                <w:sz w:val="18"/>
                <w:szCs w:val="18"/>
              </w:rPr>
              <w:t>号公告</w:t>
            </w:r>
          </w:p>
        </w:tc>
      </w:tr>
      <w:tr>
        <w:trPr>
          <w:trHeight w:val="227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4" w:right="110"/>
              <w:jc w:val="both"/>
              <w:rPr>
                <w:rFonts w:ascii="宋体" w:hAnsi="宋体" w:cs="宋体" w:eastAsia="宋体" w:hint="default"/>
                <w:sz w:val="18"/>
                <w:szCs w:val="18"/>
              </w:rPr>
            </w:pPr>
            <w:r>
              <w:rPr>
                <w:rFonts w:ascii="宋体" w:hAnsi="宋体" w:cs="宋体" w:eastAsia="宋体" w:hint="default"/>
                <w:sz w:val="18"/>
                <w:szCs w:val="18"/>
              </w:rPr>
              <w:t>协议受让及认 购定向发行股 份投资持有美 电贝尔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 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2016-2018</w:t>
            </w:r>
          </w:p>
          <w:p>
            <w:pPr>
              <w:pStyle w:val="TableParagraph"/>
              <w:spacing w:line="316" w:lineRule="auto" w:before="63"/>
              <w:ind w:left="62" w:right="17"/>
              <w:jc w:val="both"/>
              <w:rPr>
                <w:rFonts w:ascii="宋体" w:hAnsi="宋体" w:cs="宋体" w:eastAsia="宋体" w:hint="default"/>
                <w:sz w:val="18"/>
                <w:szCs w:val="18"/>
              </w:rPr>
            </w:pPr>
            <w:r>
              <w:rPr>
                <w:rFonts w:ascii="宋体" w:hAnsi="宋体" w:cs="宋体" w:eastAsia="宋体" w:hint="default"/>
                <w:sz w:val="18"/>
                <w:szCs w:val="18"/>
              </w:rPr>
              <w:t>年三年经审 计扣除非经 常性损益的 税后净利润 累计不低于 </w:t>
            </w:r>
            <w:r>
              <w:rPr>
                <w:rFonts w:ascii="Times New Roman" w:hAnsi="Times New Roman" w:cs="Times New Roman" w:eastAsia="Times New Roman" w:hint="default"/>
                <w:sz w:val="18"/>
                <w:szCs w:val="18"/>
              </w:rPr>
              <w:t>8,008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1,986.31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7" w:lineRule="auto"/>
              <w:ind w:left="23" w:right="18"/>
              <w:jc w:val="left"/>
              <w:rPr>
                <w:rFonts w:ascii="宋体" w:hAnsi="宋体" w:cs="宋体" w:eastAsia="宋体" w:hint="default"/>
                <w:sz w:val="18"/>
                <w:szCs w:val="18"/>
              </w:rPr>
            </w:pPr>
            <w:r>
              <w:rPr>
                <w:rFonts w:ascii="宋体" w:hAnsi="宋体" w:cs="宋体" w:eastAsia="宋体" w:hint="default"/>
                <w:sz w:val="18"/>
                <w:szCs w:val="18"/>
              </w:rPr>
              <w:t>《证券时报》及巨潮资讯网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上的临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2017-007 </w:t>
            </w:r>
            <w:r>
              <w:rPr>
                <w:rFonts w:ascii="宋体" w:hAnsi="宋体" w:cs="宋体" w:eastAsia="宋体" w:hint="default"/>
                <w:sz w:val="18"/>
                <w:szCs w:val="18"/>
              </w:rPr>
              <w:t>号公告</w:t>
            </w:r>
          </w:p>
        </w:tc>
      </w:tr>
      <w:tr>
        <w:trPr>
          <w:trHeight w:val="227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收购湖北琪顺 投资有限公司 持有的湖北融 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2017-2019</w:t>
            </w:r>
          </w:p>
          <w:p>
            <w:pPr>
              <w:pStyle w:val="TableParagraph"/>
              <w:spacing w:line="316" w:lineRule="auto" w:before="65"/>
              <w:ind w:left="62" w:right="17"/>
              <w:jc w:val="right"/>
              <w:rPr>
                <w:rFonts w:ascii="宋体" w:hAnsi="宋体" w:cs="宋体" w:eastAsia="宋体" w:hint="default"/>
                <w:sz w:val="18"/>
                <w:szCs w:val="18"/>
              </w:rPr>
            </w:pPr>
            <w:r>
              <w:rPr>
                <w:rFonts w:ascii="宋体" w:hAnsi="宋体" w:cs="宋体" w:eastAsia="宋体" w:hint="default"/>
                <w:sz w:val="18"/>
                <w:szCs w:val="18"/>
              </w:rPr>
              <w:t>三年经审计 扣除非经常 性损益的税 后净利润累 计不低于 </w:t>
            </w:r>
            <w:r>
              <w:rPr>
                <w:rFonts w:ascii="Times New Roman" w:hAnsi="Times New Roman" w:cs="Times New Roman" w:eastAsia="Times New Roman" w:hint="default"/>
                <w:sz w:val="18"/>
                <w:szCs w:val="18"/>
              </w:rPr>
              <w:t>1,946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545"/>
              <w:jc w:val="both"/>
              <w:rPr>
                <w:rFonts w:ascii="宋体" w:hAnsi="宋体" w:cs="宋体" w:eastAsia="宋体" w:hint="default"/>
                <w:sz w:val="18"/>
                <w:szCs w:val="18"/>
              </w:rPr>
            </w:pPr>
            <w:r>
              <w:rPr>
                <w:rFonts w:ascii="宋体" w:hAnsi="宋体" w:cs="宋体" w:eastAsia="宋体" w:hint="default"/>
                <w:sz w:val="18"/>
                <w:szCs w:val="18"/>
              </w:rPr>
              <w:t>《证券时报》及巨潮资讯网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上的《临 </w:t>
            </w:r>
            <w:r>
              <w:rPr>
                <w:rFonts w:ascii="Times New Roman" w:hAnsi="Times New Roman" w:cs="Times New Roman" w:eastAsia="Times New Roman" w:hint="default"/>
                <w:sz w:val="18"/>
                <w:szCs w:val="18"/>
              </w:rPr>
              <w:t>2017-037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bl>
    <w:p>
      <w:pPr>
        <w:pStyle w:val="BodyText"/>
        <w:spacing w:line="240" w:lineRule="auto" w:before="51"/>
        <w:ind w:right="0"/>
        <w:jc w:val="both"/>
      </w:pPr>
      <w:r>
        <w:rPr/>
        <w:t>公司股东、交易对手方在报告年度经营业绩做出的承诺情况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both"/>
      </w:pPr>
      <w:r>
        <w:rPr/>
        <w:t>详见</w:t>
      </w:r>
      <w:r>
        <w:rPr>
          <w:rFonts w:ascii="Times New Roman" w:hAnsi="Times New Roman" w:cs="Times New Roman" w:eastAsia="Times New Roman" w:hint="default"/>
        </w:rPr>
        <w:t>“</w:t>
      </w:r>
      <w:r>
        <w:rPr/>
        <w:t>第五节三、</w:t>
      </w:r>
      <w:r>
        <w:rPr>
          <w:rFonts w:ascii="Times New Roman" w:hAnsi="Times New Roman" w:cs="Times New Roman" w:eastAsia="Times New Roman" w:hint="default"/>
        </w:rPr>
        <w:t>1”</w:t>
      </w:r>
      <w:r>
        <w:rPr/>
        <w:t>中的相关承诺。</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3" w:right="0"/>
        <w:jc w:val="left"/>
      </w:pPr>
      <w:r>
        <w:rPr/>
        <w:t>为规范政府补助的确认、计量和列报，促进贯彻落实《关于印发修订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的通知》和</w:t>
      </w:r>
    </w:p>
    <w:p>
      <w:pPr>
        <w:pStyle w:val="BodyText"/>
        <w:spacing w:line="300" w:lineRule="auto" w:before="63"/>
        <w:ind w:right="151"/>
        <w:jc w:val="both"/>
      </w:pP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日，公司召开第四届董事会第三十三次会议，审议并通过了《关于会计</w:t>
      </w:r>
      <w:r>
        <w:rPr>
          <w:spacing w:val="-86"/>
        </w:rPr>
        <w:t> </w:t>
      </w:r>
      <w:r>
        <w:rPr>
          <w:spacing w:val="-86"/>
        </w:rPr>
      </w:r>
      <w:r>
        <w:rPr/>
        <w:t>政策变更的议案》。本次公司会计政策是根据财会〔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号财政部的《关于印发修订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 助</w:t>
      </w:r>
      <w:r>
        <w:rPr>
          <w:rFonts w:ascii="Times New Roman" w:hAnsi="Times New Roman" w:cs="Times New Roman" w:eastAsia="Times New Roman" w:hint="default"/>
        </w:rPr>
        <w:t>&gt;</w:t>
      </w:r>
      <w:r>
        <w:rPr/>
        <w:t>的通知》规定进行损益科目间的调整，不影响损益，不涉及以往年度的追溯调整。</w:t>
      </w:r>
    </w:p>
    <w:p>
      <w:pPr>
        <w:pStyle w:val="BodyText"/>
        <w:spacing w:line="314" w:lineRule="auto" w:before="13"/>
        <w:ind w:right="150" w:firstLine="420"/>
        <w:jc w:val="both"/>
      </w:pPr>
      <w:r>
        <w:rPr/>
        <w:t>为了规范公司非流动资产处置利得和损失项目列报，根据财政部《关于修订印发一般企业财务报表格式的通知》（财 会</w:t>
      </w:r>
      <w:r>
        <w:rPr>
          <w:rFonts w:ascii="Times New Roman" w:hAnsi="Times New Roman" w:cs="Times New Roman" w:eastAsia="Times New Roman" w:hint="default"/>
        </w:rPr>
        <w:t>[2017]30</w:t>
      </w:r>
      <w:r>
        <w:rPr/>
        <w:t>号）和财政部会计司《关于一般企业财务报表格式有关问题的解读》，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日，公司召开第五届董事会</w:t>
      </w:r>
      <w:r>
        <w:rPr>
          <w:spacing w:val="-33"/>
        </w:rPr>
        <w:t> </w:t>
      </w:r>
      <w:r>
        <w:rPr>
          <w:spacing w:val="-33"/>
        </w:rPr>
      </w:r>
      <w:r>
        <w:rPr>
          <w:spacing w:val="-2"/>
        </w:rPr>
        <w:t>第四次会议，审议并通过了《关于会计政策变更的议案》。本次公司会计政策是根据财政部的《关于修订印发一般企业财务</w:t>
      </w:r>
      <w:r>
        <w:rPr>
          <w:spacing w:val="-67"/>
        </w:rPr>
        <w:t> </w:t>
      </w:r>
      <w:r>
        <w:rPr>
          <w:spacing w:val="-67"/>
        </w:rPr>
      </w:r>
      <w:r>
        <w:rPr>
          <w:spacing w:val="-2"/>
        </w:rPr>
        <w:t>报表格式的通知》规定将原列报于“营业外收入”和“营业外支出”的非流动资产处置利得和损失变更为列报于“资产处置</w:t>
      </w:r>
      <w:r>
        <w:rPr>
          <w:spacing w:val="-70"/>
        </w:rPr>
        <w:t> </w:t>
      </w:r>
      <w:r>
        <w:rPr>
          <w:spacing w:val="-70"/>
        </w:rPr>
      </w:r>
      <w:r>
        <w:rPr/>
        <w:t>收益”，不影响损益，对可比期间比较数据的列报进行相应调整。</w:t>
      </w:r>
    </w:p>
    <w:p>
      <w:pPr>
        <w:pStyle w:val="BodyText"/>
        <w:spacing w:line="240" w:lineRule="auto" w:before="20"/>
        <w:ind w:left="573" w:right="0"/>
        <w:jc w:val="left"/>
      </w:pPr>
      <w:r>
        <w:rPr/>
        <w:t>公司执行上述规定的主要影响如下：</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0" w:right="107"/>
        <w:jc w:val="right"/>
      </w:pPr>
      <w:r>
        <w:rPr/>
        <w:pict>
          <v:shape style="position:absolute;margin-left:56.400002pt;margin-top:-32.348282pt;width:482.75pt;height:163.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89"/>
                    <w:gridCol w:w="4251"/>
                  </w:tblGrid>
                  <w:tr>
                    <w:trPr>
                      <w:trHeight w:val="586"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16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950"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02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公司对</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日存在</w:t>
                        </w:r>
                        <w:r>
                          <w:rPr>
                            <w:rFonts w:ascii="宋体" w:hAnsi="宋体" w:cs="宋体" w:eastAsia="宋体" w:hint="default"/>
                            <w:spacing w:val="-3"/>
                            <w:sz w:val="18"/>
                            <w:szCs w:val="18"/>
                          </w:rPr>
                          <w:t>的</w:t>
                        </w:r>
                        <w:r>
                          <w:rPr>
                            <w:rFonts w:ascii="宋体" w:hAnsi="宋体" w:cs="宋体" w:eastAsia="宋体" w:hint="default"/>
                            <w:sz w:val="18"/>
                            <w:szCs w:val="18"/>
                          </w:rPr>
                          <w:t>政府补助采用未来适用法处理</w:t>
                        </w:r>
                        <w:r>
                          <w:rPr>
                            <w:rFonts w:ascii="宋体" w:hAnsi="宋体" w:cs="宋体" w:eastAsia="宋体" w:hint="default"/>
                            <w:spacing w:val="-89"/>
                            <w:sz w:val="18"/>
                            <w:szCs w:val="18"/>
                          </w:rPr>
                          <w:t>，</w:t>
                        </w:r>
                        <w:r>
                          <w:rPr>
                            <w:rFonts w:ascii="宋体" w:hAnsi="宋体" w:cs="宋体" w:eastAsia="宋体" w:hint="default"/>
                            <w:sz w:val="18"/>
                            <w:szCs w:val="18"/>
                          </w:rPr>
                          <w:t>对</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300" w:lineRule="auto" w:before="63"/>
                          <w:ind w:left="24" w:right="13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日至新准则施行日之间新增的政府补助根据新准则进行调 整。本次会计政策变更不影响损益，不涉及以往年度的追溯调整。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09"/>
                          <w:jc w:val="both"/>
                          <w:rPr>
                            <w:rFonts w:ascii="宋体" w:hAnsi="宋体" w:cs="宋体" w:eastAsia="宋体" w:hint="default"/>
                            <w:sz w:val="18"/>
                            <w:szCs w:val="18"/>
                          </w:rPr>
                        </w:pPr>
                        <w:r>
                          <w:rPr>
                            <w:rFonts w:ascii="宋体" w:hAnsi="宋体" w:cs="宋体" w:eastAsia="宋体" w:hint="default"/>
                            <w:spacing w:val="-2"/>
                            <w:sz w:val="18"/>
                            <w:szCs w:val="18"/>
                          </w:rPr>
                          <w:t>与企业日常经营活动相关的政府补助从“营业外收入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重分类到“其他收益”项目的金额为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151,339,485.14 </w:t>
                        </w:r>
                        <w:r>
                          <w:rPr>
                            <w:rFonts w:ascii="宋体" w:hAnsi="宋体" w:cs="宋体" w:eastAsia="宋体" w:hint="default"/>
                            <w:sz w:val="18"/>
                            <w:szCs w:val="18"/>
                          </w:rPr>
                          <w:t>元。</w:t>
                        </w:r>
                      </w:p>
                    </w:tc>
                  </w:tr>
                  <w:tr>
                    <w:trPr>
                      <w:trHeight w:val="164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4" w:right="20"/>
                          <w:jc w:val="both"/>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日起将原列报于“营业外收入”和“营业外支 </w:t>
                        </w:r>
                        <w:r>
                          <w:rPr>
                            <w:rFonts w:ascii="宋体" w:hAnsi="宋体" w:cs="宋体" w:eastAsia="宋体" w:hint="default"/>
                            <w:spacing w:val="-3"/>
                            <w:sz w:val="18"/>
                            <w:szCs w:val="18"/>
                          </w:rPr>
                          <w:t>出”的非流动资产处置利得和损失按照《通知》变更为列报于“资产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处置收益”，对可比期间比较数据的列报进行相应调整。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年度营业外收入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2,248,342.75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元、营业外支</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500,498.03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元，相应调增资产处置收益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1,747,844.72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5"/>
                            <w:sz w:val="18"/>
                            <w:szCs w:val="18"/>
                          </w:rPr>
                          <w:t>元。调减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年度营业外收入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741,843.43 </w:t>
                        </w:r>
                        <w:r>
                          <w:rPr>
                            <w:rFonts w:ascii="宋体" w:hAnsi="宋体" w:cs="宋体" w:eastAsia="宋体" w:hint="default"/>
                            <w:spacing w:val="-4"/>
                            <w:sz w:val="18"/>
                            <w:szCs w:val="18"/>
                          </w:rPr>
                          <w:t>元、营业外</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相应调增</w:t>
                        </w:r>
                        <w:r>
                          <w:rPr>
                            <w:rFonts w:ascii="宋体" w:hAnsi="宋体" w:cs="宋体" w:eastAsia="宋体" w:hint="default"/>
                            <w:spacing w:val="-3"/>
                            <w:sz w:val="18"/>
                            <w:szCs w:val="18"/>
                          </w:rPr>
                          <w:t>资</w:t>
                        </w:r>
                        <w:r>
                          <w:rPr>
                            <w:rFonts w:ascii="宋体" w:hAnsi="宋体" w:cs="宋体" w:eastAsia="宋体" w:hint="default"/>
                            <w:sz w:val="18"/>
                            <w:szCs w:val="18"/>
                          </w:rPr>
                          <w:t>产处置收益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before="26"/>
        <w:ind w:left="212" w:right="104"/>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212" w:right="5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1"/>
        <w:rPr>
          <w:rFonts w:ascii="宋体" w:hAnsi="宋体" w:cs="宋体" w:eastAsia="宋体" w:hint="default"/>
          <w:sz w:val="19"/>
          <w:szCs w:val="19"/>
        </w:rPr>
      </w:pPr>
    </w:p>
    <w:p>
      <w:pPr>
        <w:pStyle w:val="Heading2"/>
        <w:spacing w:line="240" w:lineRule="auto"/>
        <w:ind w:left="212" w:right="104"/>
        <w:jc w:val="left"/>
        <w:rPr>
          <w:b w:val="0"/>
          <w:bCs w:val="0"/>
        </w:rPr>
      </w:pPr>
      <w:r>
        <w:rPr/>
        <w:t>八、与上年度财务报告相比，合并报表范围发生变化的情况说明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9" w:top="1100" w:bottom="1160" w:left="920" w:right="960"/>
        </w:sectPr>
      </w:pPr>
    </w:p>
    <w:p>
      <w:pPr>
        <w:pStyle w:val="BodyText"/>
        <w:spacing w:line="240" w:lineRule="auto" w:before="44"/>
        <w:ind w:left="212"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3" w:right="-8"/>
        <w:jc w:val="left"/>
        <w:rPr>
          <w:rFonts w:ascii="Times New Roman" w:hAnsi="Times New Roman" w:cs="Times New Roman" w:eastAsia="Times New Roman" w:hint="default"/>
        </w:rPr>
      </w:pPr>
      <w:r>
        <w:rPr/>
        <w:t>与上年度相比本年度新增合并单位</w:t>
      </w:r>
      <w:r>
        <w:rPr>
          <w:rFonts w:ascii="Times New Roman" w:hAnsi="Times New Roman" w:cs="Times New Roman" w:eastAsia="Times New Roman" w:hint="default"/>
          <w:spacing w:val="1"/>
        </w:rPr>
        <w:t>13</w:t>
      </w:r>
      <w:r>
        <w:rPr/>
        <w:t>家</w:t>
      </w:r>
      <w:r>
        <w:rPr>
          <w:spacing w:val="-82"/>
        </w:rPr>
        <w:t>，</w:t>
      </w:r>
      <w:r>
        <w:rPr/>
        <w:t>原因为</w:t>
      </w:r>
      <w:r>
        <w:rPr>
          <w:spacing w:val="-82"/>
        </w:rPr>
        <w:t>：</w:t>
      </w:r>
      <w:r>
        <w:rPr/>
        <w:t>新设立</w:t>
      </w:r>
      <w:r>
        <w:rPr>
          <w:rFonts w:ascii="Times New Roman" w:hAnsi="Times New Roman" w:cs="Times New Roman" w:eastAsia="Times New Roman" w:hint="default"/>
          <w:spacing w:val="1"/>
        </w:rPr>
        <w:t>4</w:t>
      </w:r>
      <w:r>
        <w:rPr/>
        <w:t>家孙公司</w:t>
      </w:r>
      <w:r>
        <w:rPr>
          <w:rFonts w:ascii="Times New Roman" w:hAnsi="Times New Roman" w:cs="Times New Roman" w:eastAsia="Times New Roman" w:hint="default"/>
        </w:rPr>
        <w:t>-</w:t>
      </w:r>
      <w:r>
        <w:rPr/>
        <w:t>平云小匠</w:t>
      </w:r>
      <w:r>
        <w:rPr>
          <w:spacing w:val="-80"/>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spacing w:val="2"/>
        </w:rPr>
        <w:t>R</w:t>
      </w:r>
      <w:r>
        <w:rPr>
          <w:rFonts w:ascii="Times New Roman" w:hAnsi="Times New Roman" w:cs="Times New Roman" w:eastAsia="Times New Roman" w:hint="default"/>
          <w:w w:val="99"/>
        </w:rPr>
        <w:t>G</w:t>
      </w:r>
      <w:r>
        <w:rPr>
          <w:rFonts w:ascii="Times New Roman" w:hAnsi="Times New Roman" w:cs="Times New Roman" w:eastAsia="Times New Roman" w:hint="default"/>
          <w:spacing w:val="-3"/>
        </w:rPr>
        <w:t> </w:t>
      </w:r>
      <w:r>
        <w:rPr>
          <w:rFonts w:ascii="Times New Roman" w:hAnsi="Times New Roman" w:cs="Times New Roman" w:eastAsia="Times New Roman" w:hint="default"/>
        </w:rPr>
        <w:t>E</w:t>
      </w:r>
      <w:r>
        <w:rPr>
          <w:rFonts w:ascii="Times New Roman" w:hAnsi="Times New Roman" w:cs="Times New Roman" w:eastAsia="Times New Roman" w:hint="default"/>
          <w:spacing w:val="1"/>
        </w:rPr>
        <w:t>qu</w:t>
      </w:r>
      <w:r>
        <w:rPr>
          <w:rFonts w:ascii="Times New Roman" w:hAnsi="Times New Roman" w:cs="Times New Roman" w:eastAsia="Times New Roman" w:hint="default"/>
        </w:rPr>
        <w:t>i</w:t>
      </w:r>
      <w:r>
        <w:rPr>
          <w:rFonts w:ascii="Times New Roman" w:hAnsi="Times New Roman" w:cs="Times New Roman" w:eastAsia="Times New Roman" w:hint="default"/>
          <w:spacing w:val="1"/>
        </w:rPr>
        <w:t>p</w:t>
      </w:r>
      <w:r>
        <w:rPr>
          <w:rFonts w:ascii="Times New Roman" w:hAnsi="Times New Roman" w:cs="Times New Roman" w:eastAsia="Times New Roman" w:hint="default"/>
          <w:spacing w:val="-4"/>
        </w:rPr>
        <w:t>m</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1"/>
        </w:rPr>
        <w:t>n</w:t>
      </w:r>
      <w:r>
        <w:rPr>
          <w:rFonts w:ascii="Times New Roman" w:hAnsi="Times New Roman" w:cs="Times New Roman" w:eastAsia="Times New Roman" w:hint="default"/>
        </w:rPr>
        <w:t>t </w:t>
      </w:r>
      <w:r>
        <w:rPr>
          <w:rFonts w:ascii="Times New Roman" w:hAnsi="Times New Roman" w:cs="Times New Roman" w:eastAsia="Times New Roman" w:hint="default"/>
          <w:w w:val="99"/>
        </w:rPr>
        <w:t>(S</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2"/>
        </w:rPr>
        <w:t>g</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1"/>
        </w:rPr>
        <w:t>po</w:t>
      </w:r>
      <w:r>
        <w:rPr>
          <w:rFonts w:ascii="Times New Roman" w:hAnsi="Times New Roman" w:cs="Times New Roman" w:eastAsia="Times New Roman" w:hint="default"/>
        </w:rPr>
        <w:t>r</w:t>
      </w:r>
      <w:r>
        <w:rPr>
          <w:rFonts w:ascii="Times New Roman" w:hAnsi="Times New Roman" w:cs="Times New Roman" w:eastAsia="Times New Roman" w:hint="default"/>
          <w:spacing w:val="-1"/>
        </w:rPr>
        <w:t>e</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w w:val="99"/>
        </w:rPr>
        <w:t>P</w:t>
      </w:r>
      <w:r>
        <w:rPr>
          <w:rFonts w:ascii="Times New Roman" w:hAnsi="Times New Roman" w:cs="Times New Roman" w:eastAsia="Times New Roman" w:hint="default"/>
        </w:rPr>
        <w:t>te. </w:t>
      </w:r>
      <w:r>
        <w:rPr>
          <w:rFonts w:ascii="Times New Roman" w:hAnsi="Times New Roman" w:cs="Times New Roman" w:eastAsia="Times New Roman" w:hint="default"/>
          <w:spacing w:val="-2"/>
        </w:rPr>
        <w:t>L</w:t>
      </w:r>
      <w:r>
        <w:rPr>
          <w:rFonts w:ascii="Times New Roman" w:hAnsi="Times New Roman" w:cs="Times New Roman" w:eastAsia="Times New Roman" w:hint="default"/>
        </w:rPr>
        <w:t>t</w:t>
      </w:r>
      <w:r>
        <w:rPr>
          <w:rFonts w:ascii="Times New Roman" w:hAnsi="Times New Roman" w:cs="Times New Roman" w:eastAsia="Times New Roman" w:hint="default"/>
          <w:spacing w:val="-32"/>
        </w:rPr>
        <w:t>d</w:t>
      </w:r>
      <w:r>
        <w:rPr>
          <w:spacing w:val="-147"/>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2"/>
        <w:rPr>
          <w:rFonts w:ascii="Times New Roman" w:hAnsi="Times New Roman" w:cs="Times New Roman" w:eastAsia="Times New Roman" w:hint="default"/>
          <w:sz w:val="20"/>
          <w:szCs w:val="20"/>
        </w:rPr>
      </w:pPr>
    </w:p>
    <w:p>
      <w:pPr>
        <w:pStyle w:val="BodyText"/>
        <w:spacing w:line="240" w:lineRule="auto"/>
        <w:ind w:left="61" w:right="0"/>
        <w:jc w:val="left"/>
        <w:rPr>
          <w:rFonts w:ascii="Times New Roman" w:hAnsi="Times New Roman" w:cs="Times New Roman" w:eastAsia="Times New Roman" w:hint="default"/>
        </w:rPr>
      </w:pPr>
      <w:r>
        <w:rPr>
          <w:rFonts w:ascii="Times New Roman"/>
        </w:rPr>
        <w:t>GRG</w:t>
      </w:r>
    </w:p>
    <w:p>
      <w:pPr>
        <w:spacing w:after="0" w:line="240" w:lineRule="auto"/>
        <w:jc w:val="left"/>
        <w:rPr>
          <w:rFonts w:ascii="Times New Roman" w:hAnsi="Times New Roman" w:cs="Times New Roman" w:eastAsia="Times New Roman" w:hint="default"/>
        </w:rPr>
        <w:sectPr>
          <w:type w:val="continuous"/>
          <w:pgSz w:w="11910" w:h="16840"/>
          <w:pgMar w:top="1100" w:bottom="1160" w:left="920" w:right="960"/>
          <w:cols w:num="2" w:equalWidth="0">
            <w:col w:w="9375" w:space="40"/>
            <w:col w:w="615"/>
          </w:cols>
        </w:sectPr>
      </w:pPr>
    </w:p>
    <w:p>
      <w:pPr>
        <w:pStyle w:val="BodyText"/>
        <w:spacing w:line="300" w:lineRule="auto" w:before="63"/>
        <w:ind w:left="212" w:right="104"/>
        <w:jc w:val="left"/>
      </w:pPr>
      <w:r>
        <w:rPr/>
        <w:t>新加坡）、广电卓识、江苏汇锦利通信息科技有限公司；并购、新设共</w:t>
      </w:r>
      <w:r>
        <w:rPr>
          <w:rFonts w:ascii="Times New Roman" w:hAnsi="Times New Roman" w:cs="Times New Roman" w:eastAsia="Times New Roman" w:hint="default"/>
        </w:rPr>
        <w:t>9</w:t>
      </w:r>
      <w:r>
        <w:rPr/>
        <w:t>家孙公司的控股子、孙公司</w:t>
      </w:r>
      <w:r>
        <w:rPr>
          <w:rFonts w:ascii="Times New Roman" w:hAnsi="Times New Roman" w:cs="Times New Roman" w:eastAsia="Times New Roman" w:hint="default"/>
        </w:rPr>
        <w:t>-</w:t>
      </w:r>
      <w:r>
        <w:rPr/>
        <w:t>黄石金通、湖北银通、 益阳保安、安化保安、南县保安、黄石金安、保山安邦、鹤壁鹏翔、新余市景运科技有限公司。</w:t>
      </w:r>
    </w:p>
    <w:p>
      <w:pPr>
        <w:spacing w:line="240" w:lineRule="auto" w:before="8"/>
        <w:rPr>
          <w:rFonts w:ascii="宋体" w:hAnsi="宋体" w:cs="宋体" w:eastAsia="宋体" w:hint="default"/>
          <w:sz w:val="21"/>
          <w:szCs w:val="21"/>
        </w:rPr>
      </w:pPr>
    </w:p>
    <w:p>
      <w:pPr>
        <w:pStyle w:val="Heading2"/>
        <w:spacing w:line="240" w:lineRule="auto"/>
        <w:ind w:left="212" w:right="104"/>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104"/>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395"/>
        <w:gridCol w:w="5175"/>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212" w:right="104"/>
        <w:jc w:val="left"/>
      </w:pPr>
      <w:r>
        <w:rPr/>
        <w:t>当期是否改聘会计师事务所</w:t>
      </w:r>
    </w:p>
    <w:p>
      <w:pPr>
        <w:pStyle w:val="BodyText"/>
        <w:spacing w:line="340" w:lineRule="auto" w:before="115"/>
        <w:ind w:left="212" w:right="5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left="212"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2" w:right="104"/>
        <w:jc w:val="left"/>
        <w:rPr>
          <w:b w:val="0"/>
          <w:bCs w:val="0"/>
        </w:rPr>
      </w:pP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2"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100" w:bottom="1160" w:left="920" w:right="96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1"/>
        <w:ind w:right="11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日公司召开第四届董事会第二次会议及</w:t>
      </w:r>
      <w:r>
        <w:rPr>
          <w:rFonts w:ascii="Times New Roman" w:hAnsi="Times New Roman" w:cs="Times New Roman" w:eastAsia="Times New Roman" w:hint="default"/>
        </w:rPr>
        <w:t>2014</w:t>
      </w:r>
      <w:r>
        <w:rPr/>
        <w:t>年度股东大会相继审议通过《关于</w:t>
      </w:r>
      <w:r>
        <w:rPr>
          <w:rFonts w:ascii="Times New Roman" w:hAnsi="Times New Roman" w:cs="Times New Roman" w:eastAsia="Times New Roman" w:hint="default"/>
        </w:rPr>
        <w:t>&lt;</w:t>
      </w:r>
      <w:r>
        <w:rPr/>
        <w:t>广州广电 运通金融电子股份有限公司第一期员工持股计划（草案）（认购非公开发行股票方式）</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日公司召 开第四届董事会第十次会议审议通过了《关于公司与广州证券股份有限公司签订</w:t>
      </w:r>
      <w:r>
        <w:rPr>
          <w:rFonts w:ascii="Times New Roman" w:hAnsi="Times New Roman" w:cs="Times New Roman" w:eastAsia="Times New Roman" w:hint="default"/>
        </w:rPr>
        <w:t>&lt;</w:t>
      </w:r>
      <w:r>
        <w:rPr/>
        <w:t>附条件生效的非公开发行股份认购合同之 补充合同</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日公司召开第四届董事会第十二次会议及</w:t>
      </w:r>
      <w:r>
        <w:rPr>
          <w:rFonts w:ascii="Times New Roman" w:hAnsi="Times New Roman" w:cs="Times New Roman" w:eastAsia="Times New Roman" w:hint="default"/>
        </w:rPr>
        <w:t>2015</w:t>
      </w:r>
      <w:r>
        <w:rPr/>
        <w:t>年第三次临时股东大会 </w:t>
      </w:r>
      <w:r>
        <w:rPr>
          <w:spacing w:val="-2"/>
        </w:rPr>
        <w:t>相继审议通过《关于修订公司第一期员工持股计划（草案）（认购非公开发行股票方式）的议案》；公司本次非公开发行股</w:t>
      </w:r>
      <w:r>
        <w:rPr>
          <w:spacing w:val="-71"/>
        </w:rPr>
        <w:t> </w:t>
      </w:r>
      <w:r>
        <w:rPr>
          <w:spacing w:val="-71"/>
        </w:rPr>
      </w:r>
      <w:r>
        <w:rPr/>
        <w:t>票的发行对象之一为鲲鹏运通</w:t>
      </w:r>
      <w:r>
        <w:rPr>
          <w:rFonts w:ascii="Times New Roman" w:hAnsi="Times New Roman" w:cs="Times New Roman" w:eastAsia="Times New Roman" w:hint="default"/>
        </w:rPr>
        <w:t>1</w:t>
      </w:r>
      <w:r>
        <w:rPr/>
        <w:t>号定向资产管理计划（以下简称</w:t>
      </w:r>
      <w:r>
        <w:rPr>
          <w:rFonts w:ascii="Times New Roman" w:hAnsi="Times New Roman" w:cs="Times New Roman" w:eastAsia="Times New Roman" w:hint="default"/>
        </w:rPr>
        <w:t>“</w:t>
      </w:r>
      <w:r>
        <w:rPr/>
        <w:t>运通资管计划</w:t>
      </w:r>
      <w:r>
        <w:rPr>
          <w:rFonts w:ascii="Times New Roman" w:hAnsi="Times New Roman" w:cs="Times New Roman" w:eastAsia="Times New Roman" w:hint="default"/>
        </w:rPr>
        <w:t>”</w:t>
      </w:r>
      <w:r>
        <w:rPr/>
        <w:t>），由广州证券股份有限公司为管理人，运 通资管计划的认购对象为广电运通第一期员工持股计划，由包括公司董事、监事、高级管理人员叶子瑜、罗攀峰、陈振光、 </w:t>
      </w:r>
      <w:r>
        <w:rPr>
          <w:spacing w:val="-2"/>
        </w:rPr>
        <w:t>束萌、陈建良、李叶东、魏东、蒋春晨、解永生、任斌、冯丰穗共</w:t>
      </w:r>
      <w:r>
        <w:rPr>
          <w:rFonts w:ascii="Times New Roman" w:hAnsi="Times New Roman" w:cs="Times New Roman" w:eastAsia="Times New Roman" w:hint="default"/>
          <w:spacing w:val="-2"/>
        </w:rPr>
        <w:t>11</w:t>
      </w:r>
      <w:r>
        <w:rPr>
          <w:spacing w:val="-2"/>
        </w:rPr>
        <w:t>人及其他核心骨干员工出资</w:t>
      </w:r>
      <w:r>
        <w:rPr>
          <w:rFonts w:ascii="Times New Roman" w:hAnsi="Times New Roman" w:cs="Times New Roman" w:eastAsia="Times New Roman" w:hint="default"/>
          <w:spacing w:val="-2"/>
        </w:rPr>
        <w:t>74,697.48</w:t>
      </w:r>
      <w:r>
        <w:rPr>
          <w:spacing w:val="-2"/>
        </w:rPr>
        <w:t>万元认购非公开发</w:t>
      </w:r>
      <w:r>
        <w:rPr>
          <w:spacing w:val="-63"/>
        </w:rPr>
        <w:t> </w:t>
      </w:r>
      <w:r>
        <w:rPr>
          <w:spacing w:val="-63"/>
        </w:rPr>
      </w:r>
      <w:r>
        <w:rPr/>
        <w:t>行股票</w:t>
      </w:r>
      <w:r>
        <w:rPr>
          <w:rFonts w:ascii="Times New Roman" w:hAnsi="Times New Roman" w:cs="Times New Roman" w:eastAsia="Times New Roman" w:hint="default"/>
        </w:rPr>
        <w:t>43,530,000</w:t>
      </w:r>
      <w:r>
        <w:rPr/>
        <w:t>股。其中公司董事、监事和高级管理人员叶子瑜、罗攀峰、陈振光、束萌、陈建良、李叶东、魏东、蒋春 </w:t>
      </w:r>
      <w:r>
        <w:rPr>
          <w:spacing w:val="-3"/>
        </w:rPr>
        <w:t>晨、解永生、任斌、冯丰穗</w:t>
      </w:r>
      <w:r>
        <w:rPr>
          <w:rFonts w:ascii="Times New Roman" w:hAnsi="Times New Roman" w:cs="Times New Roman" w:eastAsia="Times New Roman" w:hint="default"/>
          <w:spacing w:val="-3"/>
        </w:rPr>
        <w:t>11</w:t>
      </w:r>
      <w:r>
        <w:rPr>
          <w:spacing w:val="-3"/>
        </w:rPr>
        <w:t>人合计出资</w:t>
      </w:r>
      <w:r>
        <w:rPr>
          <w:rFonts w:ascii="Times New Roman" w:hAnsi="Times New Roman" w:cs="Times New Roman" w:eastAsia="Times New Roman" w:hint="default"/>
          <w:spacing w:val="-3"/>
        </w:rPr>
        <w:t>68,640,000</w:t>
      </w:r>
      <w:r>
        <w:rPr>
          <w:spacing w:val="-3"/>
        </w:rPr>
        <w:t>元，对应认购非公开发行股票数量</w:t>
      </w:r>
      <w:r>
        <w:rPr>
          <w:rFonts w:ascii="Times New Roman" w:hAnsi="Times New Roman" w:cs="Times New Roman" w:eastAsia="Times New Roman" w:hint="default"/>
          <w:spacing w:val="-3"/>
        </w:rPr>
        <w:t>4,000,000</w:t>
      </w:r>
      <w:r>
        <w:rPr>
          <w:spacing w:val="-3"/>
        </w:rPr>
        <w:t>股，占运通资管计划的</w:t>
      </w:r>
      <w:r>
        <w:rPr>
          <w:rFonts w:ascii="Times New Roman" w:hAnsi="Times New Roman" w:cs="Times New Roman" w:eastAsia="Times New Roman" w:hint="default"/>
          <w:spacing w:val="-3"/>
        </w:rPr>
        <w:t>9.19%</w:t>
      </w:r>
      <w:r>
        <w:rPr>
          <w:spacing w:val="-3"/>
        </w:rPr>
        <w:t>；</w:t>
      </w:r>
      <w:r>
        <w:rPr>
          <w:spacing w:val="-79"/>
        </w:rPr>
        <w:t> </w:t>
      </w:r>
      <w:r>
        <w:rPr/>
        <w:t>其他员工合计出资</w:t>
      </w:r>
      <w:r>
        <w:rPr>
          <w:rFonts w:ascii="Times New Roman" w:hAnsi="Times New Roman" w:cs="Times New Roman" w:eastAsia="Times New Roman" w:hint="default"/>
        </w:rPr>
        <w:t>678,334,800</w:t>
      </w:r>
      <w:r>
        <w:rPr/>
        <w:t>元，对应认购非公开发行股票数量</w:t>
      </w:r>
      <w:r>
        <w:rPr>
          <w:rFonts w:ascii="Times New Roman" w:hAnsi="Times New Roman" w:cs="Times New Roman" w:eastAsia="Times New Roman" w:hint="default"/>
        </w:rPr>
        <w:t>39,530,000</w:t>
      </w:r>
      <w:r>
        <w:rPr/>
        <w:t>股，占运通资管计划的</w:t>
      </w:r>
      <w:r>
        <w:rPr>
          <w:rFonts w:ascii="Times New Roman" w:hAnsi="Times New Roman" w:cs="Times New Roman" w:eastAsia="Times New Roman" w:hint="default"/>
        </w:rPr>
        <w:t>90.81%</w:t>
      </w:r>
      <w:r>
        <w:rPr/>
        <w:t>。</w:t>
      </w:r>
    </w:p>
    <w:p>
      <w:pPr>
        <w:pStyle w:val="BodyText"/>
        <w:spacing w:line="300" w:lineRule="auto" w:before="50"/>
        <w:ind w:right="21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日公司收到中国证券监督管理委员会《关于核准广州广电运通金融电子股份有限公司非公开发行股票的批</w:t>
      </w:r>
      <w:r>
        <w:rPr/>
        <w:t> </w:t>
      </w:r>
      <w:r>
        <w:rPr>
          <w:spacing w:val="-2"/>
        </w:rPr>
        <w:t>复》（证监许可【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3135</w:t>
      </w:r>
      <w:r>
        <w:rPr>
          <w:spacing w:val="-2"/>
        </w:rPr>
        <w:t>号）。公司在中国证券登记结算有限责任公司深圳分公司已办理完毕本次非公开发行股份登记</w:t>
      </w:r>
      <w:r>
        <w:rPr>
          <w:spacing w:val="-61"/>
        </w:rPr>
        <w:t> </w:t>
      </w:r>
      <w:r>
        <w:rPr>
          <w:spacing w:val="-61"/>
        </w:rPr>
      </w:r>
      <w:r>
        <w:rPr>
          <w:spacing w:val="-2"/>
        </w:rPr>
        <w:t>业务，新增股份已于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日上市，运通资管计划本次认购的</w:t>
      </w:r>
      <w:r>
        <w:rPr>
          <w:rFonts w:ascii="Times New Roman" w:hAnsi="Times New Roman" w:cs="Times New Roman" w:eastAsia="Times New Roman" w:hint="default"/>
          <w:spacing w:val="-2"/>
        </w:rPr>
        <w:t>43,530,000</w:t>
      </w:r>
      <w:r>
        <w:rPr>
          <w:spacing w:val="-2"/>
        </w:rPr>
        <w:t>股股票自新增股份上市之日起</w:t>
      </w:r>
      <w:r>
        <w:rPr>
          <w:rFonts w:ascii="Times New Roman" w:hAnsi="Times New Roman" w:cs="Times New Roman" w:eastAsia="Times New Roman" w:hint="default"/>
          <w:spacing w:val="-2"/>
        </w:rPr>
        <w:t>36</w:t>
      </w:r>
      <w:r>
        <w:rPr>
          <w:spacing w:val="-2"/>
        </w:rPr>
        <w:t>个月内不得转</w:t>
      </w:r>
      <w:r>
        <w:rPr>
          <w:spacing w:val="-51"/>
        </w:rPr>
        <w:t> </w:t>
      </w:r>
      <w:r>
        <w:rPr>
          <w:spacing w:val="-51"/>
        </w:rPr>
      </w:r>
      <w:r>
        <w:rPr/>
        <w:t>让。</w:t>
      </w:r>
    </w:p>
    <w:p>
      <w:pPr>
        <w:pStyle w:val="BodyText"/>
        <w:spacing w:line="240" w:lineRule="auto" w:before="72"/>
        <w:ind w:left="513" w:right="0"/>
        <w:jc w:val="left"/>
      </w:pPr>
      <w:r>
        <w:rPr/>
        <w:t>员工持股计划事项临时报告披露网站查询：</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6121"/>
        <w:gridCol w:w="1801"/>
        <w:gridCol w:w="1800"/>
      </w:tblGrid>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325"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both"/>
              <w:rPr>
                <w:rFonts w:ascii="宋体" w:hAnsi="宋体" w:cs="宋体" w:eastAsia="宋体" w:hint="default"/>
                <w:sz w:val="18"/>
                <w:szCs w:val="18"/>
              </w:rPr>
            </w:pPr>
            <w:r>
              <w:rPr>
                <w:rFonts w:ascii="宋体" w:hAnsi="宋体" w:cs="宋体" w:eastAsia="宋体" w:hint="default"/>
                <w:spacing w:val="-1"/>
                <w:sz w:val="18"/>
                <w:szCs w:val="18"/>
              </w:rPr>
              <w:t>《第四届董事会第二次会议决议公告》、《第一期员工持股计划（草案）摘要</w:t>
            </w:r>
          </w:p>
          <w:p>
            <w:pPr>
              <w:pStyle w:val="TableParagraph"/>
              <w:spacing w:line="319" w:lineRule="auto" w:before="74"/>
              <w:ind w:left="4" w:right="0"/>
              <w:jc w:val="both"/>
              <w:rPr>
                <w:rFonts w:ascii="宋体" w:hAnsi="宋体" w:cs="宋体" w:eastAsia="宋体" w:hint="default"/>
                <w:sz w:val="18"/>
                <w:szCs w:val="18"/>
              </w:rPr>
            </w:pPr>
            <w:r>
              <w:rPr>
                <w:rFonts w:ascii="宋体" w:hAnsi="宋体" w:cs="宋体" w:eastAsia="宋体" w:hint="default"/>
                <w:spacing w:val="-1"/>
                <w:sz w:val="18"/>
                <w:szCs w:val="18"/>
              </w:rPr>
              <w:t>（认购非公开发行股票方式）》、</w:t>
            </w:r>
            <w:hyperlink r:id="rId12">
              <w:r>
                <w:rPr>
                  <w:rFonts w:ascii="宋体" w:hAnsi="宋体" w:cs="宋体" w:eastAsia="宋体" w:hint="default"/>
                  <w:spacing w:val="-1"/>
                  <w:sz w:val="18"/>
                  <w:szCs w:val="18"/>
                </w:rPr>
                <w:t>《第一期员工持股计划（草案）（认购非公</w:t>
              </w:r>
            </w:hyperlink>
            <w:r>
              <w:rPr>
                <w:rFonts w:ascii="宋体" w:hAnsi="宋体" w:cs="宋体" w:eastAsia="宋体" w:hint="default"/>
                <w:spacing w:val="-78"/>
                <w:sz w:val="18"/>
                <w:szCs w:val="18"/>
              </w:rPr>
              <w:t> </w:t>
            </w:r>
            <w:r>
              <w:rPr>
                <w:rFonts w:ascii="宋体" w:hAnsi="宋体" w:cs="宋体" w:eastAsia="宋体" w:hint="default"/>
                <w:spacing w:val="-78"/>
                <w:sz w:val="18"/>
                <w:szCs w:val="18"/>
              </w:rPr>
            </w:r>
            <w:hyperlink r:id="rId12">
              <w:r>
                <w:rPr>
                  <w:rFonts w:ascii="宋体" w:hAnsi="宋体" w:cs="宋体" w:eastAsia="宋体" w:hint="default"/>
                  <w:spacing w:val="-1"/>
                  <w:sz w:val="18"/>
                  <w:szCs w:val="18"/>
                </w:rPr>
                <w:t>开发行股票方式）</w:t>
              </w:r>
            </w:hyperlink>
            <w:r>
              <w:rPr>
                <w:rFonts w:ascii="宋体" w:hAnsi="宋体" w:cs="宋体" w:eastAsia="宋体" w:hint="default"/>
                <w:spacing w:val="-1"/>
                <w:sz w:val="18"/>
                <w:szCs w:val="18"/>
              </w:rPr>
              <w:t>》、《</w:t>
            </w:r>
            <w:hyperlink r:id="rId13">
              <w:r>
                <w:rPr>
                  <w:rFonts w:ascii="宋体" w:hAnsi="宋体" w:cs="宋体" w:eastAsia="宋体" w:hint="default"/>
                  <w:spacing w:val="-1"/>
                  <w:sz w:val="18"/>
                  <w:szCs w:val="18"/>
                </w:rPr>
                <w:t>广东广信君达律师事务所关于公司实施第一期员工持</w:t>
              </w:r>
            </w:hyperlink>
            <w:r>
              <w:rPr>
                <w:rFonts w:ascii="宋体" w:hAnsi="宋体" w:cs="宋体" w:eastAsia="宋体" w:hint="default"/>
                <w:spacing w:val="-76"/>
                <w:sz w:val="18"/>
                <w:szCs w:val="18"/>
              </w:rPr>
              <w:t> </w:t>
            </w:r>
            <w:r>
              <w:rPr>
                <w:rFonts w:ascii="宋体" w:hAnsi="宋体" w:cs="宋体" w:eastAsia="宋体" w:hint="default"/>
                <w:spacing w:val="-76"/>
                <w:sz w:val="18"/>
                <w:szCs w:val="18"/>
              </w:rPr>
            </w:r>
            <w:hyperlink r:id="rId13">
              <w:r>
                <w:rPr>
                  <w:rFonts w:ascii="宋体" w:hAnsi="宋体" w:cs="宋体" w:eastAsia="宋体" w:hint="default"/>
                  <w:sz w:val="18"/>
                  <w:szCs w:val="18"/>
                </w:rPr>
                <w:t>股计划的法律意见书</w:t>
              </w:r>
            </w:hyperlink>
            <w:r>
              <w:rPr>
                <w:rFonts w:ascii="宋体" w:hAnsi="宋体" w:cs="宋体" w:eastAsia="宋体" w:hint="default"/>
                <w:sz w:val="18"/>
                <w:szCs w:val="18"/>
              </w:rPr>
              <w:t>》、《</w:t>
            </w:r>
            <w:hyperlink r:id="rId14">
              <w:r>
                <w:rPr>
                  <w:rFonts w:ascii="宋体" w:hAnsi="宋体" w:cs="宋体" w:eastAsia="宋体" w:hint="default"/>
                  <w:sz w:val="18"/>
                  <w:szCs w:val="18"/>
                </w:rPr>
                <w:t>广州证券鲲鹏运通</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号定向资产管理计划资产管理</w:t>
              </w:r>
            </w:hyperlink>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4" w:right="358" w:firstLine="79"/>
              <w:jc w:val="left"/>
              <w:rPr>
                <w:rFonts w:ascii="Times New Roman" w:hAnsi="Times New Roman" w:cs="Times New Roman" w:eastAsia="Times New Roman" w:hint="default"/>
                <w:sz w:val="18"/>
                <w:szCs w:val="18"/>
              </w:rPr>
            </w:pPr>
            <w:r>
              <w:rPr>
                <w:rFonts w:ascii="宋体" w:hAnsi="宋体" w:cs="宋体" w:eastAsia="宋体" w:hint="default"/>
                <w:sz w:val="18"/>
                <w:szCs w:val="18"/>
              </w:rPr>
              <w:t>刊登在《证券时 </w:t>
            </w:r>
            <w:r>
              <w:rPr>
                <w:rFonts w:ascii="宋体" w:hAnsi="宋体" w:cs="宋体" w:eastAsia="宋体" w:hint="default"/>
                <w:spacing w:val="-3"/>
                <w:sz w:val="18"/>
                <w:szCs w:val="18"/>
              </w:rPr>
              <w:t>报》及巨潮资讯网</w:t>
            </w:r>
            <w:r>
              <w:rPr>
                <w:rFonts w:ascii="宋体" w:hAnsi="宋体" w:cs="宋体" w:eastAsia="宋体" w:hint="default"/>
                <w:spacing w:val="-86"/>
                <w:sz w:val="18"/>
                <w:szCs w:val="18"/>
              </w:rPr>
              <w:t> </w:t>
            </w:r>
            <w:r>
              <w:rPr>
                <w:rFonts w:ascii="宋体" w:hAnsi="宋体" w:cs="宋体" w:eastAsia="宋体" w:hint="default"/>
                <w:spacing w:val="-86"/>
                <w:sz w:val="18"/>
                <w:szCs w:val="18"/>
              </w:rPr>
            </w:r>
            <w:hyperlink r:id="rId10">
              <w:r>
                <w:rPr>
                  <w:rFonts w:ascii="Times New Roman" w:hAnsi="Times New Roman" w:cs="Times New Roman" w:eastAsia="Times New Roman" w:hint="default"/>
                  <w:sz w:val="18"/>
                  <w:szCs w:val="18"/>
                </w:rPr>
                <w:t>www.cninfo.com.c</w:t>
              </w:r>
            </w:hyperlink>
          </w:p>
        </w:tc>
      </w:tr>
    </w:tbl>
    <w:p>
      <w:pPr>
        <w:spacing w:after="0" w:line="336" w:lineRule="auto"/>
        <w:jc w:val="left"/>
        <w:rPr>
          <w:rFonts w:ascii="Times New Roman" w:hAnsi="Times New Roman" w:cs="Times New Roman" w:eastAsia="Times New Roman" w:hint="default"/>
          <w:sz w:val="18"/>
          <w:szCs w:val="18"/>
        </w:rPr>
        <w:sectPr>
          <w:pgSz w:w="11910" w:h="16840"/>
          <w:pgMar w:header="880" w:footer="979" w:top="1100" w:bottom="1160" w:left="980" w:right="92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6121"/>
        <w:gridCol w:w="1801"/>
        <w:gridCol w:w="1800"/>
      </w:tblGrid>
      <w:tr>
        <w:trPr>
          <w:trHeight w:val="38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合同》、《</w:t>
            </w:r>
            <w:hyperlink r:id="rId15">
              <w:r>
                <w:rPr>
                  <w:rFonts w:ascii="宋体" w:hAnsi="宋体" w:cs="宋体" w:eastAsia="宋体" w:hint="default"/>
                  <w:sz w:val="18"/>
                  <w:szCs w:val="18"/>
                </w:rPr>
                <w:t>监事会关于公司第一期员工持股计划相关事项的审核意见</w:t>
              </w:r>
            </w:hyperlink>
            <w:r>
              <w:rPr>
                <w:rFonts w:ascii="宋体" w:hAnsi="宋体" w:cs="宋体" w:eastAsia="宋体" w:hint="default"/>
                <w:sz w:val="18"/>
                <w:szCs w:val="18"/>
              </w:rPr>
              <w:t>》</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vMerge w:val="restart"/>
            <w:tcBorders>
              <w:top w:val="single" w:sz="6" w:space="0" w:color="000000"/>
              <w:left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上的相关公告</w:t>
            </w:r>
          </w:p>
        </w:tc>
      </w:tr>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年度股东大会决议公告</w:t>
              </w:r>
            </w:hyperlink>
            <w:r>
              <w:rPr>
                <w:rFonts w:ascii="宋体" w:hAnsi="宋体" w:cs="宋体" w:eastAsia="宋体" w:hint="default"/>
                <w:sz w:val="18"/>
                <w:szCs w:val="18"/>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00" w:type="dxa"/>
            <w:vMerge/>
            <w:tcBorders>
              <w:left w:val="single" w:sz="6" w:space="0" w:color="000000"/>
              <w:right w:val="single" w:sz="6" w:space="0" w:color="000000"/>
            </w:tcBorders>
          </w:tcPr>
          <w:p>
            <w:pPr/>
          </w:p>
        </w:tc>
      </w:tr>
      <w:tr>
        <w:trPr>
          <w:trHeight w:val="1051"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4" w:right="58"/>
              <w:jc w:val="both"/>
              <w:rPr>
                <w:rFonts w:ascii="宋体" w:hAnsi="宋体" w:cs="宋体" w:eastAsia="宋体" w:hint="default"/>
                <w:sz w:val="18"/>
                <w:szCs w:val="18"/>
              </w:rPr>
            </w:pPr>
            <w:hyperlink r:id="rId17">
              <w:r>
                <w:rPr>
                  <w:rFonts w:ascii="宋体" w:hAnsi="宋体" w:cs="宋体" w:eastAsia="宋体" w:hint="default"/>
                  <w:sz w:val="18"/>
                  <w:szCs w:val="18"/>
                </w:rPr>
                <w:t>《第四届董事会第十次会议决议公告</w:t>
              </w:r>
            </w:hyperlink>
            <w:r>
              <w:rPr>
                <w:rFonts w:ascii="宋体" w:hAnsi="宋体" w:cs="宋体" w:eastAsia="宋体" w:hint="default"/>
                <w:sz w:val="18"/>
                <w:szCs w:val="18"/>
              </w:rPr>
              <w:t>》、《广州证券鲲鹏运通</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 理计划资产管理合同之补充合同》、《</w:t>
            </w:r>
            <w:hyperlink r:id="rId18">
              <w:r>
                <w:rPr>
                  <w:rFonts w:ascii="宋体" w:hAnsi="宋体" w:cs="宋体" w:eastAsia="宋体" w:hint="default"/>
                  <w:sz w:val="18"/>
                  <w:szCs w:val="18"/>
                </w:rPr>
                <w:t>关于签订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附条件生效的非公开发行股</w:t>
              </w:r>
            </w:hyperlink>
            <w:r>
              <w:rPr>
                <w:rFonts w:ascii="宋体" w:hAnsi="宋体" w:cs="宋体" w:eastAsia="宋体" w:hint="default"/>
                <w:sz w:val="18"/>
                <w:szCs w:val="18"/>
              </w:rPr>
              <w:t> </w:t>
            </w:r>
            <w:hyperlink r:id="rId18">
              <w:r>
                <w:rPr>
                  <w:rFonts w:ascii="宋体" w:hAnsi="宋体" w:cs="宋体" w:eastAsia="宋体" w:hint="default"/>
                  <w:sz w:val="18"/>
                  <w:szCs w:val="18"/>
                </w:rPr>
                <w:t>份认购合同之补充合同</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hyperlink>
            <w:r>
              <w:rPr>
                <w:rFonts w:ascii="宋体" w:hAnsi="宋体" w:cs="宋体" w:eastAsia="宋体" w:hint="default"/>
                <w:sz w:val="18"/>
                <w:szCs w:val="18"/>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1800" w:type="dxa"/>
            <w:vMerge/>
            <w:tcBorders>
              <w:left w:val="single" w:sz="6" w:space="0" w:color="000000"/>
              <w:right w:val="single" w:sz="6" w:space="0" w:color="000000"/>
            </w:tcBorders>
          </w:tcPr>
          <w:p>
            <w:pPr/>
          </w:p>
        </w:tc>
      </w:tr>
      <w:tr>
        <w:trPr>
          <w:trHeight w:val="1363"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宋体" w:hAnsi="宋体" w:cs="宋体" w:eastAsia="宋体" w:hint="default"/>
                <w:sz w:val="18"/>
                <w:szCs w:val="18"/>
              </w:rPr>
            </w:pPr>
            <w:hyperlink r:id="rId19">
              <w:r>
                <w:rPr>
                  <w:rFonts w:ascii="宋体" w:hAnsi="宋体" w:cs="宋体" w:eastAsia="宋体" w:hint="default"/>
                  <w:spacing w:val="-6"/>
                  <w:sz w:val="18"/>
                  <w:szCs w:val="18"/>
                </w:rPr>
                <w:t>《第四届董事会第十二次（临时）会议决议公告</w:t>
              </w:r>
            </w:hyperlink>
            <w:r>
              <w:rPr>
                <w:rFonts w:ascii="宋体" w:hAnsi="宋体" w:cs="宋体" w:eastAsia="宋体" w:hint="default"/>
                <w:spacing w:val="-6"/>
                <w:sz w:val="18"/>
                <w:szCs w:val="18"/>
              </w:rPr>
              <w:t>》、《第一期员工持股计划（草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案）（认购非公开发行股票方式）（修订稿）》、《</w:t>
            </w:r>
            <w:hyperlink r:id="rId20">
              <w:r>
                <w:rPr>
                  <w:rFonts w:ascii="宋体" w:hAnsi="宋体" w:cs="宋体" w:eastAsia="宋体" w:hint="default"/>
                  <w:spacing w:val="-1"/>
                  <w:sz w:val="18"/>
                  <w:szCs w:val="18"/>
                </w:rPr>
                <w:t>关于调减公司第一期员工</w:t>
              </w:r>
            </w:hyperlink>
            <w:r>
              <w:rPr>
                <w:rFonts w:ascii="宋体" w:hAnsi="宋体" w:cs="宋体" w:eastAsia="宋体" w:hint="default"/>
                <w:spacing w:val="-76"/>
                <w:sz w:val="18"/>
                <w:szCs w:val="18"/>
              </w:rPr>
              <w:t> </w:t>
            </w:r>
            <w:r>
              <w:rPr>
                <w:rFonts w:ascii="宋体" w:hAnsi="宋体" w:cs="宋体" w:eastAsia="宋体" w:hint="default"/>
                <w:spacing w:val="-76"/>
                <w:sz w:val="18"/>
                <w:szCs w:val="18"/>
              </w:rPr>
            </w:r>
            <w:hyperlink r:id="rId20">
              <w:r>
                <w:rPr>
                  <w:rFonts w:ascii="宋体" w:hAnsi="宋体" w:cs="宋体" w:eastAsia="宋体" w:hint="default"/>
                  <w:spacing w:val="-1"/>
                  <w:sz w:val="18"/>
                  <w:szCs w:val="18"/>
                </w:rPr>
                <w:t>持股计划计划认购金额的公告</w:t>
              </w:r>
            </w:hyperlink>
            <w:r>
              <w:rPr>
                <w:rFonts w:ascii="宋体" w:hAnsi="宋体" w:cs="宋体" w:eastAsia="宋体" w:hint="default"/>
                <w:spacing w:val="-1"/>
                <w:sz w:val="18"/>
                <w:szCs w:val="18"/>
              </w:rPr>
              <w:t>》、《</w:t>
            </w:r>
            <w:hyperlink r:id="rId21">
              <w:r>
                <w:rPr>
                  <w:rFonts w:ascii="宋体" w:hAnsi="宋体" w:cs="宋体" w:eastAsia="宋体" w:hint="default"/>
                  <w:spacing w:val="-1"/>
                  <w:sz w:val="18"/>
                  <w:szCs w:val="18"/>
                </w:rPr>
                <w:t>广东广信君达律师事务所关于公司实施第</w:t>
              </w:r>
            </w:hyperlink>
            <w:r>
              <w:rPr>
                <w:rFonts w:ascii="宋体" w:hAnsi="宋体" w:cs="宋体" w:eastAsia="宋体" w:hint="default"/>
                <w:spacing w:val="-77"/>
                <w:sz w:val="18"/>
                <w:szCs w:val="18"/>
              </w:rPr>
              <w:t> </w:t>
            </w:r>
            <w:r>
              <w:rPr>
                <w:rFonts w:ascii="宋体" w:hAnsi="宋体" w:cs="宋体" w:eastAsia="宋体" w:hint="default"/>
                <w:spacing w:val="-77"/>
                <w:sz w:val="18"/>
                <w:szCs w:val="18"/>
              </w:rPr>
            </w:r>
            <w:hyperlink r:id="rId21">
              <w:r>
                <w:rPr>
                  <w:rFonts w:ascii="宋体" w:hAnsi="宋体" w:cs="宋体" w:eastAsia="宋体" w:hint="default"/>
                  <w:sz w:val="18"/>
                  <w:szCs w:val="18"/>
                </w:rPr>
                <w:t>一期员工持股计划的补充法律意见书</w:t>
              </w:r>
            </w:hyperlink>
            <w:r>
              <w:rPr>
                <w:rFonts w:ascii="宋体" w:hAnsi="宋体" w:cs="宋体" w:eastAsia="宋体" w:hint="default"/>
                <w:sz w:val="18"/>
                <w:szCs w:val="18"/>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800" w:type="dxa"/>
            <w:vMerge/>
            <w:tcBorders>
              <w:left w:val="single" w:sz="6" w:space="0" w:color="000000"/>
              <w:right w:val="single" w:sz="6" w:space="0" w:color="000000"/>
            </w:tcBorders>
          </w:tcPr>
          <w:p>
            <w:pPr/>
          </w:p>
        </w:tc>
      </w:tr>
      <w:tr>
        <w:trPr>
          <w:trHeight w:val="428"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hyperlink>
            <w:r>
              <w:rPr>
                <w:rFonts w:ascii="宋体" w:hAnsi="宋体" w:cs="宋体" w:eastAsia="宋体" w:hint="default"/>
                <w:sz w:val="18"/>
                <w:szCs w:val="18"/>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00" w:type="dxa"/>
            <w:vMerge/>
            <w:tcBorders>
              <w:left w:val="single" w:sz="6" w:space="0" w:color="000000"/>
              <w:right w:val="single" w:sz="6" w:space="0" w:color="000000"/>
            </w:tcBorders>
          </w:tcPr>
          <w:p>
            <w:pPr/>
          </w:p>
        </w:tc>
      </w:tr>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hyperlink r:id="rId23">
              <w:r>
                <w:rPr>
                  <w:rFonts w:ascii="宋体" w:hAnsi="宋体" w:cs="宋体" w:eastAsia="宋体" w:hint="default"/>
                  <w:sz w:val="18"/>
                  <w:szCs w:val="18"/>
                </w:rPr>
                <w:t>《关于非公开发行股票获得中国证监会核准批复的公告</w:t>
              </w:r>
            </w:hyperlink>
            <w:r>
              <w:rPr>
                <w:rFonts w:ascii="宋体" w:hAnsi="宋体" w:cs="宋体" w:eastAsia="宋体" w:hint="default"/>
                <w:sz w:val="18"/>
                <w:szCs w:val="18"/>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800" w:type="dxa"/>
            <w:vMerge/>
            <w:tcBorders>
              <w:left w:val="single" w:sz="6" w:space="0" w:color="000000"/>
              <w:right w:val="single" w:sz="6" w:space="0" w:color="000000"/>
            </w:tcBorders>
          </w:tcPr>
          <w:p>
            <w:pPr/>
          </w:p>
        </w:tc>
      </w:tr>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《发行情况报告暨上市公告书》</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800" w:type="dxa"/>
            <w:vMerge/>
            <w:tcBorders>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十六、重大关联交易</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878"/>
        <w:gridCol w:w="704"/>
        <w:gridCol w:w="682"/>
        <w:gridCol w:w="430"/>
        <w:gridCol w:w="917"/>
        <w:gridCol w:w="675"/>
        <w:gridCol w:w="674"/>
        <w:gridCol w:w="674"/>
        <w:gridCol w:w="674"/>
        <w:gridCol w:w="673"/>
        <w:gridCol w:w="672"/>
        <w:gridCol w:w="641"/>
      </w:tblGrid>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 w:right="26"/>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广电 智能</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50" w:right="46" w:hanging="2"/>
              <w:jc w:val="center"/>
              <w:rPr>
                <w:rFonts w:ascii="宋体" w:hAnsi="宋体" w:cs="宋体" w:eastAsia="宋体" w:hint="default"/>
                <w:sz w:val="18"/>
                <w:szCs w:val="18"/>
              </w:rPr>
            </w:pPr>
            <w:r>
              <w:rPr>
                <w:rFonts w:ascii="宋体" w:hAnsi="宋体" w:cs="宋体" w:eastAsia="宋体" w:hint="default"/>
                <w:sz w:val="18"/>
                <w:szCs w:val="18"/>
              </w:rPr>
              <w:t>向关联人 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服务</w:t>
            </w: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52" w:right="50" w:firstLine="24"/>
              <w:jc w:val="left"/>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4"/>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1,919.04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4,360</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4"/>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both"/>
              <w:rPr>
                <w:rFonts w:ascii="宋体" w:hAnsi="宋体" w:cs="宋体" w:eastAsia="宋体" w:hint="default"/>
                <w:sz w:val="18"/>
                <w:szCs w:val="18"/>
              </w:rPr>
            </w:pPr>
            <w:r>
              <w:rPr>
                <w:rFonts w:ascii="宋体" w:hAnsi="宋体" w:cs="宋体" w:eastAsia="宋体" w:hint="default"/>
                <w:sz w:val="18"/>
                <w:szCs w:val="18"/>
              </w:rPr>
              <w:t>刊登在</w:t>
            </w:r>
          </w:p>
          <w:p>
            <w:pPr>
              <w:pStyle w:val="TableParagraph"/>
              <w:spacing w:line="319" w:lineRule="auto" w:before="74"/>
              <w:ind w:left="45" w:right="43"/>
              <w:jc w:val="both"/>
              <w:rPr>
                <w:rFonts w:ascii="宋体" w:hAnsi="宋体" w:cs="宋体" w:eastAsia="宋体" w:hint="default"/>
                <w:sz w:val="18"/>
                <w:szCs w:val="18"/>
              </w:rPr>
            </w:pPr>
            <w:r>
              <w:rPr>
                <w:rFonts w:ascii="宋体" w:hAnsi="宋体" w:cs="宋体" w:eastAsia="宋体" w:hint="default"/>
                <w:sz w:val="18"/>
                <w:szCs w:val="18"/>
              </w:rPr>
              <w:t>《证券 时报》 及巨潮 资讯网</w:t>
            </w:r>
          </w:p>
          <w:p>
            <w:pPr>
              <w:pStyle w:val="TableParagraph"/>
              <w:spacing w:line="362" w:lineRule="auto" w:before="57"/>
              <w:ind w:left="45" w:right="43" w:firstLine="12"/>
              <w:jc w:val="both"/>
              <w:rPr>
                <w:rFonts w:ascii="Times New Roman" w:hAnsi="Times New Roman" w:cs="Times New Roman" w:eastAsia="Times New Roman" w:hint="default"/>
                <w:sz w:val="18"/>
                <w:szCs w:val="18"/>
              </w:rPr>
            </w:pPr>
            <w:hyperlink r:id="rId10">
              <w:r>
                <w:rPr>
                  <w:rFonts w:ascii="Times New Roman"/>
                  <w:sz w:val="18"/>
                </w:rPr>
                <w:t>www.c</w:t>
              </w:r>
            </w:hyperlink>
            <w:r>
              <w:rPr>
                <w:rFonts w:ascii="Times New Roman"/>
                <w:sz w:val="18"/>
              </w:rPr>
              <w:t> </w:t>
            </w:r>
            <w:hyperlink r:id="rId10">
              <w:r>
                <w:rPr>
                  <w:rFonts w:ascii="Times New Roman"/>
                  <w:sz w:val="18"/>
                </w:rPr>
                <w:t>ninfo.c</w:t>
              </w:r>
            </w:hyperlink>
            <w:r>
              <w:rPr>
                <w:rFonts w:ascii="Times New Roman"/>
                <w:sz w:val="18"/>
              </w:rPr>
              <w:t> </w:t>
            </w:r>
            <w:hyperlink r:id="rId10">
              <w:r>
                <w:rPr>
                  <w:rFonts w:ascii="Times New Roman"/>
                  <w:sz w:val="18"/>
                </w:rPr>
                <w:t>om.cn</w:t>
              </w:r>
            </w:hyperlink>
          </w:p>
          <w:p>
            <w:pPr>
              <w:pStyle w:val="TableParagraph"/>
              <w:spacing w:line="199" w:lineRule="exact"/>
              <w:ind w:left="62" w:right="0" w:hanging="17"/>
              <w:jc w:val="both"/>
              <w:rPr>
                <w:rFonts w:ascii="宋体" w:hAnsi="宋体" w:cs="宋体" w:eastAsia="宋体" w:hint="default"/>
                <w:sz w:val="18"/>
                <w:szCs w:val="18"/>
              </w:rPr>
            </w:pPr>
            <w:r>
              <w:rPr>
                <w:rFonts w:ascii="宋体" w:hAnsi="宋体" w:cs="宋体" w:eastAsia="宋体" w:hint="default"/>
                <w:sz w:val="18"/>
                <w:szCs w:val="18"/>
              </w:rPr>
              <w:t>上的临</w:t>
            </w:r>
          </w:p>
          <w:p>
            <w:pPr>
              <w:pStyle w:val="TableParagraph"/>
              <w:spacing w:line="240" w:lineRule="auto" w:before="116"/>
              <w:ind w:left="62"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300" w:lineRule="auto" w:before="65"/>
              <w:ind w:left="225" w:right="17"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30" w:type="dxa"/>
            <w:vMerge/>
            <w:tcBorders>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33.45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250</w:t>
            </w: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4"/>
              <w:jc w:val="both"/>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向关联人 承租房屋</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67" w:right="164"/>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108.56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无线 电集 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3" w:right="314"/>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向关联人 承租房屋</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7" w:right="164"/>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75.05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4"/>
              <w:jc w:val="both"/>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both"/>
              <w:rPr>
                <w:rFonts w:ascii="宋体" w:hAnsi="宋体" w:cs="宋体" w:eastAsia="宋体" w:hint="default"/>
                <w:sz w:val="18"/>
                <w:szCs w:val="18"/>
              </w:rPr>
            </w:pPr>
            <w:r>
              <w:rPr>
                <w:rFonts w:ascii="宋体" w:hAnsi="宋体" w:cs="宋体" w:eastAsia="宋体" w:hint="default"/>
                <w:sz w:val="18"/>
                <w:szCs w:val="18"/>
              </w:rPr>
              <w:t>接受关联 人提供的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67" w:right="164"/>
              <w:jc w:val="left"/>
              <w:rPr>
                <w:rFonts w:ascii="宋体" w:hAnsi="宋体" w:cs="宋体" w:eastAsia="宋体" w:hint="default"/>
                <w:sz w:val="18"/>
                <w:szCs w:val="18"/>
              </w:rPr>
            </w:pPr>
            <w:r>
              <w:rPr>
                <w:rFonts w:ascii="宋体" w:hAnsi="宋体" w:cs="宋体" w:eastAsia="宋体" w:hint="default"/>
                <w:sz w:val="18"/>
                <w:szCs w:val="18"/>
              </w:rPr>
              <w:t>软件 测试</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广电 物业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4"/>
              <w:jc w:val="both"/>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both"/>
              <w:rPr>
                <w:rFonts w:ascii="宋体" w:hAnsi="宋体" w:cs="宋体" w:eastAsia="宋体" w:hint="default"/>
                <w:sz w:val="18"/>
                <w:szCs w:val="18"/>
              </w:rPr>
            </w:pPr>
            <w:r>
              <w:rPr>
                <w:rFonts w:ascii="宋体" w:hAnsi="宋体" w:cs="宋体" w:eastAsia="宋体" w:hint="default"/>
                <w:sz w:val="18"/>
                <w:szCs w:val="18"/>
              </w:rPr>
              <w:t>接受关联 人提供的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7" w:right="164"/>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786.57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1,120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67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广电</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同一最 终母公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接受关联 人提供的</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计量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11.98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159"/>
        <w:jc w:val="right"/>
      </w:pPr>
      <w:r>
        <w:rPr/>
        <w:pict>
          <v:shape style="position:absolute;margin-left:56.400002pt;margin-top:-296.338287pt;width:479.3pt;height:509.9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710"/>
                    <w:gridCol w:w="878"/>
                    <w:gridCol w:w="704"/>
                    <w:gridCol w:w="682"/>
                    <w:gridCol w:w="430"/>
                    <w:gridCol w:w="917"/>
                    <w:gridCol w:w="675"/>
                    <w:gridCol w:w="674"/>
                    <w:gridCol w:w="674"/>
                    <w:gridCol w:w="674"/>
                    <w:gridCol w:w="673"/>
                    <w:gridCol w:w="672"/>
                    <w:gridCol w:w="641"/>
                  </w:tblGrid>
                  <w:tr>
                    <w:trPr>
                      <w:trHeight w:val="36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计量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7" w:right="0"/>
                          <w:jc w:val="left"/>
                          <w:rPr>
                            <w:rFonts w:ascii="宋体" w:hAnsi="宋体" w:cs="宋体" w:eastAsia="宋体" w:hint="default"/>
                            <w:sz w:val="18"/>
                            <w:szCs w:val="18"/>
                          </w:rPr>
                        </w:pPr>
                        <w:r>
                          <w:rPr>
                            <w:rFonts w:ascii="宋体" w:hAnsi="宋体" w:cs="宋体" w:eastAsia="宋体" w:hint="default"/>
                            <w:sz w:val="18"/>
                            <w:szCs w:val="18"/>
                          </w:rPr>
                          <w:t>检测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议价</w:t>
                        </w:r>
                      </w:p>
                    </w:tc>
                    <w:tc>
                      <w:tcPr>
                        <w:tcW w:w="43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结算</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海 格 通 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同一 最终 母公 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3" w:right="163"/>
                          <w:jc w:val="both"/>
                          <w:rPr>
                            <w:rFonts w:ascii="宋体" w:hAnsi="宋体" w:cs="宋体" w:eastAsia="宋体" w:hint="default"/>
                            <w:sz w:val="18"/>
                            <w:szCs w:val="18"/>
                          </w:rPr>
                        </w:pPr>
                        <w:r>
                          <w:rPr>
                            <w:rFonts w:ascii="宋体" w:hAnsi="宋体" w:cs="宋体" w:eastAsia="宋体" w:hint="default"/>
                            <w:sz w:val="18"/>
                            <w:szCs w:val="18"/>
                          </w:rPr>
                          <w:t>向关联 人提供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7" w:right="164"/>
                          <w:jc w:val="left"/>
                          <w:rPr>
                            <w:rFonts w:ascii="宋体" w:hAnsi="宋体" w:cs="宋体" w:eastAsia="宋体" w:hint="default"/>
                            <w:sz w:val="18"/>
                            <w:szCs w:val="18"/>
                          </w:rPr>
                        </w:pPr>
                        <w:r>
                          <w:rPr>
                            <w:rFonts w:ascii="宋体" w:hAnsi="宋体" w:cs="宋体" w:eastAsia="宋体" w:hint="default"/>
                            <w:sz w:val="18"/>
                            <w:szCs w:val="18"/>
                          </w:rPr>
                          <w:t>试验 检测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0.84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113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both"/>
                          <w:rPr>
                            <w:rFonts w:ascii="宋体" w:hAnsi="宋体" w:cs="宋体" w:eastAsia="宋体" w:hint="default"/>
                            <w:sz w:val="18"/>
                            <w:szCs w:val="18"/>
                          </w:rPr>
                        </w:pPr>
                        <w:r>
                          <w:rPr>
                            <w:rFonts w:ascii="宋体" w:hAnsi="宋体" w:cs="宋体" w:eastAsia="宋体" w:hint="default"/>
                            <w:sz w:val="18"/>
                            <w:szCs w:val="18"/>
                          </w:rPr>
                          <w:t>向关联人 销售固定 资产</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销售固 定资产</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15.71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6.99%</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60"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无 线 电 集 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05" w:right="23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3"/>
                          <w:jc w:val="both"/>
                          <w:rPr>
                            <w:rFonts w:ascii="宋体" w:hAnsi="宋体" w:cs="宋体" w:eastAsia="宋体" w:hint="default"/>
                            <w:sz w:val="18"/>
                            <w:szCs w:val="18"/>
                          </w:rPr>
                        </w:pPr>
                        <w:r>
                          <w:rPr>
                            <w:rFonts w:ascii="宋体" w:hAnsi="宋体" w:cs="宋体" w:eastAsia="宋体" w:hint="default"/>
                            <w:sz w:val="18"/>
                            <w:szCs w:val="18"/>
                          </w:rPr>
                          <w:t>向关联 人销售 商品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7" w:right="164"/>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11.95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left="243" w:right="0"/>
                          <w:jc w:val="left"/>
                          <w:rPr>
                            <w:rFonts w:ascii="Times New Roman" w:hAnsi="Times New Roman" w:cs="Times New Roman" w:eastAsia="Times New Roman" w:hint="default"/>
                            <w:sz w:val="18"/>
                            <w:szCs w:val="18"/>
                          </w:rPr>
                        </w:pPr>
                        <w:r>
                          <w:rPr>
                            <w:rFonts w:ascii="Times New Roman"/>
                            <w:sz w:val="18"/>
                          </w:rPr>
                          <w:t>2,963.15</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left="235" w:right="0"/>
                          <w:jc w:val="left"/>
                          <w:rPr>
                            <w:rFonts w:ascii="Times New Roman" w:hAnsi="Times New Roman" w:cs="Times New Roman" w:eastAsia="Times New Roman" w:hint="default"/>
                            <w:sz w:val="18"/>
                            <w:szCs w:val="18"/>
                          </w:rPr>
                        </w:pPr>
                        <w:r>
                          <w:rPr>
                            <w:rFonts w:ascii="Times New Roman"/>
                            <w:sz w:val="18"/>
                          </w:rPr>
                          <w:t>6,170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71"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587"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314" w:lineRule="auto" w:before="53"/>
                          <w:ind w:left="16" w:right="14"/>
                          <w:jc w:val="left"/>
                          <w:rPr>
                            <w:rFonts w:ascii="宋体" w:hAnsi="宋体" w:cs="宋体" w:eastAsia="宋体" w:hint="default"/>
                            <w:sz w:val="18"/>
                            <w:szCs w:val="18"/>
                          </w:rPr>
                        </w:pPr>
                        <w:r>
                          <w:rPr>
                            <w:rFonts w:ascii="宋体" w:hAnsi="宋体" w:cs="宋体" w:eastAsia="宋体" w:hint="default"/>
                            <w:sz w:val="18"/>
                            <w:szCs w:val="18"/>
                          </w:rPr>
                          <w:t>公司按类别对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年将发生的日常关联交易进行总金额预计，详见上述公告，实际 执行情况列示于上表中。因市场环境变化，公司采购需求减少，故公司与海格通信、 </w:t>
                        </w:r>
                        <w:r>
                          <w:rPr>
                            <w:rFonts w:ascii="宋体" w:hAnsi="宋体" w:cs="宋体" w:eastAsia="宋体" w:hint="default"/>
                            <w:spacing w:val="-3"/>
                            <w:sz w:val="18"/>
                            <w:szCs w:val="18"/>
                          </w:rPr>
                          <w:t>广电智能的采购合同减少；因广州银通、深圳银通、广州穗通提前搬入新的办公场所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不再租赁无线电集团办公场所，故公司与无线电集团之间的房屋租赁发生较预计减 少；因对软件测试、计量检测的需求不及预期，故与海格通信发生的软件测试费用及</w:t>
                        </w:r>
                        <w:r>
                          <w:rPr>
                            <w:rFonts w:ascii="宋体" w:hAnsi="宋体" w:cs="宋体" w:eastAsia="宋体" w:hint="default"/>
                            <w:sz w:val="18"/>
                            <w:szCs w:val="18"/>
                          </w:rPr>
                          <w:t> 与广电计量发生的计量检测费用都较预计减少；因海格通信对试验检测的需求不及预 期，故与海格通信发生的试验检测业务较预计减少；公司向广电计量、无线电集团销 </w:t>
                        </w:r>
                        <w:r>
                          <w:rPr>
                            <w:rFonts w:ascii="宋体" w:hAnsi="宋体" w:cs="宋体" w:eastAsia="宋体" w:hint="default"/>
                            <w:spacing w:val="-2"/>
                            <w:sz w:val="18"/>
                            <w:szCs w:val="18"/>
                          </w:rPr>
                          <w:t>售固定资产、商品事项属于偶发性关联交易，</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年初未进行预计，实际发生金额较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小；公司日常关联交易实际发生总金额在预计范围内。</w:t>
                        </w:r>
                      </w:p>
                      <w:p>
                        <w:pPr>
                          <w:pStyle w:val="TableParagraph"/>
                          <w:spacing w:line="316" w:lineRule="auto" w:before="61"/>
                          <w:ind w:left="16" w:right="15"/>
                          <w:jc w:val="left"/>
                          <w:rPr>
                            <w:rFonts w:ascii="宋体" w:hAnsi="宋体" w:cs="宋体" w:eastAsia="宋体" w:hint="default"/>
                            <w:sz w:val="18"/>
                            <w:szCs w:val="18"/>
                          </w:rPr>
                        </w:pPr>
                        <w:r>
                          <w:rPr>
                            <w:rFonts w:ascii="宋体" w:hAnsi="宋体" w:cs="宋体" w:eastAsia="宋体" w:hint="default"/>
                            <w:sz w:val="18"/>
                            <w:szCs w:val="18"/>
                          </w:rPr>
                          <w:t>关联方日常关联交易的发生基于实际市场需求和业务发展情况，较难进行准确预计。 公司在进行年度日常关联交易预计时，主要从控制各项关联交易的总规模方面来考 虑，根据市场情况按照可能发生关联交易的金额上限进行预计，因此，公司关联交易 预计与实际发生情况会存在差异，但其对公司日常经营及业绩影响较小。</w:t>
                        </w:r>
                      </w:p>
                    </w:tc>
                  </w:tr>
                  <w:tr>
                    <w:trPr>
                      <w:trHeight w:val="1015"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w:t>
                        </w:r>
                      </w:p>
                    </w:tc>
                    <w:tc>
                      <w:tcPr>
                        <w:tcW w:w="6711" w:type="dxa"/>
                        <w:gridSpan w:val="10"/>
                        <w:vMerge/>
                        <w:tcBorders>
                          <w:left w:val="single" w:sz="10" w:space="0" w:color="D2D2D2"/>
                          <w:right w:val="single" w:sz="4" w:space="0" w:color="000000"/>
                        </w:tcBorders>
                      </w:tcPr>
                      <w:p>
                        <w:pPr/>
                      </w:p>
                    </w:tc>
                  </w:tr>
                  <w:tr>
                    <w:trPr>
                      <w:trHeight w:val="1586"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300" w:lineRule="auto" w:before="44"/>
        <w:ind w:right="139" w:firstLine="360"/>
        <w:jc w:val="left"/>
      </w:pPr>
      <w:r>
        <w:rPr/>
        <w:t>备注：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月，海格通信将其控股子公司广电智能（原广州海格智能科技有限公司）转让给无线电集团，</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月，广电智能为海格通信控股子公司，故公司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年日常关联交易额度预计中，公司与广电智能</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年关联交</w:t>
      </w:r>
    </w:p>
    <w:p>
      <w:pPr>
        <w:pStyle w:val="BodyText"/>
        <w:spacing w:line="240" w:lineRule="auto" w:before="13"/>
        <w:ind w:right="0"/>
        <w:jc w:val="left"/>
      </w:pPr>
      <w:r>
        <w:rPr/>
        <w:t>易预计金额并入了海格通信。</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月，公司与广电智能发生的关联交易约为</w:t>
      </w:r>
      <w:r>
        <w:rPr>
          <w:spacing w:val="-46"/>
        </w:rPr>
        <w:t> </w:t>
      </w:r>
      <w:r>
        <w:rPr>
          <w:rFonts w:ascii="Times New Roman" w:hAnsi="Times New Roman" w:cs="Times New Roman" w:eastAsia="Times New Roman" w:hint="default"/>
        </w:rPr>
        <w:t>80 </w:t>
      </w:r>
      <w:r>
        <w:rPr/>
        <w:t>万元。</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t>公司报告期未发生共同对外投资的关联交易。</w:t>
      </w:r>
    </w:p>
    <w:p>
      <w:pPr>
        <w:spacing w:line="240" w:lineRule="auto" w:before="0"/>
        <w:rPr>
          <w:rFonts w:ascii="宋体" w:hAnsi="宋体" w:cs="宋体" w:eastAsia="宋体" w:hint="default"/>
          <w:sz w:val="18"/>
          <w:szCs w:val="18"/>
        </w:rPr>
      </w:pPr>
    </w:p>
    <w:p>
      <w:pPr>
        <w:pStyle w:val="Heading4"/>
        <w:spacing w:line="240" w:lineRule="auto" w:before="124"/>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8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应收关联方债权</w:t>
      </w:r>
    </w:p>
    <w:p>
      <w:pPr>
        <w:spacing w:line="240" w:lineRule="auto" w:before="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708"/>
        <w:gridCol w:w="1274"/>
        <w:gridCol w:w="852"/>
        <w:gridCol w:w="991"/>
        <w:gridCol w:w="991"/>
        <w:gridCol w:w="286"/>
        <w:gridCol w:w="850"/>
        <w:gridCol w:w="922"/>
      </w:tblGrid>
      <w:tr>
        <w:trPr>
          <w:trHeight w:val="172"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40"/>
              <w:ind w:left="170" w:right="167"/>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93" w:right="89"/>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40" w:right="38"/>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40" w:right="38"/>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2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50" w:right="44"/>
              <w:jc w:val="left"/>
              <w:rPr>
                <w:rFonts w:ascii="宋体" w:hAnsi="宋体" w:cs="宋体" w:eastAsia="宋体" w:hint="default"/>
                <w:sz w:val="18"/>
                <w:szCs w:val="18"/>
              </w:rPr>
            </w:pPr>
            <w:r>
              <w:rPr>
                <w:rFonts w:ascii="宋体" w:hAnsi="宋体" w:cs="宋体" w:eastAsia="宋体" w:hint="default"/>
                <w:sz w:val="18"/>
                <w:szCs w:val="18"/>
              </w:rPr>
              <w:t>利 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59"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9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1"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关联方</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70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70"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62"/>
              <w:jc w:val="right"/>
              <w:rPr>
                <w:rFonts w:ascii="宋体" w:hAnsi="宋体" w:cs="宋体" w:eastAsia="宋体" w:hint="default"/>
                <w:sz w:val="18"/>
                <w:szCs w:val="18"/>
              </w:rPr>
            </w:pPr>
            <w:r>
              <w:rPr>
                <w:rFonts w:ascii="宋体" w:hAnsi="宋体" w:cs="宋体" w:eastAsia="宋体" w:hint="default"/>
                <w:sz w:val="18"/>
                <w:szCs w:val="18"/>
              </w:rPr>
              <w:t>夏锦军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控股子公司股东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7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12" w:space="0" w:color="D2D2D2"/>
              <w:left w:val="single" w:sz="4" w:space="0" w:color="000000"/>
              <w:bottom w:val="single" w:sz="4" w:space="0" w:color="000000"/>
              <w:right w:val="single" w:sz="4" w:space="0" w:color="000000"/>
            </w:tcBorders>
          </w:tcPr>
          <w:p>
            <w:pPr/>
          </w:p>
        </w:tc>
        <w:tc>
          <w:tcPr>
            <w:tcW w:w="9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20.00</w:t>
            </w:r>
          </w:p>
        </w:tc>
        <w:tc>
          <w:tcPr>
            <w:tcW w:w="286" w:type="dxa"/>
            <w:tcBorders>
              <w:top w:val="single" w:sz="12" w:space="0" w:color="D2D2D2"/>
              <w:left w:val="single" w:sz="4" w:space="0" w:color="000000"/>
              <w:bottom w:val="single" w:sz="4" w:space="0" w:color="000000"/>
              <w:right w:val="single" w:sz="4" w:space="0" w:color="000000"/>
            </w:tcBorders>
          </w:tcPr>
          <w:p>
            <w:pPr/>
          </w:p>
        </w:tc>
        <w:tc>
          <w:tcPr>
            <w:tcW w:w="850" w:type="dxa"/>
            <w:tcBorders>
              <w:top w:val="single" w:sz="12" w:space="0" w:color="D2D2D2"/>
              <w:left w:val="single" w:sz="4" w:space="0" w:color="000000"/>
              <w:bottom w:val="single" w:sz="4" w:space="0" w:color="000000"/>
              <w:right w:val="single" w:sz="4" w:space="0" w:color="000000"/>
            </w:tcBorders>
          </w:tcPr>
          <w:p>
            <w:pPr/>
          </w:p>
        </w:tc>
        <w:tc>
          <w:tcPr>
            <w:tcW w:w="92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94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资阳市政府国 有资产监督管 理委员会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关联债权对公司经营成果及财务 状况的影响</w:t>
            </w:r>
          </w:p>
        </w:tc>
        <w:tc>
          <w:tcPr>
            <w:tcW w:w="68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7"/>
          <w:szCs w:val="27"/>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after="0" w:line="3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3"/>
        <w:gridCol w:w="922"/>
        <w:gridCol w:w="1302"/>
        <w:gridCol w:w="1057"/>
        <w:gridCol w:w="1041"/>
        <w:gridCol w:w="1049"/>
        <w:gridCol w:w="790"/>
        <w:gridCol w:w="783"/>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3" w:type="dxa"/>
            <w:tcBorders>
              <w:top w:val="single" w:sz="4" w:space="0" w:color="000000"/>
              <w:left w:val="single" w:sz="4" w:space="0" w:color="000000"/>
              <w:bottom w:val="single" w:sz="4" w:space="0" w:color="000000"/>
              <w:right w:val="single" w:sz="5" w:space="0" w:color="000000"/>
            </w:tcBorders>
          </w:tcPr>
          <w:p>
            <w:pPr/>
          </w:p>
        </w:tc>
        <w:tc>
          <w:tcPr>
            <w:tcW w:w="922"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8"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5"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0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92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2014/3/29</w:t>
            </w:r>
            <w:r>
              <w:rPr>
                <w:rFonts w:ascii="宋体" w:hAnsi="宋体" w:cs="宋体" w:eastAsia="宋体" w:hint="default"/>
                <w:sz w:val="18"/>
                <w:szCs w:val="18"/>
              </w:rPr>
              <w:t>、</w:t>
            </w:r>
          </w:p>
          <w:p>
            <w:pPr>
              <w:pStyle w:val="TableParagraph"/>
              <w:spacing w:line="240" w:lineRule="auto" w:before="63"/>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2014/4/23</w:t>
            </w:r>
            <w:r>
              <w:rPr>
                <w:rFonts w:ascii="宋体" w:hAnsi="宋体" w:cs="宋体" w:eastAsia="宋体" w:hint="default"/>
                <w:sz w:val="18"/>
                <w:szCs w:val="18"/>
              </w:rPr>
              <w:t>、</w:t>
            </w:r>
          </w:p>
          <w:p>
            <w:pPr>
              <w:pStyle w:val="TableParagraph"/>
              <w:spacing w:line="240" w:lineRule="auto" w:before="103"/>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2016/3/26</w:t>
            </w:r>
            <w:r>
              <w:rPr>
                <w:rFonts w:ascii="宋体" w:hAnsi="宋体" w:cs="宋体" w:eastAsia="宋体" w:hint="default"/>
                <w:sz w:val="18"/>
                <w:szCs w:val="18"/>
              </w:rPr>
              <w:t>、</w:t>
            </w:r>
          </w:p>
          <w:p>
            <w:pPr>
              <w:pStyle w:val="TableParagraph"/>
              <w:spacing w:line="240" w:lineRule="auto" w:before="63"/>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2016/4/19</w:t>
            </w:r>
            <w:r>
              <w:rPr>
                <w:rFonts w:ascii="宋体" w:hAnsi="宋体" w:cs="宋体" w:eastAsia="宋体" w:hint="default"/>
                <w:sz w:val="18"/>
                <w:szCs w:val="18"/>
              </w:rPr>
              <w:t>、</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2017/4/8</w:t>
            </w:r>
            <w:r>
              <w:rPr>
                <w:rFonts w:ascii="宋体" w:hAnsi="宋体" w:cs="宋体" w:eastAsia="宋体" w:hint="default"/>
                <w:sz w:val="18"/>
                <w:szCs w:val="18"/>
              </w:rPr>
              <w:t>、</w:t>
            </w: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2017/5/6</w:t>
            </w:r>
          </w:p>
        </w:tc>
        <w:tc>
          <w:tcPr>
            <w:tcW w:w="92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2017/1/6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8"/>
                <w:szCs w:val="18"/>
              </w:rPr>
            </w:pP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2017/1/6-202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广电汇通（香港）有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2016/8/27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亿港元</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6"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r>
      <w:tr>
        <w:trPr>
          <w:trHeight w:val="718"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3"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7"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运通国际下属子公司</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2017/4/8</w:t>
            </w:r>
            <w:r>
              <w:rPr>
                <w:rFonts w:ascii="宋体" w:hAnsi="宋体" w:cs="宋体" w:eastAsia="宋体" w:hint="default"/>
                <w:sz w:val="18"/>
                <w:szCs w:val="18"/>
              </w:rPr>
              <w:t>、</w:t>
            </w: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2017/5/6</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w:t>
            </w:r>
          </w:p>
          <w:p>
            <w:pPr>
              <w:pStyle w:val="TableParagraph"/>
              <w:spacing w:line="240" w:lineRule="auto" w:before="63"/>
              <w:ind w:right="30"/>
              <w:jc w:val="right"/>
              <w:rPr>
                <w:rFonts w:ascii="宋体" w:hAnsi="宋体" w:cs="宋体" w:eastAsia="宋体" w:hint="default"/>
                <w:sz w:val="18"/>
                <w:szCs w:val="18"/>
              </w:rPr>
            </w:pPr>
            <w:r>
              <w:rPr>
                <w:rFonts w:ascii="宋体" w:hAnsi="宋体" w:cs="宋体" w:eastAsia="宋体" w:hint="default"/>
                <w:sz w:val="18"/>
                <w:szCs w:val="18"/>
              </w:rPr>
              <w:t>元</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2017/3/24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万美元</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2017/3/24-20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18/3/24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9" w:type="dxa"/>
            <w:vMerge/>
            <w:tcBorders>
              <w:left w:val="single" w:sz="4" w:space="0" w:color="000000"/>
              <w:bottom w:val="nil" w:sz="6" w:space="0" w:color="auto"/>
              <w:right w:val="single" w:sz="4" w:space="0" w:color="000000"/>
            </w:tcBorders>
          </w:tcPr>
          <w:p>
            <w:pPr/>
          </w:p>
        </w:tc>
        <w:tc>
          <w:tcPr>
            <w:tcW w:w="923" w:type="dxa"/>
            <w:vMerge/>
            <w:tcBorders>
              <w:left w:val="single" w:sz="4" w:space="0" w:color="000000"/>
              <w:bottom w:val="nil" w:sz="6" w:space="0" w:color="auto"/>
              <w:right w:val="single" w:sz="4" w:space="0" w:color="000000"/>
            </w:tcBorders>
          </w:tcPr>
          <w:p>
            <w:pPr/>
          </w:p>
        </w:tc>
        <w:tc>
          <w:tcPr>
            <w:tcW w:w="922" w:type="dxa"/>
            <w:vMerge/>
            <w:tcBorders>
              <w:left w:val="single" w:sz="4" w:space="0" w:color="000000"/>
              <w:bottom w:val="nil" w:sz="6" w:space="0" w:color="auto"/>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2017/10/27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9"/>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center"/>
              <w:rPr>
                <w:rFonts w:ascii="Times New Roman" w:hAnsi="Times New Roman" w:cs="Times New Roman" w:eastAsia="Times New Roman" w:hint="default"/>
                <w:sz w:val="18"/>
                <w:szCs w:val="18"/>
              </w:rPr>
            </w:pPr>
            <w:r>
              <w:rPr>
                <w:rFonts w:ascii="Times New Roman"/>
                <w:sz w:val="18"/>
              </w:rPr>
              <w:t>2017/10/27-2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97"/>
        <w:gridCol w:w="910"/>
        <w:gridCol w:w="924"/>
        <w:gridCol w:w="1313"/>
        <w:gridCol w:w="1044"/>
        <w:gridCol w:w="1048"/>
        <w:gridCol w:w="1052"/>
        <w:gridCol w:w="785"/>
        <w:gridCol w:w="790"/>
      </w:tblGrid>
      <w:tr>
        <w:trPr>
          <w:trHeight w:val="363" w:hRule="exact"/>
        </w:trPr>
        <w:tc>
          <w:tcPr>
            <w:tcW w:w="1697" w:type="dxa"/>
            <w:vMerge w:val="restart"/>
            <w:tcBorders>
              <w:top w:val="nil" w:sz="6" w:space="0" w:color="auto"/>
              <w:left w:val="single" w:sz="4" w:space="0" w:color="000000"/>
              <w:right w:val="single" w:sz="4" w:space="0" w:color="000000"/>
            </w:tcBorders>
          </w:tcPr>
          <w:p>
            <w:pPr/>
          </w:p>
        </w:tc>
        <w:tc>
          <w:tcPr>
            <w:tcW w:w="910" w:type="dxa"/>
            <w:vMerge w:val="restart"/>
            <w:tcBorders>
              <w:top w:val="single" w:sz="4" w:space="0" w:color="FFFFFF"/>
              <w:left w:val="single" w:sz="4" w:space="0" w:color="000000"/>
              <w:right w:val="single" w:sz="4" w:space="0" w:color="000000"/>
            </w:tcBorders>
          </w:tcPr>
          <w:p>
            <w:pPr/>
          </w:p>
        </w:tc>
        <w:tc>
          <w:tcPr>
            <w:tcW w:w="924" w:type="dxa"/>
            <w:vMerge w:val="restart"/>
            <w:tcBorders>
              <w:top w:val="single" w:sz="4" w:space="0" w:color="FFFFFF"/>
              <w:left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 w:right="0"/>
              <w:jc w:val="left"/>
              <w:rPr>
                <w:rFonts w:ascii="Times New Roman" w:hAnsi="Times New Roman" w:cs="Times New Roman" w:eastAsia="Times New Roman" w:hint="default"/>
                <w:sz w:val="18"/>
                <w:szCs w:val="18"/>
              </w:rPr>
            </w:pPr>
            <w:r>
              <w:rPr>
                <w:rFonts w:ascii="Times New Roman"/>
                <w:sz w:val="18"/>
              </w:rPr>
              <w:t>018/10/26</w:t>
            </w: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97"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2017/11/21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2017/11/21-2</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020/11/10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万美元</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718"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394"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宋体" w:hAnsi="宋体" w:cs="宋体" w:eastAsia="宋体" w:hint="default"/>
                <w:sz w:val="18"/>
                <w:szCs w:val="18"/>
              </w:rPr>
              <w:t>万美元</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715"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54,098.40 </w:t>
            </w:r>
            <w:r>
              <w:rPr>
                <w:rFonts w:ascii="宋体" w:hAnsi="宋体" w:cs="宋体" w:eastAsia="宋体" w:hint="default"/>
                <w:sz w:val="18"/>
                <w:szCs w:val="18"/>
              </w:rPr>
              <w:t>万元</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6"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394"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采用复合方式担保的具体情况说明：无</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27"/>
          <w:szCs w:val="27"/>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9" w:top="110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980" w:right="980"/>
          <w:cols w:num="2" w:equalWidth="0">
            <w:col w:w="1953" w:space="6787"/>
            <w:col w:w="12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2269"/>
        <w:gridCol w:w="2124"/>
        <w:gridCol w:w="1910"/>
        <w:gridCol w:w="1846"/>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具体类型</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0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117,210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980"/>
        </w:sectPr>
      </w:pPr>
    </w:p>
    <w:p>
      <w:pPr>
        <w:spacing w:line="240" w:lineRule="auto" w:before="8"/>
        <w:rPr>
          <w:rFonts w:ascii="宋体" w:hAnsi="宋体" w:cs="宋体" w:eastAsia="宋体" w:hint="default"/>
          <w:sz w:val="24"/>
          <w:szCs w:val="24"/>
        </w:rPr>
      </w:pPr>
      <w:r>
        <w:rPr/>
        <w:pict>
          <v:group style="position:absolute;margin-left:92.424004pt;margin-top:279.289978pt;width:22.1pt;height:70.7pt;mso-position-horizontal-relative:page;mso-position-vertical-relative:page;z-index:-1233976" coordorigin="1848,5586" coordsize="442,1414">
            <v:group style="position:absolute;left:1848;top:5586;width:442;height:624" coordorigin="1848,5586" coordsize="442,624">
              <v:shape style="position:absolute;left:1848;top:5586;width:442;height:624" coordorigin="1848,5586" coordsize="442,624" path="m1848,6210l2290,6210,2290,5586,1848,5586,1848,6210xe" filled="true" fillcolor="#ffffff" stroked="false">
                <v:path arrowok="t"/>
                <v:fill type="solid"/>
              </v:shape>
            </v:group>
            <v:group style="position:absolute;left:1848;top:6219;width:442;height:780" coordorigin="1848,6219" coordsize="442,780">
              <v:shape style="position:absolute;left:1848;top:6219;width:442;height:780" coordorigin="1848,6219" coordsize="442,780" path="m1848,6999l2290,6999,2290,6219,1848,6219,1848,6999xe" filled="true" fillcolor="#ffffff" stroked="false">
                <v:path arrowok="t"/>
                <v:fill type="solid"/>
              </v:shape>
            </v:group>
            <w10:wrap type="none"/>
          </v:group>
        </w:pict>
      </w:r>
      <w:r>
        <w:rPr/>
        <w:pict>
          <v:group style="position:absolute;margin-left:92.424004pt;margin-top:369.52597pt;width:22.1pt;height:70.75pt;mso-position-horizontal-relative:page;mso-position-vertical-relative:page;z-index:-1233952" coordorigin="1848,7391" coordsize="442,1415">
            <v:group style="position:absolute;left:1848;top:7391;width:442;height:781" coordorigin="1848,7391" coordsize="442,781">
              <v:shape style="position:absolute;left:1848;top:7391;width:442;height:781" coordorigin="1848,7391" coordsize="442,781" path="m1848,8171l2290,8171,2290,7391,1848,7391,1848,8171xe" filled="true" fillcolor="#ffffff" stroked="false">
                <v:path arrowok="t"/>
                <v:fill type="solid"/>
              </v:shape>
            </v:group>
            <v:group style="position:absolute;left:1848;top:8181;width:442;height:624" coordorigin="1848,8181" coordsize="442,624">
              <v:shape style="position:absolute;left:1848;top:8181;width:442;height:624" coordorigin="1848,8181" coordsize="442,624" path="m1848,8805l2290,8805,2290,8181,1848,8181,1848,8805xe" filled="true" fillcolor="#ffffff" stroked="false">
                <v:path arrowok="t"/>
                <v:fill type="solid"/>
              </v:shape>
            </v:group>
            <w10:wrap type="none"/>
          </v:group>
        </w:pict>
      </w:r>
      <w:r>
        <w:rPr/>
        <w:pict>
          <v:group style="position:absolute;margin-left:92.424004pt;margin-top:459.909973pt;width:22.1pt;height:70.7pt;mso-position-horizontal-relative:page;mso-position-vertical-relative:page;z-index:-1233928" coordorigin="1848,9198" coordsize="442,1414">
            <v:group style="position:absolute;left:1848;top:9198;width:442;height:624" coordorigin="1848,9198" coordsize="442,624">
              <v:shape style="position:absolute;left:1848;top:9198;width:442;height:624" coordorigin="1848,9198" coordsize="442,624" path="m1848,9822l2290,9822,2290,9198,1848,9198,1848,9822xe" filled="true" fillcolor="#ffffff" stroked="false">
                <v:path arrowok="t"/>
                <v:fill type="solid"/>
              </v:shape>
            </v:group>
            <v:group style="position:absolute;left:1848;top:9832;width:442;height:780" coordorigin="1848,9832" coordsize="442,780">
              <v:shape style="position:absolute;left:1848;top:9832;width:442;height:780" coordorigin="1848,9832" coordsize="442,780" path="m1848,10612l2290,10612,2290,9832,1848,9832,1848,10612xe" filled="true" fillcolor="#ffffff" stroked="false">
                <v:path arrowok="t"/>
                <v:fill type="solid"/>
              </v:shape>
            </v:group>
            <w10:wrap type="none"/>
          </v:group>
        </w:pict>
      </w:r>
      <w:r>
        <w:rPr/>
        <w:pict>
          <v:group style="position:absolute;margin-left:92.424004pt;margin-top:550.156006pt;width:22.1pt;height:78.55pt;mso-position-horizontal-relative:page;mso-position-vertical-relative:page;z-index:-1233904" coordorigin="1848,11003" coordsize="442,1571">
            <v:group style="position:absolute;left:1848;top:11003;width:442;height:781" coordorigin="1848,11003" coordsize="442,781">
              <v:shape style="position:absolute;left:1848;top:11003;width:442;height:781" coordorigin="1848,11003" coordsize="442,781" path="m1848,11784l2290,11784,2290,11003,1848,11003,1848,11784xe" filled="true" fillcolor="#ffffff" stroked="false">
                <v:path arrowok="t"/>
                <v:fill type="solid"/>
              </v:shape>
            </v:group>
            <v:group style="position:absolute;left:1848;top:11793;width:442;height:780" coordorigin="1848,11793" coordsize="442,780">
              <v:shape style="position:absolute;left:1848;top:11793;width:442;height:780" coordorigin="1848,11793" coordsize="442,780" path="m1848,12573l2290,12573,2290,11793,1848,11793,1848,12573xe" filled="true" fillcolor="#ffffff" stroked="false">
                <v:path arrowok="t"/>
                <v:fill type="solid"/>
              </v:shape>
            </v:group>
            <w10:wrap type="none"/>
          </v:group>
        </w:pict>
      </w:r>
      <w:r>
        <w:rPr/>
        <w:pict>
          <v:group style="position:absolute;margin-left:92.424004pt;margin-top:648.339966pt;width:22.1pt;height:69.6pt;mso-position-horizontal-relative:page;mso-position-vertical-relative:page;z-index:-1233880" coordorigin="1848,12967" coordsize="442,1392">
            <v:group style="position:absolute;left:1848;top:12967;width:442;height:780" coordorigin="1848,12967" coordsize="442,780">
              <v:shape style="position:absolute;left:1848;top:12967;width:442;height:780" coordorigin="1848,12967" coordsize="442,780" path="m1848,13747l2290,13747,2290,12967,1848,12967,1848,13747xe" filled="true" fillcolor="#ffffff" stroked="false">
                <v:path arrowok="t"/>
                <v:fill type="solid"/>
              </v:shape>
            </v:group>
            <v:group style="position:absolute;left:1848;top:13756;width:442;height:603" coordorigin="1848,13756" coordsize="442,603">
              <v:shape style="position:absolute;left:1848;top:13756;width:442;height:603" coordorigin="1848,13756" coordsize="442,603" path="m1848,14359l2290,14359,2290,13756,1848,13756,1848,14359xe" filled="true" fillcolor="#ffffff" stroked="false">
                <v:path arrowok="t"/>
                <v:fill type="solid"/>
              </v:shape>
            </v:group>
            <w10:wrap type="none"/>
          </v:group>
        </w:pict>
      </w:r>
      <w:r>
        <w:rPr/>
        <w:pict>
          <v:group style="position:absolute;margin-left:92.424004pt;margin-top:737.639954pt;width:22.1pt;height:30.15pt;mso-position-horizontal-relative:page;mso-position-vertical-relative:page;z-index:-1233856" coordorigin="1848,14753" coordsize="442,603">
            <v:shape style="position:absolute;left:1848;top:14753;width:442;height:603" coordorigin="1848,14753" coordsize="442,603" path="m1848,15355l2290,15355,2290,14753,1848,14753,1848,1535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686"/>
        <w:gridCol w:w="2124"/>
        <w:gridCol w:w="1910"/>
        <w:gridCol w:w="1846"/>
      </w:tblGrid>
      <w:tr>
        <w:trPr>
          <w:trHeight w:val="40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240" w:lineRule="auto" w:before="115"/>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196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9" w:right="77"/>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6" w:lineRule="auto" w:before="20"/>
              <w:ind w:left="79" w:right="77"/>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 w:right="38"/>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20"/>
              <w:ind w:left="43" w:right="38"/>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3"/>
              <w:jc w:val="both"/>
              <w:rPr>
                <w:rFonts w:ascii="宋体" w:hAnsi="宋体" w:cs="宋体" w:eastAsia="宋体" w:hint="default"/>
                <w:sz w:val="18"/>
                <w:szCs w:val="18"/>
              </w:rPr>
            </w:pPr>
            <w:r>
              <w:rPr>
                <w:rFonts w:ascii="宋体" w:hAnsi="宋体" w:cs="宋体" w:eastAsia="宋体" w:hint="default"/>
                <w:sz w:val="18"/>
                <w:szCs w:val="18"/>
              </w:rPr>
              <w:t>事项 概述 及相 关查 询索 引</w:t>
            </w:r>
          </w:p>
        </w:tc>
      </w:tr>
      <w:tr>
        <w:trPr>
          <w:trHeight w:val="1652"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624" w:lineRule="exact"/>
              <w:ind w:left="-5"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22.1pt;height:31.25pt;mso-position-horizontal-relative:char;mso-position-vertical-relative:line" coordorigin="0,0" coordsize="442,625">
                  <v:group style="position:absolute;left:0;top:0;width:442;height:625" coordorigin="0,0" coordsize="442,625">
                    <v:shape style="position:absolute;left:0;top:0;width:442;height:625" coordorigin="0,0" coordsize="442,625" path="m0,624l442,624,442,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4"/>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282.08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282.08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261.78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261.78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261.78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4"/>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67.51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国贸大</w:t>
            </w:r>
            <w:r>
              <w:rPr>
                <w:rFonts w:ascii="宋体" w:hAnsi="宋体" w:cs="宋体" w:eastAsia="宋体" w:hint="default"/>
                <w:spacing w:val="-33"/>
                <w:sz w:val="18"/>
                <w:szCs w:val="18"/>
              </w:rPr>
              <w:t> </w:t>
            </w:r>
            <w:r>
              <w:rPr>
                <w:rFonts w:ascii="宋体" w:hAnsi="宋体" w:cs="宋体" w:eastAsia="宋体" w:hint="default"/>
                <w:sz w:val="18"/>
                <w:szCs w:val="18"/>
              </w:rPr>
              <w:t>厦支行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88.60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88.60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88.60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中国民</w:t>
            </w:r>
            <w:r>
              <w:rPr>
                <w:rFonts w:ascii="宋体" w:hAnsi="宋体" w:cs="宋体" w:eastAsia="宋体" w:hint="default"/>
                <w:spacing w:val="-33"/>
                <w:sz w:val="18"/>
                <w:szCs w:val="18"/>
              </w:rPr>
              <w:t> </w:t>
            </w:r>
            <w:r>
              <w:rPr>
                <w:rFonts w:ascii="宋体" w:hAnsi="宋体" w:cs="宋体" w:eastAsia="宋体" w:hint="default"/>
                <w:spacing w:val="38"/>
                <w:sz w:val="18"/>
                <w:szCs w:val="18"/>
              </w:rPr>
              <w:t>生银行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95.00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92.424004pt;margin-top:141.37999pt;width:22.1pt;height:62.9pt;mso-position-horizontal-relative:page;mso-position-vertical-relative:page;z-index:-1233808" coordorigin="1848,2828" coordsize="442,1258">
            <v:group style="position:absolute;left:1848;top:2828;width:442;height:624" coordorigin="1848,2828" coordsize="442,624">
              <v:shape style="position:absolute;left:1848;top:2828;width:442;height:624" coordorigin="1848,2828" coordsize="442,624" path="m1848,3452l2290,3452,2290,2828,1848,2828,1848,3452xe" filled="true" fillcolor="#ffffff" stroked="false">
                <v:path arrowok="t"/>
                <v:fill type="solid"/>
              </v:shape>
            </v:group>
            <v:group style="position:absolute;left:1848;top:3461;width:442;height:624" coordorigin="1848,3461" coordsize="442,624">
              <v:shape style="position:absolute;left:1848;top:3461;width:442;height:624" coordorigin="1848,3461" coordsize="442,624" path="m1848,4085l2290,4085,2290,3461,1848,3461,1848,4085xe" filled="true" fillcolor="#ffffff" stroked="false">
                <v:path arrowok="t"/>
                <v:fill type="solid"/>
              </v:shape>
            </v:group>
            <w10:wrap type="none"/>
          </v:group>
        </w:pict>
      </w:r>
      <w:r>
        <w:rPr/>
        <w:pict>
          <v:group style="position:absolute;margin-left:92.424004pt;margin-top:223.945984pt;width:22.1pt;height:70.75pt;mso-position-horizontal-relative:page;mso-position-vertical-relative:page;z-index:-1233784" coordorigin="1848,4479" coordsize="442,1415">
            <v:group style="position:absolute;left:1848;top:4479;width:442;height:625" coordorigin="1848,4479" coordsize="442,625">
              <v:shape style="position:absolute;left:1848;top:4479;width:442;height:625" coordorigin="1848,4479" coordsize="442,625" path="m1848,5103l2290,5103,2290,4479,1848,4479,1848,5103xe" filled="true" fillcolor="#ffffff" stroked="false">
                <v:path arrowok="t"/>
                <v:fill type="solid"/>
              </v:shape>
            </v:group>
            <v:group style="position:absolute;left:1848;top:5113;width:442;height:780" coordorigin="1848,5113" coordsize="442,780">
              <v:shape style="position:absolute;left:1848;top:5113;width:442;height:780" coordorigin="1848,5113" coordsize="442,780" path="m1848,5893l2290,5893,2290,5113,1848,5113,1848,5893xe" filled="true" fillcolor="#ffffff" stroked="false">
                <v:path arrowok="t"/>
                <v:fill type="solid"/>
              </v:shape>
            </v:group>
            <w10:wrap type="none"/>
          </v:group>
        </w:pict>
      </w:r>
      <w:r>
        <w:rPr/>
        <w:pict>
          <v:group style="position:absolute;margin-left:92.424004pt;margin-top:314.209991pt;width:22.1pt;height:78.5pt;mso-position-horizontal-relative:page;mso-position-vertical-relative:page;z-index:-1233760" coordorigin="1848,6284" coordsize="442,1570">
            <v:group style="position:absolute;left:1848;top:6284;width:442;height:780" coordorigin="1848,6284" coordsize="442,780">
              <v:shape style="position:absolute;left:1848;top:6284;width:442;height:780" coordorigin="1848,6284" coordsize="442,780" path="m1848,7064l2290,7064,2290,6284,1848,6284,1848,7064xe" filled="true" fillcolor="#ffffff" stroked="false">
                <v:path arrowok="t"/>
                <v:fill type="solid"/>
              </v:shape>
            </v:group>
            <v:group style="position:absolute;left:1848;top:7074;width:442;height:780" coordorigin="1848,7074" coordsize="442,780">
              <v:shape style="position:absolute;left:1848;top:7074;width:442;height:780" coordorigin="1848,7074" coordsize="442,780" path="m1848,7854l2290,7854,2290,7074,1848,7074,1848,7854xe" filled="true" fillcolor="#ffffff" stroked="false">
                <v:path arrowok="t"/>
                <v:fill type="solid"/>
              </v:shape>
            </v:group>
            <w10:wrap type="none"/>
          </v:group>
        </w:pict>
      </w:r>
      <w:r>
        <w:rPr/>
        <w:pict>
          <v:group style="position:absolute;margin-left:92.424004pt;margin-top:412.389984pt;width:22.1pt;height:78.5pt;mso-position-horizontal-relative:page;mso-position-vertical-relative:page;z-index:-1233736" coordorigin="1848,8248" coordsize="442,1570">
            <v:group style="position:absolute;left:1848;top:8248;width:442;height:780" coordorigin="1848,8248" coordsize="442,780">
              <v:shape style="position:absolute;left:1848;top:8248;width:442;height:780" coordorigin="1848,8248" coordsize="442,780" path="m1848,9028l2290,9028,2290,8248,1848,8248,1848,9028xe" filled="true" fillcolor="#ffffff" stroked="false">
                <v:path arrowok="t"/>
                <v:fill type="solid"/>
              </v:shape>
            </v:group>
            <v:group style="position:absolute;left:1848;top:9037;width:442;height:780" coordorigin="1848,9037" coordsize="442,780">
              <v:shape style="position:absolute;left:1848;top:9037;width:442;height:780" coordorigin="1848,9037" coordsize="442,780" path="m1848,9817l2290,9817,2290,9037,1848,9037,1848,9817xe" filled="true" fillcolor="#ffffff" stroked="false">
                <v:path arrowok="t"/>
                <v:fill type="solid"/>
              </v:shape>
            </v:group>
            <w10:wrap type="none"/>
          </v:group>
        </w:pict>
      </w:r>
      <w:r>
        <w:rPr/>
        <w:pict>
          <v:group style="position:absolute;margin-left:92.424004pt;margin-top:510.429993pt;width:22.1pt;height:78.55pt;mso-position-horizontal-relative:page;mso-position-vertical-relative:page;z-index:-1233712" coordorigin="1848,10209" coordsize="442,1571">
            <v:group style="position:absolute;left:1848;top:10209;width:442;height:780" coordorigin="1848,10209" coordsize="442,780">
              <v:shape style="position:absolute;left:1848;top:10209;width:442;height:780" coordorigin="1848,10209" coordsize="442,780" path="m1848,10989l2290,10989,2290,10209,1848,10209,1848,10989xe" filled="true" fillcolor="#ffffff" stroked="false">
                <v:path arrowok="t"/>
                <v:fill type="solid"/>
              </v:shape>
            </v:group>
            <v:group style="position:absolute;left:1848;top:10998;width:442;height:781" coordorigin="1848,10998" coordsize="442,781">
              <v:shape style="position:absolute;left:1848;top:10998;width:442;height:781" coordorigin="1848,10998" coordsize="442,781" path="m1848,11779l2290,11779,2290,10998,1848,10998,1848,11779xe" filled="true" fillcolor="#ffffff" stroked="false">
                <v:path arrowok="t"/>
                <v:fill type="solid"/>
              </v:shape>
            </v:group>
            <w10:wrap type="none"/>
          </v:group>
        </w:pict>
      </w:r>
      <w:r>
        <w:rPr/>
        <w:pict>
          <v:group style="position:absolute;margin-left:92.424004pt;margin-top:608.619995pt;width:22.1pt;height:78.5pt;mso-position-horizontal-relative:page;mso-position-vertical-relative:page;z-index:-1233688" coordorigin="1848,12172" coordsize="442,1570">
            <v:group style="position:absolute;left:1848;top:12172;width:442;height:780" coordorigin="1848,12172" coordsize="442,780">
              <v:shape style="position:absolute;left:1848;top:12172;width:442;height:780" coordorigin="1848,12172" coordsize="442,780" path="m1848,12952l2290,12952,2290,12172,1848,12172,1848,12952xe" filled="true" fillcolor="#ffffff" stroked="false">
                <v:path arrowok="t"/>
                <v:fill type="solid"/>
              </v:shape>
            </v:group>
            <v:group style="position:absolute;left:1848;top:12962;width:442;height:780" coordorigin="1848,12962" coordsize="442,780">
              <v:shape style="position:absolute;left:1848;top:12962;width:442;height:780" coordorigin="1848,12962" coordsize="442,780" path="m1848,13742l2290,13742,2290,12962,1848,12962,1848,13742xe" filled="true" fillcolor="#ffffff" stroked="false">
                <v:path arrowok="t"/>
                <v:fill type="solid"/>
              </v:shape>
            </v:group>
            <w10:wrap type="none"/>
          </v:group>
        </w:pict>
      </w:r>
      <w:r>
        <w:rPr/>
        <w:pict>
          <v:group style="position:absolute;margin-left:92.424004pt;margin-top:706.656006pt;width:22.1pt;height:39.050pt;mso-position-horizontal-relative:page;mso-position-vertical-relative:page;z-index:-1233664" coordorigin="1848,14133" coordsize="442,781">
            <v:shape style="position:absolute;left:1848;top:14133;width:442;height:781" coordorigin="1848,14133" coordsize="442,781" path="m1848,14914l2290,14914,2290,14133,1848,14133,1848,1491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3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45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624" w:lineRule="exact"/>
              <w:ind w:left="-5"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2.1pt;height:31.2pt;mso-position-horizontal-relative:char;mso-position-vertical-relative:line" coordorigin="0,0" coordsize="442,624">
                  <v:group style="position:absolute;left:0;top:0;width:442;height:624" coordorigin="0,0" coordsize="442,624">
                    <v:shape style="position:absolute;left:0;top:0;width:442;height:624" coordorigin="0,0" coordsize="442,624" path="m0,624l442,624,44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676.64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676.64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676.64</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680.30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680.30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680.30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301.71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301.71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301.71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中国民</w:t>
            </w:r>
            <w:r>
              <w:rPr>
                <w:rFonts w:ascii="宋体" w:hAnsi="宋体" w:cs="宋体" w:eastAsia="宋体" w:hint="default"/>
                <w:spacing w:val="-33"/>
                <w:sz w:val="18"/>
                <w:szCs w:val="18"/>
              </w:rPr>
              <w:t> </w:t>
            </w:r>
            <w:r>
              <w:rPr>
                <w:rFonts w:ascii="宋体" w:hAnsi="宋体" w:cs="宋体" w:eastAsia="宋体" w:hint="default"/>
                <w:spacing w:val="38"/>
                <w:sz w:val="18"/>
                <w:szCs w:val="18"/>
              </w:rPr>
              <w:t>生银行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7"/>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111.17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111.17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中国民</w:t>
            </w:r>
            <w:r>
              <w:rPr>
                <w:rFonts w:ascii="宋体" w:hAnsi="宋体" w:cs="宋体" w:eastAsia="宋体" w:hint="default"/>
                <w:spacing w:val="-33"/>
                <w:sz w:val="18"/>
                <w:szCs w:val="18"/>
              </w:rPr>
              <w:t> </w:t>
            </w:r>
            <w:r>
              <w:rPr>
                <w:rFonts w:ascii="宋体" w:hAnsi="宋体" w:cs="宋体" w:eastAsia="宋体" w:hint="default"/>
                <w:spacing w:val="38"/>
                <w:sz w:val="18"/>
                <w:szCs w:val="18"/>
              </w:rPr>
              <w:t>生银行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113.58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113.58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中信银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分行天</w:t>
            </w:r>
            <w:r>
              <w:rPr>
                <w:rFonts w:ascii="宋体" w:hAnsi="宋体" w:cs="宋体" w:eastAsia="宋体" w:hint="default"/>
                <w:spacing w:val="-33"/>
                <w:sz w:val="18"/>
                <w:szCs w:val="18"/>
              </w:rPr>
              <w:t> </w:t>
            </w:r>
            <w:r>
              <w:rPr>
                <w:rFonts w:ascii="宋体" w:hAnsi="宋体" w:cs="宋体" w:eastAsia="宋体" w:hint="default"/>
                <w:sz w:val="18"/>
                <w:szCs w:val="18"/>
              </w:rPr>
              <w:t>河支行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112.88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112.88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200.05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200.05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73"/>
              <w:ind w:left="24" w:right="-52"/>
              <w:jc w:val="left"/>
              <w:rPr>
                <w:rFonts w:ascii="宋体" w:hAnsi="宋体" w:cs="宋体" w:eastAsia="宋体" w:hint="default"/>
                <w:sz w:val="18"/>
                <w:szCs w:val="18"/>
              </w:rPr>
            </w:pPr>
            <w:r>
              <w:rPr>
                <w:rFonts w:ascii="宋体" w:hAnsi="宋体" w:cs="宋体" w:eastAsia="宋体" w:hint="default"/>
                <w:spacing w:val="38"/>
                <w:sz w:val="18"/>
                <w:szCs w:val="18"/>
              </w:rPr>
              <w:t>中国民</w:t>
            </w:r>
            <w:r>
              <w:rPr>
                <w:rFonts w:ascii="宋体" w:hAnsi="宋体" w:cs="宋体" w:eastAsia="宋体" w:hint="default"/>
                <w:spacing w:val="-33"/>
                <w:sz w:val="18"/>
                <w:szCs w:val="18"/>
              </w:rPr>
              <w:t> </w:t>
            </w:r>
            <w:r>
              <w:rPr>
                <w:rFonts w:ascii="宋体" w:hAnsi="宋体" w:cs="宋体" w:eastAsia="宋体" w:hint="default"/>
                <w:sz w:val="18"/>
                <w:szCs w:val="18"/>
              </w:rPr>
            </w:r>
          </w:p>
        </w:tc>
        <w:tc>
          <w:tcPr>
            <w:tcW w:w="454"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4"/>
                <w:sz w:val="18"/>
                <w:szCs w:val="18"/>
              </w:rPr>
              <w:t>保本浮</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6"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92.424004pt;margin-top:72.475983pt;width:22.1pt;height:111.75pt;mso-position-horizontal-relative:page;mso-position-vertical-relative:page;z-index:-1233640" coordorigin="1848,1450" coordsize="442,2235">
            <v:group style="position:absolute;left:1848;top:1450;width:442;height:1602" coordorigin="1848,1450" coordsize="442,1602">
              <v:shape style="position:absolute;left:1848;top:1450;width:442;height:1602" coordorigin="1848,1450" coordsize="442,1602" path="m1848,3051l2290,3051,2290,1450,1848,1450,1848,3051xe" filled="true" fillcolor="#ffffff" stroked="false">
                <v:path arrowok="t"/>
                <v:fill type="solid"/>
              </v:shape>
            </v:group>
            <v:group style="position:absolute;left:1848;top:3060;width:442;height:624" coordorigin="1848,3060" coordsize="442,624">
              <v:shape style="position:absolute;left:1848;top:3060;width:442;height:624" coordorigin="1848,3060" coordsize="442,624" path="m1848,3684l2290,3684,2290,3060,1848,3060,1848,3684xe" filled="true" fillcolor="#ffffff" stroked="false">
                <v:path arrowok="t"/>
                <v:fill type="solid"/>
              </v:shape>
            </v:group>
            <w10:wrap type="none"/>
          </v:group>
        </w:pict>
      </w:r>
      <w:r>
        <w:rPr/>
        <w:pict>
          <v:group style="position:absolute;margin-left:92.424004pt;margin-top:203.779984pt;width:22.1pt;height:62.95pt;mso-position-horizontal-relative:page;mso-position-vertical-relative:page;z-index:-1233616" coordorigin="1848,4076" coordsize="442,1259">
            <v:group style="position:absolute;left:1848;top:4076;width:442;height:624" coordorigin="1848,4076" coordsize="442,624">
              <v:shape style="position:absolute;left:1848;top:4076;width:442;height:624" coordorigin="1848,4076" coordsize="442,624" path="m1848,4700l2290,4700,2290,4076,1848,4076,1848,4700xe" filled="true" fillcolor="#ffffff" stroked="false">
                <v:path arrowok="t"/>
                <v:fill type="solid"/>
              </v:shape>
            </v:group>
            <v:group style="position:absolute;left:1848;top:4709;width:442;height:625" coordorigin="1848,4709" coordsize="442,625">
              <v:shape style="position:absolute;left:1848;top:4709;width:442;height:625" coordorigin="1848,4709" coordsize="442,625" path="m1848,5334l2290,5334,2290,4709,1848,4709,1848,5334xe" filled="true" fillcolor="#ffffff" stroked="false">
                <v:path arrowok="t"/>
                <v:fill type="solid"/>
              </v:shape>
            </v:group>
            <w10:wrap type="none"/>
          </v:group>
        </w:pict>
      </w:r>
      <w:r>
        <w:rPr/>
        <w:pict>
          <v:group style="position:absolute;margin-left:92.424004pt;margin-top:286.369995pt;width:22.1pt;height:70.7pt;mso-position-horizontal-relative:page;mso-position-vertical-relative:page;z-index:-1233592" coordorigin="1848,5727" coordsize="442,1414">
            <v:group style="position:absolute;left:1848;top:5727;width:442;height:624" coordorigin="1848,5727" coordsize="442,624">
              <v:shape style="position:absolute;left:1848;top:5727;width:442;height:624" coordorigin="1848,5727" coordsize="442,624" path="m1848,6351l2290,6351,2290,5727,1848,5727,1848,6351xe" filled="true" fillcolor="#ffffff" stroked="false">
                <v:path arrowok="t"/>
                <v:fill type="solid"/>
              </v:shape>
            </v:group>
            <v:group style="position:absolute;left:1848;top:6361;width:442;height:780" coordorigin="1848,6361" coordsize="442,780">
              <v:shape style="position:absolute;left:1848;top:6361;width:442;height:780" coordorigin="1848,6361" coordsize="442,780" path="m1848,7141l2290,7141,2290,6361,1848,6361,1848,7141xe" filled="true" fillcolor="#ffffff" stroked="false">
                <v:path arrowok="t"/>
                <v:fill type="solid"/>
              </v:shape>
            </v:group>
            <w10:wrap type="none"/>
          </v:group>
        </w:pict>
      </w:r>
      <w:r>
        <w:rPr/>
        <w:pict>
          <v:group style="position:absolute;margin-left:92.424004pt;margin-top:376.605988pt;width:22.1pt;height:78.55pt;mso-position-horizontal-relative:page;mso-position-vertical-relative:page;z-index:-1233568" coordorigin="1848,7532" coordsize="442,1571">
            <v:group style="position:absolute;left:1848;top:7532;width:442;height:781" coordorigin="1848,7532" coordsize="442,781">
              <v:shape style="position:absolute;left:1848;top:7532;width:442;height:781" coordorigin="1848,7532" coordsize="442,781" path="m1848,8313l2290,8313,2290,7532,1848,7532,1848,8313xe" filled="true" fillcolor="#ffffff" stroked="false">
                <v:path arrowok="t"/>
                <v:fill type="solid"/>
              </v:shape>
            </v:group>
            <v:group style="position:absolute;left:1848;top:8322;width:442;height:780" coordorigin="1848,8322" coordsize="442,780">
              <v:shape style="position:absolute;left:1848;top:8322;width:442;height:780" coordorigin="1848,8322" coordsize="442,780" path="m1848,9102l2290,9102,2290,8322,1848,8322,1848,9102xe" filled="true" fillcolor="#ffffff" stroked="false">
                <v:path arrowok="t"/>
                <v:fill type="solid"/>
              </v:shape>
            </v:group>
            <w10:wrap type="none"/>
          </v:group>
        </w:pict>
      </w:r>
      <w:r>
        <w:rPr/>
        <w:pict>
          <v:group style="position:absolute;margin-left:92.424004pt;margin-top:474.789978pt;width:22.1pt;height:78.5pt;mso-position-horizontal-relative:page;mso-position-vertical-relative:page;z-index:-1233544" coordorigin="1848,9496" coordsize="442,1570">
            <v:group style="position:absolute;left:1848;top:9496;width:442;height:780" coordorigin="1848,9496" coordsize="442,780">
              <v:shape style="position:absolute;left:1848;top:9496;width:442;height:780" coordorigin="1848,9496" coordsize="442,780" path="m1848,10276l2290,10276,2290,9496,1848,9496,1848,10276xe" filled="true" fillcolor="#ffffff" stroked="false">
                <v:path arrowok="t"/>
                <v:fill type="solid"/>
              </v:shape>
            </v:group>
            <v:group style="position:absolute;left:1848;top:10285;width:442;height:780" coordorigin="1848,10285" coordsize="442,780">
              <v:shape style="position:absolute;left:1848;top:10285;width:442;height:780" coordorigin="1848,10285" coordsize="442,780" path="m1848,11065l2290,11065,2290,10285,1848,10285,1848,11065xe" filled="true" fillcolor="#ffffff" stroked="false">
                <v:path arrowok="t"/>
                <v:fill type="solid"/>
              </v:shape>
            </v:group>
            <w10:wrap type="none"/>
          </v:group>
        </w:pict>
      </w:r>
      <w:r>
        <w:rPr/>
        <w:pict>
          <v:group style="position:absolute;margin-left:92.424004pt;margin-top:572.859985pt;width:22.1pt;height:78.5pt;mso-position-horizontal-relative:page;mso-position-vertical-relative:page;z-index:-1233520" coordorigin="1848,11457" coordsize="442,1570">
            <v:group style="position:absolute;left:1848;top:11457;width:442;height:780" coordorigin="1848,11457" coordsize="442,780">
              <v:shape style="position:absolute;left:1848;top:11457;width:442;height:780" coordorigin="1848,11457" coordsize="442,780" path="m1848,12237l2290,12237,2290,11457,1848,11457,1848,12237xe" filled="true" fillcolor="#ffffff" stroked="false">
                <v:path arrowok="t"/>
                <v:fill type="solid"/>
              </v:shape>
            </v:group>
            <v:group style="position:absolute;left:1848;top:12247;width:442;height:780" coordorigin="1848,12247" coordsize="442,780">
              <v:shape style="position:absolute;left:1848;top:12247;width:442;height:780" coordorigin="1848,12247" coordsize="442,780" path="m1848,13027l2290,13027,2290,12247,1848,12247,1848,13027xe" filled="true" fillcolor="#ffffff" stroked="false">
                <v:path arrowok="t"/>
                <v:fill type="solid"/>
              </v:shape>
            </v:group>
            <w10:wrap type="none"/>
          </v:group>
        </w:pict>
      </w:r>
      <w:r>
        <w:rPr/>
        <w:pict>
          <v:group style="position:absolute;margin-left:92.424004pt;margin-top:671.019958pt;width:22.1pt;height:55.1pt;mso-position-horizontal-relative:page;mso-position-vertical-relative:page;z-index:-1233496" coordorigin="1848,13420" coordsize="442,1102">
            <v:group style="position:absolute;left:1848;top:13420;width:442;height:780" coordorigin="1848,13420" coordsize="442,780">
              <v:shape style="position:absolute;left:1848;top:13420;width:442;height:780" coordorigin="1848,13420" coordsize="442,780" path="m1848,14200l2290,14200,2290,13420,1848,13420,1848,14200xe" filled="true" fillcolor="#ffffff" stroked="false">
                <v:path arrowok="t"/>
                <v:fill type="solid"/>
              </v:shape>
            </v:group>
            <v:group style="position:absolute;left:1848;top:14210;width:442;height:312" coordorigin="1848,14210" coordsize="442,312">
              <v:shape style="position:absolute;left:1848;top:14210;width:442;height:312" coordorigin="1848,14210" coordsize="442,312" path="m1848,14522l2290,14522,2290,14210,1848,14210,1848,14522xe" filled="true" fillcolor="#ffffff" stroked="false">
                <v:path arrowok="t"/>
                <v:fill type="solid"/>
              </v:shape>
            </v:group>
            <w10:wrap type="none"/>
          </v:group>
        </w:pict>
      </w:r>
      <w:r>
        <w:rPr/>
        <w:pict>
          <v:group style="position:absolute;margin-left:92.424004pt;margin-top:745.679993pt;width:22.1pt;height:15.6pt;mso-position-horizontal-relative:page;mso-position-vertical-relative:page;z-index:-1233472" coordorigin="1848,14914" coordsize="442,312">
            <v:shape style="position:absolute;left:1848;top:14914;width:442;height:312" coordorigin="1848,14914" coordsize="442,312" path="m1848,15226l2290,15226,2290,14914,1848,14914,1848,1522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161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38"/>
              <w:jc w:val="both"/>
              <w:rPr>
                <w:rFonts w:ascii="宋体" w:hAnsi="宋体" w:cs="宋体" w:eastAsia="宋体" w:hint="default"/>
                <w:sz w:val="18"/>
                <w:szCs w:val="18"/>
              </w:rPr>
            </w:pPr>
            <w:r>
              <w:rPr>
                <w:rFonts w:ascii="宋体" w:hAnsi="宋体" w:cs="宋体" w:eastAsia="宋体" w:hint="default"/>
                <w:spacing w:val="38"/>
                <w:sz w:val="18"/>
                <w:szCs w:val="18"/>
              </w:rPr>
              <w:t>生银行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pacing w:val="4"/>
                <w:sz w:val="18"/>
                <w:szCs w:val="18"/>
              </w:rPr>
              <w:t>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中国民</w:t>
            </w:r>
            <w:r>
              <w:rPr>
                <w:rFonts w:ascii="宋体" w:hAnsi="宋体" w:cs="宋体" w:eastAsia="宋体" w:hint="default"/>
                <w:spacing w:val="-33"/>
                <w:sz w:val="18"/>
                <w:szCs w:val="18"/>
              </w:rPr>
              <w:t> </w:t>
            </w:r>
            <w:r>
              <w:rPr>
                <w:rFonts w:ascii="宋体" w:hAnsi="宋体" w:cs="宋体" w:eastAsia="宋体" w:hint="default"/>
                <w:spacing w:val="38"/>
                <w:sz w:val="18"/>
                <w:szCs w:val="18"/>
              </w:rPr>
              <w:t>生银行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中信银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分行天</w:t>
            </w:r>
            <w:r>
              <w:rPr>
                <w:rFonts w:ascii="宋体" w:hAnsi="宋体" w:cs="宋体" w:eastAsia="宋体" w:hint="default"/>
                <w:spacing w:val="-33"/>
                <w:sz w:val="18"/>
                <w:szCs w:val="18"/>
              </w:rPr>
              <w:t> </w:t>
            </w:r>
            <w:r>
              <w:rPr>
                <w:rFonts w:ascii="宋体" w:hAnsi="宋体" w:cs="宋体" w:eastAsia="宋体" w:hint="default"/>
                <w:sz w:val="18"/>
                <w:szCs w:val="18"/>
              </w:rPr>
              <w:t>河支行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96" w:right="94"/>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7"/>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广东华</w:t>
            </w:r>
            <w:r>
              <w:rPr>
                <w:rFonts w:ascii="宋体" w:hAnsi="宋体" w:cs="宋体" w:eastAsia="宋体" w:hint="default"/>
                <w:spacing w:val="-33"/>
                <w:sz w:val="18"/>
                <w:szCs w:val="18"/>
              </w:rPr>
              <w:t> </w:t>
            </w:r>
            <w:r>
              <w:rPr>
                <w:rFonts w:ascii="宋体" w:hAnsi="宋体" w:cs="宋体" w:eastAsia="宋体" w:hint="default"/>
                <w:spacing w:val="38"/>
                <w:sz w:val="18"/>
                <w:szCs w:val="18"/>
              </w:rPr>
              <w:t>兴银行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保本保 </w:t>
            </w:r>
            <w:r>
              <w:rPr>
                <w:rFonts w:ascii="宋体" w:hAnsi="宋体" w:cs="宋体" w:eastAsia="宋体" w:hint="default"/>
                <w:sz w:val="18"/>
                <w:szCs w:val="18"/>
              </w:rPr>
              <w:t>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31.23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319" w:lineRule="auto" w:before="70"/>
              <w:ind w:left="24" w:right="-52"/>
              <w:jc w:val="both"/>
              <w:rPr>
                <w:rFonts w:ascii="宋体" w:hAnsi="宋体" w:cs="宋体" w:eastAsia="宋体" w:hint="default"/>
                <w:sz w:val="18"/>
                <w:szCs w:val="18"/>
              </w:rPr>
            </w:pPr>
            <w:r>
              <w:rPr>
                <w:rFonts w:ascii="宋体" w:hAnsi="宋体" w:cs="宋体" w:eastAsia="宋体" w:hint="default"/>
                <w:spacing w:val="38"/>
                <w:sz w:val="18"/>
                <w:szCs w:val="18"/>
              </w:rPr>
              <w:t>广东华</w:t>
            </w:r>
            <w:r>
              <w:rPr>
                <w:rFonts w:ascii="宋体" w:hAnsi="宋体" w:cs="宋体" w:eastAsia="宋体" w:hint="default"/>
                <w:spacing w:val="-33"/>
                <w:sz w:val="18"/>
                <w:szCs w:val="18"/>
              </w:rPr>
              <w:t> </w:t>
            </w:r>
            <w:r>
              <w:rPr>
                <w:rFonts w:ascii="宋体" w:hAnsi="宋体" w:cs="宋体" w:eastAsia="宋体" w:hint="default"/>
                <w:spacing w:val="38"/>
                <w:sz w:val="18"/>
                <w:szCs w:val="18"/>
              </w:rPr>
              <w:t>兴银行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z w:val="18"/>
                <w:szCs w:val="18"/>
              </w:rPr>
            </w:r>
          </w:p>
        </w:tc>
        <w:tc>
          <w:tcPr>
            <w:tcW w:w="454"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保本保 </w:t>
            </w:r>
            <w:r>
              <w:rPr>
                <w:rFonts w:ascii="宋体" w:hAnsi="宋体" w:cs="宋体" w:eastAsia="宋体" w:hint="default"/>
                <w:sz w:val="18"/>
                <w:szCs w:val="18"/>
              </w:rPr>
              <w:t>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7"/>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33.23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33.23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92.424004pt;margin-top:72.475983pt;width:22.1pt;height:88.35pt;mso-position-horizontal-relative:page;mso-position-vertical-relative:page;z-index:-1233448" coordorigin="1848,1450" coordsize="442,1767">
            <v:group style="position:absolute;left:1848;top:1450;width:442;height:978" coordorigin="1848,1450" coordsize="442,978">
              <v:shape style="position:absolute;left:1848;top:1450;width:442;height:978" coordorigin="1848,1450" coordsize="442,978" path="m1848,2427l2290,2427,2290,1450,1848,1450,1848,2427xe" filled="true" fillcolor="#ffffff" stroked="false">
                <v:path arrowok="t"/>
                <v:fill type="solid"/>
              </v:shape>
            </v:group>
            <v:group style="position:absolute;left:1848;top:2436;width:442;height:780" coordorigin="1848,2436" coordsize="442,780">
              <v:shape style="position:absolute;left:1848;top:2436;width:442;height:780" coordorigin="1848,2436" coordsize="442,780" path="m1848,3216l2290,3216,2290,2436,1848,2436,1848,3216xe" filled="true" fillcolor="#ffffff" stroked="false">
                <v:path arrowok="t"/>
                <v:fill type="solid"/>
              </v:shape>
            </v:group>
            <w10:wrap type="none"/>
          </v:group>
        </w:pict>
      </w:r>
      <w:r>
        <w:rPr/>
        <w:pict>
          <v:group style="position:absolute;margin-left:92.424004pt;margin-top:180.37999pt;width:22.1pt;height:78.55pt;mso-position-horizontal-relative:page;mso-position-vertical-relative:page;z-index:-1233424" coordorigin="1848,3608" coordsize="442,1571">
            <v:group style="position:absolute;left:1848;top:3608;width:442;height:780" coordorigin="1848,3608" coordsize="442,780">
              <v:shape style="position:absolute;left:1848;top:3608;width:442;height:780" coordorigin="1848,3608" coordsize="442,780" path="m1848,4388l2290,4388,2290,3608,1848,3608,1848,4388xe" filled="true" fillcolor="#ffffff" stroked="false">
                <v:path arrowok="t"/>
                <v:fill type="solid"/>
              </v:shape>
            </v:group>
            <v:group style="position:absolute;left:1848;top:4397;width:442;height:781" coordorigin="1848,4397" coordsize="442,781">
              <v:shape style="position:absolute;left:1848;top:4397;width:442;height:781" coordorigin="1848,4397" coordsize="442,781" path="m1848,5178l2290,5178,2290,4397,1848,4397,1848,5178xe" filled="true" fillcolor="#ffffff" stroked="false">
                <v:path arrowok="t"/>
                <v:fill type="solid"/>
              </v:shape>
            </v:group>
            <w10:wrap type="none"/>
          </v:group>
        </w:pict>
      </w:r>
      <w:r>
        <w:rPr/>
        <w:pict>
          <v:group style="position:absolute;margin-left:92.424004pt;margin-top:278.569977pt;width:22.1pt;height:78.5pt;mso-position-horizontal-relative:page;mso-position-vertical-relative:page;z-index:-1233400" coordorigin="1848,5571" coordsize="442,1570">
            <v:group style="position:absolute;left:1848;top:5571;width:442;height:780" coordorigin="1848,5571" coordsize="442,780">
              <v:shape style="position:absolute;left:1848;top:5571;width:442;height:780" coordorigin="1848,5571" coordsize="442,780" path="m1848,6351l2290,6351,2290,5571,1848,5571,1848,6351xe" filled="true" fillcolor="#ffffff" stroked="false">
                <v:path arrowok="t"/>
                <v:fill type="solid"/>
              </v:shape>
            </v:group>
            <v:group style="position:absolute;left:1848;top:6361;width:442;height:780" coordorigin="1848,6361" coordsize="442,780">
              <v:shape style="position:absolute;left:1848;top:6361;width:442;height:780" coordorigin="1848,6361" coordsize="442,780" path="m1848,7141l2290,7141,2290,6361,1848,6361,1848,7141xe" filled="true" fillcolor="#ffffff" stroked="false">
                <v:path arrowok="t"/>
                <v:fill type="solid"/>
              </v:shape>
            </v:group>
            <w10:wrap type="none"/>
          </v:group>
        </w:pict>
      </w:r>
      <w:r>
        <w:rPr/>
        <w:pict>
          <v:group style="position:absolute;margin-left:92.424004pt;margin-top:376.605988pt;width:22.1pt;height:70.75pt;mso-position-horizontal-relative:page;mso-position-vertical-relative:page;z-index:-1233376" coordorigin="1848,7532" coordsize="442,1415">
            <v:group style="position:absolute;left:1848;top:7532;width:442;height:781" coordorigin="1848,7532" coordsize="442,781">
              <v:shape style="position:absolute;left:1848;top:7532;width:442;height:781" coordorigin="1848,7532" coordsize="442,781" path="m1848,8313l2290,8313,2290,7532,1848,7532,1848,8313xe" filled="true" fillcolor="#ffffff" stroked="false">
                <v:path arrowok="t"/>
                <v:fill type="solid"/>
              </v:shape>
            </v:group>
            <v:group style="position:absolute;left:1848;top:8322;width:442;height:624" coordorigin="1848,8322" coordsize="442,624">
              <v:shape style="position:absolute;left:1848;top:8322;width:442;height:624" coordorigin="1848,8322" coordsize="442,624" path="m1848,8946l2290,8946,2290,8322,1848,8322,1848,8946xe" filled="true" fillcolor="#ffffff" stroked="false">
                <v:path arrowok="t"/>
                <v:fill type="solid"/>
              </v:shape>
            </v:group>
            <w10:wrap type="none"/>
          </v:group>
        </w:pict>
      </w:r>
      <w:r>
        <w:rPr/>
        <w:pict>
          <v:group style="position:absolute;margin-left:92.424004pt;margin-top:466.98999pt;width:22.1pt;height:62.9pt;mso-position-horizontal-relative:page;mso-position-vertical-relative:page;z-index:-1233352" coordorigin="1848,9340" coordsize="442,1258">
            <v:group style="position:absolute;left:1848;top:9340;width:442;height:624" coordorigin="1848,9340" coordsize="442,624">
              <v:shape style="position:absolute;left:1848;top:9340;width:442;height:624" coordorigin="1848,9340" coordsize="442,624" path="m1848,9964l2290,9964,2290,9340,1848,9340,1848,9964xe" filled="true" fillcolor="#ffffff" stroked="false">
                <v:path arrowok="t"/>
                <v:fill type="solid"/>
              </v:shape>
            </v:group>
            <v:group style="position:absolute;left:1848;top:9973;width:442;height:624" coordorigin="1848,9973" coordsize="442,624">
              <v:shape style="position:absolute;left:1848;top:9973;width:442;height:624" coordorigin="1848,9973" coordsize="442,624" path="m1848,10597l2290,10597,2290,9973,1848,9973,1848,10597xe" filled="true" fillcolor="#ffffff" stroked="false">
                <v:path arrowok="t"/>
                <v:fill type="solid"/>
              </v:shape>
            </v:group>
            <w10:wrap type="none"/>
          </v:group>
        </w:pict>
      </w:r>
      <w:r>
        <w:rPr/>
        <w:pict>
          <v:group style="position:absolute;margin-left:92.424004pt;margin-top:549.435974pt;width:22.1pt;height:62.95pt;mso-position-horizontal-relative:page;mso-position-vertical-relative:page;z-index:-1233328" coordorigin="1848,10989" coordsize="442,1259">
            <v:group style="position:absolute;left:1848;top:10989;width:442;height:625" coordorigin="1848,10989" coordsize="442,625">
              <v:shape style="position:absolute;left:1848;top:10989;width:442;height:625" coordorigin="1848,10989" coordsize="442,625" path="m1848,11613l2290,11613,2290,10989,1848,10989,1848,11613xe" filled="true" fillcolor="#ffffff" stroked="false">
                <v:path arrowok="t"/>
                <v:fill type="solid"/>
              </v:shape>
            </v:group>
            <v:group style="position:absolute;left:1848;top:11623;width:442;height:624" coordorigin="1848,11623" coordsize="442,624">
              <v:shape style="position:absolute;left:1848;top:11623;width:442;height:624" coordorigin="1848,11623" coordsize="442,624" path="m1848,12247l2290,12247,2290,11623,1848,11623,1848,12247xe" filled="true" fillcolor="#ffffff" stroked="false">
                <v:path arrowok="t"/>
                <v:fill type="solid"/>
              </v:shape>
            </v:group>
            <w10:wrap type="none"/>
          </v:group>
        </w:pict>
      </w:r>
      <w:r>
        <w:rPr/>
        <w:pict>
          <v:group style="position:absolute;margin-left:92.424004pt;margin-top:632.019958pt;width:22.1pt;height:62.9pt;mso-position-horizontal-relative:page;mso-position-vertical-relative:page;z-index:-1233304" coordorigin="1848,12640" coordsize="442,1258">
            <v:group style="position:absolute;left:1848;top:12640;width:442;height:624" coordorigin="1848,12640" coordsize="442,624">
              <v:shape style="position:absolute;left:1848;top:12640;width:442;height:624" coordorigin="1848,12640" coordsize="442,624" path="m1848,13264l2290,13264,2290,12640,1848,12640,1848,13264xe" filled="true" fillcolor="#ffffff" stroked="false">
                <v:path arrowok="t"/>
                <v:fill type="solid"/>
              </v:shape>
            </v:group>
            <v:group style="position:absolute;left:1848;top:13274;width:442;height:624" coordorigin="1848,13274" coordsize="442,624">
              <v:shape style="position:absolute;left:1848;top:13274;width:442;height:624" coordorigin="1848,13274" coordsize="442,624" path="m1848,13898l2290,13898,2290,13274,1848,13274,1848,13898xe" filled="true" fillcolor="#ffffff" stroked="false">
                <v:path arrowok="t"/>
                <v:fill type="solid"/>
              </v:shape>
            </v:group>
            <w10:wrap type="none"/>
          </v:group>
        </w:pict>
      </w:r>
      <w:r>
        <w:rPr/>
        <w:pict>
          <v:group style="position:absolute;margin-left:92.424004pt;margin-top:714.455994pt;width:22.1pt;height:31.25pt;mso-position-horizontal-relative:page;mso-position-vertical-relative:page;z-index:-1233280" coordorigin="1848,14289" coordsize="442,625">
            <v:shape style="position:absolute;left:1848;top:14289;width:442;height:625" coordorigin="1848,14289" coordsize="442,625" path="m1848,14914l2290,14914,2290,14289,1848,14289,1848,1491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98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38"/>
              <w:jc w:val="both"/>
              <w:rPr>
                <w:rFonts w:ascii="宋体" w:hAnsi="宋体" w:cs="宋体" w:eastAsia="宋体" w:hint="default"/>
                <w:sz w:val="18"/>
                <w:szCs w:val="18"/>
              </w:rPr>
            </w:pP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广东华</w:t>
            </w:r>
            <w:r>
              <w:rPr>
                <w:rFonts w:ascii="宋体" w:hAnsi="宋体" w:cs="宋体" w:eastAsia="宋体" w:hint="default"/>
                <w:spacing w:val="-33"/>
                <w:sz w:val="18"/>
                <w:szCs w:val="18"/>
              </w:rPr>
              <w:t> </w:t>
            </w:r>
            <w:r>
              <w:rPr>
                <w:rFonts w:ascii="宋体" w:hAnsi="宋体" w:cs="宋体" w:eastAsia="宋体" w:hint="default"/>
                <w:spacing w:val="38"/>
                <w:sz w:val="18"/>
                <w:szCs w:val="18"/>
              </w:rPr>
              <w:t>兴银行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保本保 </w:t>
            </w:r>
            <w:r>
              <w:rPr>
                <w:rFonts w:ascii="宋体" w:hAnsi="宋体" w:cs="宋体" w:eastAsia="宋体" w:hint="default"/>
                <w:sz w:val="18"/>
                <w:szCs w:val="18"/>
              </w:rPr>
              <w:t>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38.22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38.22</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广东华</w:t>
            </w:r>
            <w:r>
              <w:rPr>
                <w:rFonts w:ascii="宋体" w:hAnsi="宋体" w:cs="宋体" w:eastAsia="宋体" w:hint="default"/>
                <w:spacing w:val="-33"/>
                <w:sz w:val="18"/>
                <w:szCs w:val="18"/>
              </w:rPr>
              <w:t> </w:t>
            </w:r>
            <w:r>
              <w:rPr>
                <w:rFonts w:ascii="宋体" w:hAnsi="宋体" w:cs="宋体" w:eastAsia="宋体" w:hint="default"/>
                <w:spacing w:val="38"/>
                <w:sz w:val="18"/>
                <w:szCs w:val="18"/>
              </w:rPr>
              <w:t>兴银行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广州分</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保本保 </w:t>
            </w:r>
            <w:r>
              <w:rPr>
                <w:rFonts w:ascii="宋体" w:hAnsi="宋体" w:cs="宋体" w:eastAsia="宋体" w:hint="default"/>
                <w:sz w:val="18"/>
                <w:szCs w:val="18"/>
              </w:rPr>
              <w:t>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37.81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交通银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天河支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保本保 </w:t>
            </w:r>
            <w:r>
              <w:rPr>
                <w:rFonts w:ascii="宋体" w:hAnsi="宋体" w:cs="宋体" w:eastAsia="宋体" w:hint="default"/>
                <w:sz w:val="18"/>
                <w:szCs w:val="18"/>
              </w:rPr>
              <w:t>收益型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39.12</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180.27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145.85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145.85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63.51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211.73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211.73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211.73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73"/>
              <w:ind w:left="24" w:right="-52"/>
              <w:jc w:val="left"/>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z w:val="18"/>
                <w:szCs w:val="18"/>
              </w:rPr>
            </w:r>
          </w:p>
        </w:tc>
        <w:tc>
          <w:tcPr>
            <w:tcW w:w="454"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4"/>
                <w:sz w:val="18"/>
                <w:szCs w:val="18"/>
              </w:rPr>
              <w:t>保本浮</w:t>
            </w:r>
            <w:r>
              <w:rPr>
                <w:rFonts w:ascii="宋体" w:hAnsi="宋体" w:cs="宋体" w:eastAsia="宋体" w:hint="default"/>
                <w:sz w:val="18"/>
                <w:szCs w:val="18"/>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6"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5"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110.90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110.90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92.424004pt;margin-top:72.475983pt;width:22.1pt;height:96.15pt;mso-position-horizontal-relative:page;mso-position-vertical-relative:page;z-index:-1233256" coordorigin="1848,1450" coordsize="442,1923">
            <v:group style="position:absolute;left:1848;top:1450;width:442;height:1290" coordorigin="1848,1450" coordsize="442,1290">
              <v:shape style="position:absolute;left:1848;top:1450;width:442;height:1290" coordorigin="1848,1450" coordsize="442,1290" path="m1848,2739l2290,2739,2290,1450,1848,1450,1848,2739xe" filled="true" fillcolor="#ffffff" stroked="false">
                <v:path arrowok="t"/>
                <v:fill type="solid"/>
              </v:shape>
            </v:group>
            <v:group style="position:absolute;left:1848;top:2748;width:442;height:624" coordorigin="1848,2748" coordsize="442,624">
              <v:shape style="position:absolute;left:1848;top:2748;width:442;height:624" coordorigin="1848,2748" coordsize="442,624" path="m1848,3372l2290,3372,2290,2748,1848,2748,1848,3372xe" filled="true" fillcolor="#ffffff" stroked="false">
                <v:path arrowok="t"/>
                <v:fill type="solid"/>
              </v:shape>
            </v:group>
            <w10:wrap type="none"/>
          </v:group>
        </w:pict>
      </w:r>
      <w:r>
        <w:rPr/>
        <w:pict>
          <v:group style="position:absolute;margin-left:92.424004pt;margin-top:188.179977pt;width:22.1pt;height:62.95pt;mso-position-horizontal-relative:page;mso-position-vertical-relative:page;z-index:-1233232" coordorigin="1848,3764" coordsize="442,1259">
            <v:group style="position:absolute;left:1848;top:3764;width:442;height:624" coordorigin="1848,3764" coordsize="442,624">
              <v:shape style="position:absolute;left:1848;top:3764;width:442;height:624" coordorigin="1848,3764" coordsize="442,624" path="m1848,4388l2290,4388,2290,3764,1848,3764,1848,4388xe" filled="true" fillcolor="#ffffff" stroked="false">
                <v:path arrowok="t"/>
                <v:fill type="solid"/>
              </v:shape>
            </v:group>
            <v:group style="position:absolute;left:1848;top:4397;width:442;height:625" coordorigin="1848,4397" coordsize="442,625">
              <v:shape style="position:absolute;left:1848;top:4397;width:442;height:625" coordorigin="1848,4397" coordsize="442,625" path="m1848,5022l2290,5022,2290,4397,1848,4397,1848,5022xe" filled="true" fillcolor="#ffffff" stroked="false">
                <v:path arrowok="t"/>
                <v:fill type="solid"/>
              </v:shape>
            </v:group>
            <w10:wrap type="none"/>
          </v:group>
        </w:pict>
      </w:r>
      <w:r>
        <w:rPr/>
        <w:pict>
          <v:group style="position:absolute;margin-left:92.424004pt;margin-top:270.769989pt;width:22.1pt;height:70.7pt;mso-position-horizontal-relative:page;mso-position-vertical-relative:page;z-index:-1233208" coordorigin="1848,5415" coordsize="442,1414">
            <v:group style="position:absolute;left:1848;top:5415;width:442;height:624" coordorigin="1848,5415" coordsize="442,624">
              <v:shape style="position:absolute;left:1848;top:5415;width:442;height:624" coordorigin="1848,5415" coordsize="442,624" path="m1848,6039l2290,6039,2290,5415,1848,5415,1848,6039xe" filled="true" fillcolor="#ffffff" stroked="false">
                <v:path arrowok="t"/>
                <v:fill type="solid"/>
              </v:shape>
            </v:group>
            <v:group style="position:absolute;left:1848;top:6049;width:442;height:780" coordorigin="1848,6049" coordsize="442,780">
              <v:shape style="position:absolute;left:1848;top:6049;width:442;height:780" coordorigin="1848,6049" coordsize="442,780" path="m1848,6829l2290,6829,2290,6049,1848,6049,1848,6829xe" filled="true" fillcolor="#ffffff" stroked="false">
                <v:path arrowok="t"/>
                <v:fill type="solid"/>
              </v:shape>
            </v:group>
            <w10:wrap type="none"/>
          </v:group>
        </w:pict>
      </w:r>
      <w:r>
        <w:rPr/>
        <w:pict>
          <v:group style="position:absolute;margin-left:92.424004pt;margin-top:361.009979pt;width:22.1pt;height:78.5pt;mso-position-horizontal-relative:page;mso-position-vertical-relative:page;z-index:-1233184" coordorigin="1848,7220" coordsize="442,1570">
            <v:group style="position:absolute;left:1848;top:7220;width:442;height:780" coordorigin="1848,7220" coordsize="442,780">
              <v:shape style="position:absolute;left:1848;top:7220;width:442;height:780" coordorigin="1848,7220" coordsize="442,780" path="m1848,8000l2290,8000,2290,7220,1848,7220,1848,8000xe" filled="true" fillcolor="#ffffff" stroked="false">
                <v:path arrowok="t"/>
                <v:fill type="solid"/>
              </v:shape>
            </v:group>
            <v:group style="position:absolute;left:1848;top:8010;width:442;height:781" coordorigin="1848,8010" coordsize="442,781">
              <v:shape style="position:absolute;left:1848;top:8010;width:442;height:781" coordorigin="1848,8010" coordsize="442,781" path="m1848,8790l2290,8790,2290,8010,1848,8010,1848,8790xe" filled="true" fillcolor="#ffffff" stroked="false">
                <v:path arrowok="t"/>
                <v:fill type="solid"/>
              </v:shape>
            </v:group>
            <w10:wrap type="none"/>
          </v:group>
        </w:pict>
      </w:r>
      <w:r>
        <w:rPr/>
        <w:pict>
          <v:group style="position:absolute;margin-left:92.424004pt;margin-top:459.189972pt;width:22.1pt;height:78.5pt;mso-position-horizontal-relative:page;mso-position-vertical-relative:page;z-index:-1233160" coordorigin="1848,9184" coordsize="442,1570">
            <v:group style="position:absolute;left:1848;top:9184;width:442;height:780" coordorigin="1848,9184" coordsize="442,780">
              <v:shape style="position:absolute;left:1848;top:9184;width:442;height:780" coordorigin="1848,9184" coordsize="442,780" path="m1848,9964l2290,9964,2290,9184,1848,9184,1848,9964xe" filled="true" fillcolor="#ffffff" stroked="false">
                <v:path arrowok="t"/>
                <v:fill type="solid"/>
              </v:shape>
            </v:group>
            <v:group style="position:absolute;left:1848;top:9973;width:442;height:780" coordorigin="1848,9973" coordsize="442,780">
              <v:shape style="position:absolute;left:1848;top:9973;width:442;height:780" coordorigin="1848,9973" coordsize="442,780" path="m1848,10753l2290,10753,2290,9973,1848,9973,1848,10753xe" filled="true" fillcolor="#ffffff" stroked="false">
                <v:path arrowok="t"/>
                <v:fill type="solid"/>
              </v:shape>
            </v:group>
            <w10:wrap type="none"/>
          </v:group>
        </w:pict>
      </w:r>
      <w:r>
        <w:rPr/>
        <w:pict>
          <v:group style="position:absolute;margin-left:92.424004pt;margin-top:557.235962pt;width:22.1pt;height:78.55pt;mso-position-horizontal-relative:page;mso-position-vertical-relative:page;z-index:-1233136" coordorigin="1848,11145" coordsize="442,1571">
            <v:group style="position:absolute;left:1848;top:11145;width:442;height:781" coordorigin="1848,11145" coordsize="442,781">
              <v:shape style="position:absolute;left:1848;top:11145;width:442;height:781" coordorigin="1848,11145" coordsize="442,781" path="m1848,11925l2290,11925,2290,11145,1848,11145,1848,11925xe" filled="true" fillcolor="#ffffff" stroked="false">
                <v:path arrowok="t"/>
                <v:fill type="solid"/>
              </v:shape>
            </v:group>
            <v:group style="position:absolute;left:1848;top:11935;width:442;height:780" coordorigin="1848,11935" coordsize="442,780">
              <v:shape style="position:absolute;left:1848;top:11935;width:442;height:780" coordorigin="1848,11935" coordsize="442,780" path="m1848,12715l2290,12715,2290,11935,1848,11935,1848,12715xe" filled="true" fillcolor="#ffffff" stroked="false">
                <v:path arrowok="t"/>
                <v:fill type="solid"/>
              </v:shape>
            </v:group>
            <w10:wrap type="none"/>
          </v:group>
        </w:pict>
      </w:r>
      <w:r>
        <w:rPr/>
        <w:pict>
          <v:group style="position:absolute;margin-left:92.424004pt;margin-top:655.419983pt;width:22.1pt;height:62.9pt;mso-position-horizontal-relative:page;mso-position-vertical-relative:page;z-index:-1233112" coordorigin="1848,13108" coordsize="442,1258">
            <v:group style="position:absolute;left:1848;top:13108;width:442;height:780" coordorigin="1848,13108" coordsize="442,780">
              <v:shape style="position:absolute;left:1848;top:13108;width:442;height:780" coordorigin="1848,13108" coordsize="442,780" path="m1848,13888l2290,13888,2290,13108,1848,13108,1848,13888xe" filled="true" fillcolor="#ffffff" stroked="false">
                <v:path arrowok="t"/>
                <v:fill type="solid"/>
              </v:shape>
            </v:group>
            <v:group style="position:absolute;left:1848;top:13898;width:442;height:468" coordorigin="1848,13898" coordsize="442,468">
              <v:shape style="position:absolute;left:1848;top:13898;width:442;height:468" coordorigin="1848,13898" coordsize="442,468" path="m1848,14366l2290,14366,2290,13898,1848,13898,1848,14366xe" filled="true" fillcolor="#ffffff" stroked="false">
                <v:path arrowok="t"/>
                <v:fill type="solid"/>
              </v:shape>
            </v:group>
            <w10:wrap type="none"/>
          </v:group>
        </w:pict>
      </w:r>
      <w:r>
        <w:rPr/>
        <w:pict>
          <v:group style="position:absolute;margin-left:92.424004pt;margin-top:737.880005pt;width:22.1pt;height:23.4pt;mso-position-horizontal-relative:page;mso-position-vertical-relative:page;z-index:-1233088" coordorigin="1848,14758" coordsize="442,468">
            <v:shape style="position:absolute;left:1848;top:14758;width:442;height:468" coordorigin="1848,14758" coordsize="442,468" path="m1848,15226l2290,15226,2290,14758,1848,14758,1848,1522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129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38"/>
              <w:jc w:val="both"/>
              <w:rPr>
                <w:rFonts w:ascii="宋体" w:hAnsi="宋体" w:cs="宋体" w:eastAsia="宋体" w:hint="default"/>
                <w:sz w:val="18"/>
                <w:szCs w:val="18"/>
              </w:rPr>
            </w:pP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pacing w:val="4"/>
                <w:sz w:val="18"/>
                <w:szCs w:val="18"/>
              </w:rPr>
              <w:t>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214.03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214.03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46"/>
              <w:jc w:val="both"/>
              <w:rPr>
                <w:rFonts w:ascii="宋体" w:hAnsi="宋体" w:cs="宋体" w:eastAsia="宋体" w:hint="default"/>
                <w:sz w:val="18"/>
                <w:szCs w:val="18"/>
              </w:rPr>
            </w:pPr>
            <w:r>
              <w:rPr>
                <w:rFonts w:ascii="宋体" w:hAnsi="宋体" w:cs="宋体" w:eastAsia="宋体" w:hint="default"/>
                <w:spacing w:val="38"/>
                <w:sz w:val="18"/>
                <w:szCs w:val="18"/>
              </w:rPr>
              <w:t>广州农</w:t>
            </w:r>
            <w:r>
              <w:rPr>
                <w:rFonts w:ascii="宋体" w:hAnsi="宋体" w:cs="宋体" w:eastAsia="宋体" w:hint="default"/>
                <w:spacing w:val="-33"/>
                <w:sz w:val="18"/>
                <w:szCs w:val="18"/>
              </w:rPr>
              <w:t> </w:t>
            </w:r>
            <w:r>
              <w:rPr>
                <w:rFonts w:ascii="宋体" w:hAnsi="宋体" w:cs="宋体" w:eastAsia="宋体" w:hint="default"/>
                <w:spacing w:val="38"/>
                <w:sz w:val="18"/>
                <w:szCs w:val="18"/>
              </w:rPr>
              <w:t>商银行</w:t>
            </w:r>
            <w:r>
              <w:rPr>
                <w:rFonts w:ascii="宋体" w:hAnsi="宋体" w:cs="宋体" w:eastAsia="宋体" w:hint="default"/>
                <w:spacing w:val="-33"/>
                <w:sz w:val="18"/>
                <w:szCs w:val="18"/>
              </w:rPr>
              <w:t> </w:t>
            </w:r>
            <w:r>
              <w:rPr>
                <w:rFonts w:ascii="宋体" w:hAnsi="宋体" w:cs="宋体" w:eastAsia="宋体" w:hint="default"/>
                <w:spacing w:val="38"/>
                <w:sz w:val="18"/>
                <w:szCs w:val="18"/>
              </w:rPr>
              <w:t>华夏支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118.14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118.14</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93.70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中国建</w:t>
            </w:r>
            <w:r>
              <w:rPr>
                <w:rFonts w:ascii="宋体" w:hAnsi="宋体" w:cs="宋体" w:eastAsia="宋体" w:hint="default"/>
                <w:spacing w:val="-33"/>
                <w:sz w:val="18"/>
                <w:szCs w:val="18"/>
              </w:rPr>
              <w:t> </w:t>
            </w:r>
            <w:r>
              <w:rPr>
                <w:rFonts w:ascii="宋体" w:hAnsi="宋体" w:cs="宋体" w:eastAsia="宋体" w:hint="default"/>
                <w:spacing w:val="38"/>
                <w:sz w:val="18"/>
                <w:szCs w:val="18"/>
              </w:rPr>
              <w:t>设银行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广东省</w:t>
            </w:r>
            <w:r>
              <w:rPr>
                <w:rFonts w:ascii="宋体" w:hAnsi="宋体" w:cs="宋体" w:eastAsia="宋体" w:hint="default"/>
                <w:spacing w:val="-33"/>
                <w:sz w:val="18"/>
                <w:szCs w:val="18"/>
              </w:rPr>
              <w:t> </w:t>
            </w:r>
            <w:r>
              <w:rPr>
                <w:rFonts w:ascii="宋体" w:hAnsi="宋体" w:cs="宋体" w:eastAsia="宋体" w:hint="default"/>
                <w:sz w:val="18"/>
                <w:szCs w:val="18"/>
              </w:rPr>
              <w:t>分行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43.88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兴业银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越秀支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106.03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106.03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106.03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兴业银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越秀支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115.89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115.89</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319" w:lineRule="auto" w:before="70"/>
              <w:ind w:left="24" w:right="-52"/>
              <w:jc w:val="both"/>
              <w:rPr>
                <w:rFonts w:ascii="宋体" w:hAnsi="宋体" w:cs="宋体" w:eastAsia="宋体" w:hint="default"/>
                <w:sz w:val="18"/>
                <w:szCs w:val="18"/>
              </w:rPr>
            </w:pPr>
            <w:r>
              <w:rPr>
                <w:rFonts w:ascii="宋体" w:hAnsi="宋体" w:cs="宋体" w:eastAsia="宋体" w:hint="default"/>
                <w:spacing w:val="38"/>
                <w:sz w:val="18"/>
                <w:szCs w:val="18"/>
              </w:rPr>
              <w:t>兴业银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z w:val="18"/>
                <w:szCs w:val="18"/>
              </w:rPr>
            </w:r>
          </w:p>
        </w:tc>
        <w:tc>
          <w:tcPr>
            <w:tcW w:w="454"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125.75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92.424004pt;margin-top:72.475983pt;width:22.1pt;height:72.75pt;mso-position-horizontal-relative:page;mso-position-vertical-relative:page;z-index:-1233064" coordorigin="1848,1450" coordsize="442,1455">
            <v:group style="position:absolute;left:1848;top:1450;width:442;height:666" coordorigin="1848,1450" coordsize="442,666">
              <v:shape style="position:absolute;left:1848;top:1450;width:442;height:666" coordorigin="1848,1450" coordsize="442,666" path="m1848,2115l2290,2115,2290,1450,1848,1450,1848,2115xe" filled="true" fillcolor="#ffffff" stroked="false">
                <v:path arrowok="t"/>
                <v:fill type="solid"/>
              </v:shape>
            </v:group>
            <v:group style="position:absolute;left:1848;top:2124;width:442;height:780" coordorigin="1848,2124" coordsize="442,780">
              <v:shape style="position:absolute;left:1848;top:2124;width:442;height:780" coordorigin="1848,2124" coordsize="442,780" path="m1848,2904l2290,2904,2290,2124,1848,2124,1848,2904xe" filled="true" fillcolor="#ffffff" stroked="false">
                <v:path arrowok="t"/>
                <v:fill type="solid"/>
              </v:shape>
            </v:group>
            <w10:wrap type="none"/>
          </v:group>
        </w:pict>
      </w:r>
      <w:r>
        <w:rPr/>
        <w:pict>
          <v:group style="position:absolute;margin-left:92.424004pt;margin-top:164.779984pt;width:22.1pt;height:78.5pt;mso-position-horizontal-relative:page;mso-position-vertical-relative:page;z-index:-1233040" coordorigin="1848,3296" coordsize="442,1570">
            <v:group style="position:absolute;left:1848;top:3296;width:442;height:780" coordorigin="1848,3296" coordsize="442,780">
              <v:shape style="position:absolute;left:1848;top:3296;width:442;height:780" coordorigin="1848,3296" coordsize="442,780" path="m1848,4076l2290,4076,2290,3296,1848,3296,1848,4076xe" filled="true" fillcolor="#ffffff" stroked="false">
                <v:path arrowok="t"/>
                <v:fill type="solid"/>
              </v:shape>
            </v:group>
            <v:group style="position:absolute;left:1848;top:4085;width:442;height:780" coordorigin="1848,4085" coordsize="442,780">
              <v:shape style="position:absolute;left:1848;top:4085;width:442;height:780" coordorigin="1848,4085" coordsize="442,780" path="m1848,4865l2290,4865,2290,4085,1848,4085,1848,4865xe" filled="true" fillcolor="#ffffff" stroked="false">
                <v:path arrowok="t"/>
                <v:fill type="solid"/>
              </v:shape>
            </v:group>
            <w10:wrap type="none"/>
          </v:group>
        </w:pict>
      </w:r>
      <w:r>
        <w:rPr/>
        <w:pict>
          <v:group style="position:absolute;margin-left:92.424004pt;margin-top:262.969971pt;width:22.1pt;height:78.5pt;mso-position-horizontal-relative:page;mso-position-vertical-relative:page;z-index:-1233016" coordorigin="1848,5259" coordsize="442,1570">
            <v:group style="position:absolute;left:1848;top:5259;width:442;height:780" coordorigin="1848,5259" coordsize="442,780">
              <v:shape style="position:absolute;left:1848;top:5259;width:442;height:780" coordorigin="1848,5259" coordsize="442,780" path="m1848,6039l2290,6039,2290,5259,1848,5259,1848,6039xe" filled="true" fillcolor="#ffffff" stroked="false">
                <v:path arrowok="t"/>
                <v:fill type="solid"/>
              </v:shape>
            </v:group>
            <v:group style="position:absolute;left:1848;top:6049;width:442;height:780" coordorigin="1848,6049" coordsize="442,780">
              <v:shape style="position:absolute;left:1848;top:6049;width:442;height:780" coordorigin="1848,6049" coordsize="442,780" path="m1848,6829l2290,6829,2290,6049,1848,6049,1848,6829xe" filled="true" fillcolor="#ffffff" stroked="false">
                <v:path arrowok="t"/>
                <v:fill type="solid"/>
              </v:shape>
            </v:group>
            <w10:wrap type="none"/>
          </v:group>
        </w:pict>
      </w:r>
      <w:r>
        <w:rPr/>
        <w:pict>
          <v:group style="position:absolute;margin-left:92.424004pt;margin-top:361.009979pt;width:22.1pt;height:78.5pt;mso-position-horizontal-relative:page;mso-position-vertical-relative:page;z-index:-1232992" coordorigin="1848,7220" coordsize="442,1570">
            <v:group style="position:absolute;left:1848;top:7220;width:442;height:780" coordorigin="1848,7220" coordsize="442,780">
              <v:shape style="position:absolute;left:1848;top:7220;width:442;height:780" coordorigin="1848,7220" coordsize="442,780" path="m1848,8000l2290,8000,2290,7220,1848,7220,1848,8000xe" filled="true" fillcolor="#ffffff" stroked="false">
                <v:path arrowok="t"/>
                <v:fill type="solid"/>
              </v:shape>
            </v:group>
            <v:group style="position:absolute;left:1848;top:8010;width:442;height:781" coordorigin="1848,8010" coordsize="442,781">
              <v:shape style="position:absolute;left:1848;top:8010;width:442;height:781" coordorigin="1848,8010" coordsize="442,781" path="m1848,8790l2290,8790,2290,8010,1848,8010,1848,8790xe" filled="true" fillcolor="#ffffff" stroked="false">
                <v:path arrowok="t"/>
                <v:fill type="solid"/>
              </v:shape>
            </v:group>
            <w10:wrap type="none"/>
          </v:group>
        </w:pict>
      </w:r>
      <w:r>
        <w:rPr/>
        <w:pict>
          <v:group style="position:absolute;margin-left:92.424004pt;margin-top:459.189972pt;width:22.1pt;height:78.5pt;mso-position-horizontal-relative:page;mso-position-vertical-relative:page;z-index:-1232968" coordorigin="1848,9184" coordsize="442,1570">
            <v:group style="position:absolute;left:1848;top:9184;width:442;height:780" coordorigin="1848,9184" coordsize="442,780">
              <v:shape style="position:absolute;left:1848;top:9184;width:442;height:780" coordorigin="1848,9184" coordsize="442,780" path="m1848,9964l2290,9964,2290,9184,1848,9184,1848,9964xe" filled="true" fillcolor="#ffffff" stroked="false">
                <v:path arrowok="t"/>
                <v:fill type="solid"/>
              </v:shape>
            </v:group>
            <v:group style="position:absolute;left:1848;top:9973;width:442;height:780" coordorigin="1848,9973" coordsize="442,780">
              <v:shape style="position:absolute;left:1848;top:9973;width:442;height:780" coordorigin="1848,9973" coordsize="442,780" path="m1848,10753l2290,10753,2290,9973,1848,9973,1848,10753xe" filled="true" fillcolor="#ffffff" stroked="false">
                <v:path arrowok="t"/>
                <v:fill type="solid"/>
              </v:shape>
            </v:group>
            <w10:wrap type="none"/>
          </v:group>
        </w:pict>
      </w:r>
      <w:r>
        <w:rPr/>
        <w:pict>
          <v:group style="position:absolute;margin-left:92.424004pt;margin-top:557.235962pt;width:22.1pt;height:78.55pt;mso-position-horizontal-relative:page;mso-position-vertical-relative:page;z-index:-1232944" coordorigin="1848,11145" coordsize="442,1571">
            <v:group style="position:absolute;left:1848;top:11145;width:442;height:781" coordorigin="1848,11145" coordsize="442,781">
              <v:shape style="position:absolute;left:1848;top:11145;width:442;height:781" coordorigin="1848,11145" coordsize="442,781" path="m1848,11925l2290,11925,2290,11145,1848,11145,1848,11925xe" filled="true" fillcolor="#ffffff" stroked="false">
                <v:path arrowok="t"/>
                <v:fill type="solid"/>
              </v:shape>
            </v:group>
            <v:group style="position:absolute;left:1848;top:11935;width:442;height:780" coordorigin="1848,11935" coordsize="442,780">
              <v:shape style="position:absolute;left:1848;top:11935;width:442;height:780" coordorigin="1848,11935" coordsize="442,780" path="m1848,12715l2290,12715,2290,11935,1848,11935,1848,12715xe" filled="true" fillcolor="#ffffff" stroked="false">
                <v:path arrowok="t"/>
                <v:fill type="solid"/>
              </v:shape>
            </v:group>
            <w10:wrap type="none"/>
          </v:group>
        </w:pict>
      </w:r>
      <w:r>
        <w:rPr/>
        <w:pict>
          <v:group style="position:absolute;margin-left:92.424004pt;margin-top:655.419983pt;width:22.1pt;height:62.9pt;mso-position-horizontal-relative:page;mso-position-vertical-relative:page;z-index:-1232920" coordorigin="1848,13108" coordsize="442,1258">
            <v:group style="position:absolute;left:1848;top:13108;width:442;height:780" coordorigin="1848,13108" coordsize="442,780">
              <v:shape style="position:absolute;left:1848;top:13108;width:442;height:780" coordorigin="1848,13108" coordsize="442,780" path="m1848,13888l2290,13888,2290,13108,1848,13108,1848,13888xe" filled="true" fillcolor="#ffffff" stroked="false">
                <v:path arrowok="t"/>
                <v:fill type="solid"/>
              </v:shape>
            </v:group>
            <v:group style="position:absolute;left:1848;top:13898;width:442;height:468" coordorigin="1848,13898" coordsize="442,468">
              <v:shape style="position:absolute;left:1848;top:13898;width:442;height:468" coordorigin="1848,13898" coordsize="442,468" path="m1848,14366l2290,14366,2290,13898,1848,13898,1848,14366xe" filled="true" fillcolor="#ffffff" stroked="false">
                <v:path arrowok="t"/>
                <v:fill type="solid"/>
              </v:shape>
            </v:group>
            <w10:wrap type="none"/>
          </v:group>
        </w:pict>
      </w:r>
      <w:r>
        <w:rPr/>
        <w:pict>
          <v:group style="position:absolute;margin-left:92.424004pt;margin-top:737.880005pt;width:22.1pt;height:23.4pt;mso-position-horizontal-relative:page;mso-position-vertical-relative:page;z-index:-1232896" coordorigin="1848,14758" coordsize="442,468">
            <v:shape style="position:absolute;left:1848;top:14758;width:442;height:468" coordorigin="1848,14758" coordsize="442,468" path="m1848,15226l2290,15226,2290,14758,1848,14758,1848,1522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38"/>
              <w:jc w:val="left"/>
              <w:rPr>
                <w:rFonts w:ascii="宋体" w:hAnsi="宋体" w:cs="宋体" w:eastAsia="宋体" w:hint="default"/>
                <w:sz w:val="18"/>
                <w:szCs w:val="18"/>
              </w:rPr>
            </w:pPr>
            <w:r>
              <w:rPr>
                <w:rFonts w:ascii="宋体" w:hAnsi="宋体" w:cs="宋体" w:eastAsia="宋体" w:hint="default"/>
                <w:spacing w:val="38"/>
                <w:sz w:val="18"/>
                <w:szCs w:val="18"/>
              </w:rPr>
              <w:t>越秀支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中国农</w:t>
            </w:r>
            <w:r>
              <w:rPr>
                <w:rFonts w:ascii="宋体" w:hAnsi="宋体" w:cs="宋体" w:eastAsia="宋体" w:hint="default"/>
                <w:spacing w:val="-33"/>
                <w:sz w:val="18"/>
                <w:szCs w:val="18"/>
              </w:rPr>
              <w:t> </w:t>
            </w:r>
            <w:r>
              <w:rPr>
                <w:rFonts w:ascii="宋体" w:hAnsi="宋体" w:cs="宋体" w:eastAsia="宋体" w:hint="default"/>
                <w:spacing w:val="38"/>
                <w:sz w:val="18"/>
                <w:szCs w:val="18"/>
              </w:rPr>
              <w:t>业银行</w:t>
            </w:r>
            <w:r>
              <w:rPr>
                <w:rFonts w:ascii="宋体" w:hAnsi="宋体" w:cs="宋体" w:eastAsia="宋体" w:hint="default"/>
                <w:spacing w:val="-33"/>
                <w:sz w:val="18"/>
                <w:szCs w:val="18"/>
              </w:rPr>
              <w:t> </w:t>
            </w:r>
            <w:r>
              <w:rPr>
                <w:rFonts w:ascii="宋体" w:hAnsi="宋体" w:cs="宋体" w:eastAsia="宋体" w:hint="default"/>
                <w:spacing w:val="38"/>
                <w:sz w:val="18"/>
                <w:szCs w:val="18"/>
              </w:rPr>
              <w:t>股份有</w:t>
            </w:r>
            <w:r>
              <w:rPr>
                <w:rFonts w:ascii="宋体" w:hAnsi="宋体" w:cs="宋体" w:eastAsia="宋体" w:hint="default"/>
                <w:spacing w:val="-33"/>
                <w:sz w:val="18"/>
                <w:szCs w:val="18"/>
              </w:rPr>
              <w:t> </w:t>
            </w:r>
            <w:r>
              <w:rPr>
                <w:rFonts w:ascii="宋体" w:hAnsi="宋体" w:cs="宋体" w:eastAsia="宋体" w:hint="default"/>
                <w:spacing w:val="38"/>
                <w:sz w:val="18"/>
                <w:szCs w:val="18"/>
              </w:rPr>
              <w:t>限公司</w:t>
            </w:r>
            <w:r>
              <w:rPr>
                <w:rFonts w:ascii="宋体" w:hAnsi="宋体" w:cs="宋体" w:eastAsia="宋体" w:hint="default"/>
                <w:spacing w:val="-33"/>
                <w:sz w:val="18"/>
                <w:szCs w:val="18"/>
              </w:rPr>
              <w:t> </w:t>
            </w:r>
            <w:r>
              <w:rPr>
                <w:rFonts w:ascii="宋体" w:hAnsi="宋体" w:cs="宋体" w:eastAsia="宋体" w:hint="default"/>
                <w:spacing w:val="38"/>
                <w:sz w:val="18"/>
                <w:szCs w:val="18"/>
              </w:rPr>
              <w:t>广州员</w:t>
            </w:r>
            <w:r>
              <w:rPr>
                <w:rFonts w:ascii="宋体" w:hAnsi="宋体" w:cs="宋体" w:eastAsia="宋体" w:hint="default"/>
                <w:spacing w:val="-33"/>
                <w:sz w:val="18"/>
                <w:szCs w:val="18"/>
              </w:rPr>
              <w:t> </w:t>
            </w:r>
            <w:r>
              <w:rPr>
                <w:rFonts w:ascii="宋体" w:hAnsi="宋体" w:cs="宋体" w:eastAsia="宋体" w:hint="default"/>
                <w:sz w:val="18"/>
                <w:szCs w:val="18"/>
              </w:rPr>
              <w:t>村支行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26.30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7"/>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59.07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130.19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130.19</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57.95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8" w:type="dxa"/>
            <w:tcBorders>
              <w:top w:val="single" w:sz="4" w:space="0" w:color="000000"/>
              <w:left w:val="single" w:sz="4" w:space="0" w:color="000000"/>
              <w:bottom w:val="single" w:sz="4" w:space="0" w:color="000000"/>
              <w:right w:val="single" w:sz="14" w:space="0" w:color="FFFFFF"/>
            </w:tcBorders>
          </w:tcPr>
          <w:p>
            <w:pPr>
              <w:pStyle w:val="TableParagraph"/>
              <w:spacing w:line="319" w:lineRule="auto" w:before="70"/>
              <w:ind w:left="24" w:right="-52"/>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z w:val="18"/>
                <w:szCs w:val="18"/>
              </w:rPr>
            </w:r>
          </w:p>
        </w:tc>
        <w:tc>
          <w:tcPr>
            <w:tcW w:w="454"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141.10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92.424004pt;margin-top:72.475983pt;width:22.1pt;height:72.75pt;mso-position-horizontal-relative:page;mso-position-vertical-relative:page;z-index:-1232872" coordorigin="1848,1450" coordsize="442,1455">
            <v:group style="position:absolute;left:1848;top:1450;width:442;height:666" coordorigin="1848,1450" coordsize="442,666">
              <v:shape style="position:absolute;left:1848;top:1450;width:442;height:666" coordorigin="1848,1450" coordsize="442,666" path="m1848,2115l2290,2115,2290,1450,1848,1450,1848,2115xe" filled="true" fillcolor="#ffffff" stroked="false">
                <v:path arrowok="t"/>
                <v:fill type="solid"/>
              </v:shape>
            </v:group>
            <v:group style="position:absolute;left:1848;top:2124;width:442;height:780" coordorigin="1848,2124" coordsize="442,780">
              <v:shape style="position:absolute;left:1848;top:2124;width:442;height:780" coordorigin="1848,2124" coordsize="442,780" path="m1848,2904l2290,2904,2290,2124,1848,2124,1848,2904xe" filled="true" fillcolor="#ffffff" stroked="false">
                <v:path arrowok="t"/>
                <v:fill type="solid"/>
              </v:shape>
            </v:group>
            <w10:wrap type="none"/>
          </v:group>
        </w:pict>
      </w:r>
      <w:r>
        <w:rPr/>
        <w:pict>
          <v:group style="position:absolute;margin-left:92.424004pt;margin-top:164.779984pt;width:22.1pt;height:78.5pt;mso-position-horizontal-relative:page;mso-position-vertical-relative:page;z-index:-1232848" coordorigin="1848,3296" coordsize="442,1570">
            <v:group style="position:absolute;left:1848;top:3296;width:442;height:780" coordorigin="1848,3296" coordsize="442,780">
              <v:shape style="position:absolute;left:1848;top:3296;width:442;height:780" coordorigin="1848,3296" coordsize="442,780" path="m1848,4076l2290,4076,2290,3296,1848,3296,1848,4076xe" filled="true" fillcolor="#ffffff" stroked="false">
                <v:path arrowok="t"/>
                <v:fill type="solid"/>
              </v:shape>
            </v:group>
            <v:group style="position:absolute;left:1848;top:4085;width:442;height:780" coordorigin="1848,4085" coordsize="442,780">
              <v:shape style="position:absolute;left:1848;top:4085;width:442;height:780" coordorigin="1848,4085" coordsize="442,780" path="m1848,4865l2290,4865,2290,4085,1848,4085,1848,4865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708"/>
        <w:gridCol w:w="454"/>
        <w:gridCol w:w="607"/>
        <w:gridCol w:w="574"/>
        <w:gridCol w:w="562"/>
        <w:gridCol w:w="559"/>
        <w:gridCol w:w="562"/>
        <w:gridCol w:w="562"/>
        <w:gridCol w:w="562"/>
        <w:gridCol w:w="560"/>
        <w:gridCol w:w="562"/>
        <w:gridCol w:w="562"/>
        <w:gridCol w:w="562"/>
        <w:gridCol w:w="548"/>
        <w:gridCol w:w="547"/>
        <w:gridCol w:w="547"/>
        <w:gridCol w:w="538"/>
      </w:tblGrid>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38"/>
              <w:jc w:val="left"/>
              <w:rPr>
                <w:rFonts w:ascii="宋体" w:hAnsi="宋体" w:cs="宋体" w:eastAsia="宋体" w:hint="default"/>
                <w:sz w:val="18"/>
                <w:szCs w:val="18"/>
              </w:rPr>
            </w:pP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工商银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员村支</w:t>
            </w:r>
            <w:r>
              <w:rPr>
                <w:rFonts w:ascii="宋体" w:hAnsi="宋体" w:cs="宋体" w:eastAsia="宋体" w:hint="default"/>
                <w:spacing w:val="-33"/>
                <w:sz w:val="18"/>
                <w:szCs w:val="18"/>
              </w:rPr>
              <w:t> </w:t>
            </w:r>
            <w:r>
              <w:rPr>
                <w:rFonts w:ascii="宋体" w:hAnsi="宋体" w:cs="宋体" w:eastAsia="宋体" w:hint="default"/>
                <w:sz w:val="18"/>
                <w:szCs w:val="18"/>
              </w:rPr>
              <w:t>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招行银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南方报</w:t>
            </w:r>
            <w:r>
              <w:rPr>
                <w:rFonts w:ascii="宋体" w:hAnsi="宋体" w:cs="宋体" w:eastAsia="宋体" w:hint="default"/>
                <w:spacing w:val="-33"/>
                <w:sz w:val="18"/>
                <w:szCs w:val="18"/>
              </w:rPr>
              <w:t> </w:t>
            </w:r>
            <w:r>
              <w:rPr>
                <w:rFonts w:ascii="宋体" w:hAnsi="宋体" w:cs="宋体" w:eastAsia="宋体" w:hint="default"/>
                <w:sz w:val="18"/>
                <w:szCs w:val="18"/>
              </w:rPr>
              <w:t>业支行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7"/>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61.84</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pacing w:val="38"/>
                <w:sz w:val="18"/>
                <w:szCs w:val="18"/>
              </w:rPr>
              <w:t>招行银</w:t>
            </w:r>
            <w:r>
              <w:rPr>
                <w:rFonts w:ascii="宋体" w:hAnsi="宋体" w:cs="宋体" w:eastAsia="宋体" w:hint="default"/>
                <w:spacing w:val="-33"/>
                <w:sz w:val="18"/>
                <w:szCs w:val="18"/>
              </w:rPr>
              <w:t> </w:t>
            </w:r>
            <w:r>
              <w:rPr>
                <w:rFonts w:ascii="宋体" w:hAnsi="宋体" w:cs="宋体" w:eastAsia="宋体" w:hint="default"/>
                <w:spacing w:val="38"/>
                <w:sz w:val="18"/>
                <w:szCs w:val="18"/>
              </w:rPr>
              <w:t>行股份</w:t>
            </w:r>
            <w:r>
              <w:rPr>
                <w:rFonts w:ascii="宋体" w:hAnsi="宋体" w:cs="宋体" w:eastAsia="宋体" w:hint="default"/>
                <w:spacing w:val="-33"/>
                <w:sz w:val="18"/>
                <w:szCs w:val="18"/>
              </w:rPr>
              <w:t> </w:t>
            </w:r>
            <w:r>
              <w:rPr>
                <w:rFonts w:ascii="宋体" w:hAnsi="宋体" w:cs="宋体" w:eastAsia="宋体" w:hint="default"/>
                <w:spacing w:val="38"/>
                <w:sz w:val="18"/>
                <w:szCs w:val="18"/>
              </w:rPr>
              <w:t>有限公</w:t>
            </w:r>
            <w:r>
              <w:rPr>
                <w:rFonts w:ascii="宋体" w:hAnsi="宋体" w:cs="宋体" w:eastAsia="宋体" w:hint="default"/>
                <w:spacing w:val="-33"/>
                <w:sz w:val="18"/>
                <w:szCs w:val="18"/>
              </w:rPr>
              <w:t> </w:t>
            </w:r>
            <w:r>
              <w:rPr>
                <w:rFonts w:ascii="宋体" w:hAnsi="宋体" w:cs="宋体" w:eastAsia="宋体" w:hint="default"/>
                <w:spacing w:val="38"/>
                <w:sz w:val="18"/>
                <w:szCs w:val="18"/>
              </w:rPr>
              <w:t>司广州</w:t>
            </w:r>
            <w:r>
              <w:rPr>
                <w:rFonts w:ascii="宋体" w:hAnsi="宋体" w:cs="宋体" w:eastAsia="宋体" w:hint="default"/>
                <w:spacing w:val="-33"/>
                <w:sz w:val="18"/>
                <w:szCs w:val="18"/>
              </w:rPr>
              <w:t> </w:t>
            </w:r>
            <w:r>
              <w:rPr>
                <w:rFonts w:ascii="宋体" w:hAnsi="宋体" w:cs="宋体" w:eastAsia="宋体" w:hint="default"/>
                <w:spacing w:val="38"/>
                <w:sz w:val="18"/>
                <w:szCs w:val="18"/>
              </w:rPr>
              <w:t>南方报</w:t>
            </w:r>
            <w:r>
              <w:rPr>
                <w:rFonts w:ascii="宋体" w:hAnsi="宋体" w:cs="宋体" w:eastAsia="宋体" w:hint="default"/>
                <w:spacing w:val="-33"/>
                <w:sz w:val="18"/>
                <w:szCs w:val="18"/>
              </w:rPr>
              <w:t> </w:t>
            </w:r>
            <w:r>
              <w:rPr>
                <w:rFonts w:ascii="宋体" w:hAnsi="宋体" w:cs="宋体" w:eastAsia="宋体" w:hint="default"/>
                <w:sz w:val="18"/>
                <w:szCs w:val="18"/>
              </w:rPr>
              <w:t>业支行</w:t>
            </w:r>
          </w:p>
        </w:tc>
        <w:tc>
          <w:tcPr>
            <w:tcW w:w="45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pacing w:val="4"/>
                <w:sz w:val="18"/>
                <w:szCs w:val="18"/>
              </w:rPr>
              <w:t>保本浮 动收益 </w:t>
            </w:r>
            <w:r>
              <w:rPr>
                <w:rFonts w:ascii="宋体" w:hAnsi="宋体" w:cs="宋体" w:eastAsia="宋体" w:hint="default"/>
                <w:sz w:val="18"/>
                <w:szCs w:val="18"/>
              </w:rPr>
              <w:t>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54"/>
                <w:sz w:val="18"/>
                <w:szCs w:val="18"/>
              </w:rPr>
              <w:t> </w:t>
            </w:r>
            <w:r>
              <w:rPr>
                <w:rFonts w:ascii="宋体" w:hAnsi="宋体" w:cs="宋体" w:eastAsia="宋体" w:hint="default"/>
                <w:sz w:val="18"/>
                <w:szCs w:val="18"/>
              </w:rPr>
              <w:t>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4"/>
                <w:sz w:val="18"/>
                <w:szCs w:val="18"/>
              </w:rPr>
              <w:t> </w:t>
            </w:r>
            <w:r>
              <w:rPr>
                <w:rFonts w:ascii="宋体" w:hAnsi="宋体" w:cs="宋体" w:eastAsia="宋体" w:hint="default"/>
                <w:sz w:val="18"/>
                <w:szCs w:val="18"/>
              </w:rPr>
              <w:t>金</w:t>
            </w:r>
            <w:r>
              <w:rPr>
                <w:rFonts w:ascii="宋体" w:hAnsi="宋体" w:cs="宋体" w:eastAsia="宋体" w:hint="default"/>
                <w:sz w:val="18"/>
                <w:szCs w:val="18"/>
              </w:rPr>
              <w:t>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宋体" w:hAnsi="宋体" w:cs="宋体" w:eastAsia="宋体" w:hint="default"/>
                <w:sz w:val="18"/>
                <w:szCs w:val="18"/>
              </w:rPr>
              <w:t>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54"/>
                <w:sz w:val="18"/>
                <w:szCs w:val="18"/>
              </w:rPr>
              <w:t> </w:t>
            </w:r>
            <w:r>
              <w:rPr>
                <w:rFonts w:ascii="宋体" w:hAnsi="宋体" w:cs="宋体" w:eastAsia="宋体" w:hint="default"/>
                <w:sz w:val="18"/>
                <w:szCs w:val="18"/>
              </w:rPr>
              <w:t>收</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4"/>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8,379.</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6,138.</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19</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group style="position:absolute;margin-left:92.424004pt;margin-top:-173.318268pt;width:22.1pt;height:78.5pt;mso-position-horizontal-relative:page;mso-position-vertical-relative:paragraph;z-index:-1232824" coordorigin="1848,-3466" coordsize="442,1570">
            <v:group style="position:absolute;left:1848;top:-3466;width:442;height:780" coordorigin="1848,-3466" coordsize="442,780">
              <v:shape style="position:absolute;left:1848;top:-3466;width:442;height:780" coordorigin="1848,-3466" coordsize="442,780" path="m1848,-2686l2290,-2686,2290,-3466,1848,-3466,1848,-2686xe" filled="true" fillcolor="#ffffff" stroked="false">
                <v:path arrowok="t"/>
                <v:fill type="solid"/>
              </v:shape>
            </v:group>
            <v:group style="position:absolute;left:1848;top:-2677;width:442;height:780" coordorigin="1848,-2677" coordsize="442,780">
              <v:shape style="position:absolute;left:1848;top:-2677;width:442;height:780" coordorigin="1848,-2677" coordsize="442,780" path="m1848,-1897l2290,-1897,2290,-2677,1848,-2677,1848,-1897xe" filled="true" fillcolor="#ffffff" stroked="false">
                <v:path arrowok="t"/>
                <v:fill type="solid"/>
              </v:shape>
            </v:group>
            <w10:wrap type="none"/>
          </v:group>
        </w:pict>
      </w:r>
      <w:r>
        <w:rPr/>
        <w:pict>
          <v:group style="position:absolute;margin-left:92.424004pt;margin-top:-75.278275pt;width:22.1pt;height:39pt;mso-position-horizontal-relative:page;mso-position-vertical-relative:paragraph;z-index:-1232800" coordorigin="1848,-1506" coordsize="442,780">
            <v:shape style="position:absolute;left:1848;top:-1506;width:442;height:780" coordorigin="1848,-1506" coordsize="442,780" path="m1848,-726l2290,-726,2290,-1506,1848,-1506,1848,-726xe" filled="true" fillcolor="#ffffff" stroked="false">
              <v:path arrowok="t"/>
              <v:fill type="solid"/>
            </v:shape>
            <w10:wrap type="none"/>
          </v:group>
        </w:pict>
      </w:r>
      <w:r>
        <w:rPr/>
        <w:t>委托理财出现预期无法收回本金或存在其他可能导致减值的情形</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7"/>
          <w:szCs w:val="27"/>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7"/>
          <w:szCs w:val="27"/>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7"/>
          <w:szCs w:val="27"/>
        </w:rPr>
      </w:pPr>
    </w:p>
    <w:p>
      <w:pPr>
        <w:pStyle w:val="BodyText"/>
        <w:spacing w:line="307" w:lineRule="auto"/>
        <w:ind w:right="153" w:firstLine="360"/>
        <w:jc w:val="both"/>
      </w:pPr>
      <w:r>
        <w:rPr/>
        <w:t>作为一家上市公司，公司在发展壮大的过程中，始终坚持积极履行社会责任。</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年，公司按照</w:t>
      </w:r>
      <w:r>
        <w:rPr>
          <w:rFonts w:ascii="Times New Roman" w:hAnsi="Times New Roman" w:cs="Times New Roman" w:eastAsia="Times New Roman" w:hint="default"/>
        </w:rPr>
        <w:t>“</w:t>
      </w:r>
      <w:r>
        <w:rPr/>
        <w:t>为社会、客户、合作 伙伴、投资者和企业员工创造价值</w:t>
      </w:r>
      <w:r>
        <w:rPr>
          <w:rFonts w:ascii="Times New Roman" w:hAnsi="Times New Roman" w:cs="Times New Roman" w:eastAsia="Times New Roman" w:hint="default"/>
        </w:rPr>
        <w:t>”</w:t>
      </w:r>
      <w:r>
        <w:rPr/>
        <w:t>的企业责任理念，在创造经济价值的同时，重视与股东、债权人、员工、客户、供应商</w:t>
      </w:r>
      <w:r>
        <w:rPr>
          <w:spacing w:val="-75"/>
        </w:rPr>
        <w:t> </w:t>
      </w:r>
      <w:r>
        <w:rPr>
          <w:spacing w:val="-75"/>
        </w:rPr>
      </w:r>
      <w:r>
        <w:rPr>
          <w:spacing w:val="-2"/>
        </w:rPr>
        <w:t>等利益相关方及时沟通，在合作过程中做到重信誉、重承诺、重合同、守信用，与利益相关方保持健康良好、合作共赢的关</w:t>
      </w:r>
      <w:r>
        <w:rPr>
          <w:spacing w:val="-70"/>
        </w:rPr>
        <w:t> </w:t>
      </w:r>
      <w:r>
        <w:rPr>
          <w:spacing w:val="-70"/>
        </w:rPr>
      </w:r>
      <w:r>
        <w:rPr>
          <w:spacing w:val="-2"/>
        </w:rPr>
        <w:t>系；秉承绿色经营理念，提供安全优质产品，保护员工合法权益，积极参与社会公益，促进公司与员工、社会与自然的和谐</w:t>
      </w:r>
    </w:p>
    <w:p>
      <w:pPr>
        <w:spacing w:after="0" w:line="307" w:lineRule="auto"/>
        <w:jc w:val="both"/>
        <w:sectPr>
          <w:pgSz w:w="11910" w:h="16840"/>
          <w:pgMar w:header="880" w:footer="979" w:top="1100" w:bottom="1160" w:left="980" w:right="980"/>
        </w:sectPr>
      </w:pPr>
    </w:p>
    <w:p>
      <w:pPr>
        <w:spacing w:line="240" w:lineRule="auto" w:before="0"/>
        <w:rPr>
          <w:rFonts w:ascii="宋体" w:hAnsi="宋体" w:cs="宋体" w:eastAsia="宋体" w:hint="default"/>
          <w:sz w:val="22"/>
          <w:szCs w:val="22"/>
        </w:rPr>
      </w:pPr>
    </w:p>
    <w:p>
      <w:pPr>
        <w:pStyle w:val="BodyText"/>
        <w:spacing w:line="240" w:lineRule="auto" w:before="44"/>
        <w:ind w:right="87"/>
        <w:jc w:val="left"/>
      </w:pPr>
      <w:r>
        <w:rPr/>
        <w:t>发展。</w:t>
      </w:r>
    </w:p>
    <w:p>
      <w:pPr>
        <w:pStyle w:val="BodyText"/>
        <w:spacing w:line="338" w:lineRule="auto" w:before="117"/>
        <w:ind w:left="513" w:right="87"/>
        <w:jc w:val="left"/>
      </w:pPr>
      <w:r>
        <w:rPr/>
        <w:t>（</w:t>
      </w:r>
      <w:r>
        <w:rPr>
          <w:rFonts w:ascii="Times New Roman" w:hAnsi="Times New Roman" w:cs="Times New Roman" w:eastAsia="Times New Roman" w:hint="default"/>
        </w:rPr>
        <w:t>1</w:t>
      </w:r>
      <w:r>
        <w:rPr/>
        <w:t>）股东权益责任 </w:t>
      </w:r>
      <w:r>
        <w:rPr>
          <w:spacing w:val="-4"/>
        </w:rPr>
        <w:t>保障股东特别是中小股东的权益，是公司最基本的社会责任。报告期内，公司召开的股东大会均按要求开通了网络投票，</w:t>
      </w:r>
    </w:p>
    <w:p>
      <w:pPr>
        <w:pStyle w:val="BodyText"/>
        <w:spacing w:line="309" w:lineRule="auto" w:before="2"/>
        <w:ind w:right="181"/>
        <w:jc w:val="both"/>
      </w:pPr>
      <w:r>
        <w:rPr>
          <w:spacing w:val="-2"/>
        </w:rPr>
        <w:t>保障了股东基本的参与权和表决权。公司严格按照《公司章程》等有关规定，在征求独立董事的意见后制定年度权益分派方</w:t>
      </w:r>
      <w:r>
        <w:rPr>
          <w:spacing w:val="-65"/>
        </w:rPr>
        <w:t> </w:t>
      </w:r>
      <w:r>
        <w:rPr>
          <w:spacing w:val="-65"/>
        </w:rPr>
      </w:r>
      <w:r>
        <w:rPr>
          <w:spacing w:val="6"/>
        </w:rPr>
        <w:t>案并经董事会和股东大会审议通过，</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6</w:t>
      </w:r>
      <w:r>
        <w:rPr>
          <w:spacing w:val="6"/>
        </w:rPr>
        <w:t>月，公司</w:t>
      </w:r>
      <w:r>
        <w:rPr>
          <w:rFonts w:ascii="Times New Roman" w:hAnsi="Times New Roman" w:cs="Times New Roman" w:eastAsia="Times New Roman" w:hint="default"/>
          <w:spacing w:val="6"/>
        </w:rPr>
        <w:t>2016</w:t>
      </w:r>
      <w:r>
        <w:rPr>
          <w:spacing w:val="6"/>
        </w:rPr>
        <w:t>年度权益分派方案实施完成，以</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日公司总股本</w:t>
      </w:r>
      <w:r>
        <w:rPr>
          <w:spacing w:val="-82"/>
        </w:rPr>
        <w:t> </w:t>
      </w:r>
      <w:r>
        <w:rPr>
          <w:rFonts w:ascii="Times New Roman" w:hAnsi="Times New Roman" w:cs="Times New Roman" w:eastAsia="Times New Roman" w:hint="default"/>
        </w:rPr>
        <w:t>1,619,257,150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元（含税），派发现金红利</w:t>
      </w:r>
      <w:r>
        <w:rPr>
          <w:rFonts w:ascii="Times New Roman" w:hAnsi="Times New Roman" w:cs="Times New Roman" w:eastAsia="Times New Roman" w:hint="default"/>
        </w:rPr>
        <w:t>161,925,715</w:t>
      </w:r>
      <w:r>
        <w:rPr/>
        <w:t>元，同时，以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p>
    <w:p>
      <w:pPr>
        <w:pStyle w:val="BodyText"/>
        <w:spacing w:line="300" w:lineRule="auto" w:before="5"/>
        <w:ind w:right="87"/>
        <w:jc w:val="left"/>
      </w:pP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1,619,257,150</w:t>
      </w:r>
      <w:r>
        <w:rPr/>
        <w:t>股为基数，以资本公积金转增股本，向全体股东每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w:t>
      </w:r>
      <w:r>
        <w:rPr>
          <w:rFonts w:ascii="Times New Roman" w:hAnsi="Times New Roman" w:cs="Times New Roman" w:eastAsia="Times New Roman" w:hint="default"/>
        </w:rPr>
        <w:t>809,628,575</w:t>
      </w:r>
      <w:r>
        <w:rPr/>
        <w:t>股。公</w:t>
      </w:r>
      <w:r>
        <w:rPr>
          <w:spacing w:val="-51"/>
        </w:rPr>
        <w:t> </w:t>
      </w:r>
      <w:r>
        <w:rPr>
          <w:spacing w:val="-51"/>
        </w:rPr>
      </w:r>
      <w:r>
        <w:rPr>
          <w:spacing w:val="-4"/>
        </w:rPr>
        <w:t>司在进行信息披露时，始终坚持真实、准确、及时、完整、公平的披露原则，秉持公平、公正、公开的原则对待全体投资者。</w:t>
      </w:r>
    </w:p>
    <w:p>
      <w:pPr>
        <w:pStyle w:val="BodyText"/>
        <w:spacing w:line="340" w:lineRule="auto" w:before="72"/>
        <w:ind w:left="513" w:right="87"/>
        <w:jc w:val="left"/>
      </w:pPr>
      <w:r>
        <w:rPr/>
        <w:t>（</w:t>
      </w:r>
      <w:r>
        <w:rPr>
          <w:rFonts w:ascii="Times New Roman" w:hAnsi="Times New Roman" w:cs="Times New Roman" w:eastAsia="Times New Roman" w:hint="default"/>
        </w:rPr>
        <w:t>2</w:t>
      </w:r>
      <w:r>
        <w:rPr/>
        <w:t>）债权人、供应商权益责任 </w:t>
      </w:r>
      <w:r>
        <w:rPr>
          <w:spacing w:val="-2"/>
        </w:rPr>
        <w:t>公司一贯奉行稳健诚信的经营策略，对于债权人，充分尊重其对债权权益相关的重大信息的知情权；对于供应商，重视</w:t>
      </w:r>
    </w:p>
    <w:p>
      <w:pPr>
        <w:pStyle w:val="BodyText"/>
        <w:spacing w:line="300" w:lineRule="auto" w:before="1"/>
        <w:ind w:right="191"/>
        <w:jc w:val="both"/>
      </w:pPr>
      <w:r>
        <w:rPr/>
        <w:t>其权益，不无故拖欠款项。</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年，公司持续阳光采购、合作共赢的理念，强化供应商考核要求，通过使用制造企业生产 过程执行管理系统（</w:t>
      </w:r>
      <w:r>
        <w:rPr>
          <w:rFonts w:ascii="Times New Roman" w:hAnsi="Times New Roman" w:cs="Times New Roman" w:eastAsia="Times New Roman" w:hint="default"/>
        </w:rPr>
        <w:t>MES</w:t>
      </w:r>
      <w:r>
        <w:rPr/>
        <w:t>），客观透明、高效快捷地对众多供应商进行筛选，努力做到公平、公正，与各供应商保持良好</w:t>
      </w:r>
      <w:r>
        <w:rPr>
          <w:spacing w:val="-14"/>
        </w:rPr>
        <w:t> </w:t>
      </w:r>
      <w:r>
        <w:rPr>
          <w:spacing w:val="-14"/>
        </w:rPr>
      </w:r>
      <w:r>
        <w:rPr/>
        <w:t>合作关系。</w:t>
      </w:r>
    </w:p>
    <w:p>
      <w:pPr>
        <w:pStyle w:val="BodyText"/>
        <w:spacing w:line="340" w:lineRule="auto" w:before="70"/>
        <w:ind w:left="513" w:right="87"/>
        <w:jc w:val="left"/>
      </w:pPr>
      <w:r>
        <w:rPr/>
        <w:t>（</w:t>
      </w:r>
      <w:r>
        <w:rPr>
          <w:rFonts w:ascii="Times New Roman" w:hAnsi="Times New Roman" w:cs="Times New Roman" w:eastAsia="Times New Roman" w:hint="default"/>
        </w:rPr>
        <w:t>3</w:t>
      </w:r>
      <w:r>
        <w:rPr/>
        <w:t>）员工权益责任 </w:t>
      </w:r>
      <w:r>
        <w:rPr>
          <w:spacing w:val="-2"/>
        </w:rPr>
        <w:t>公司坚持以人为本，把人才战略作为企业发展的重点，严格遵守《劳动法》、《劳动合同法》、《妇女权益保护法》等</w:t>
      </w:r>
    </w:p>
    <w:p>
      <w:pPr>
        <w:pStyle w:val="BodyText"/>
        <w:spacing w:line="309" w:lineRule="auto" w:before="1"/>
        <w:ind w:right="91"/>
        <w:jc w:val="left"/>
      </w:pPr>
      <w:r>
        <w:rPr>
          <w:spacing w:val="-1"/>
        </w:rPr>
        <w:t>相关法律法规，依法与各员工签订劳动合同，依法为各员工购买各项保险并及时足额缴纳，保障员工的合法权益。</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2"/>
        </w:rPr>
        <w:t> </w:t>
      </w:r>
      <w:r>
        <w:rPr/>
        <w:t>年，</w:t>
      </w:r>
      <w:r>
        <w:rPr>
          <w:spacing w:val="-88"/>
        </w:rPr>
        <w:t> </w:t>
      </w:r>
      <w:r>
        <w:rPr>
          <w:spacing w:val="-2"/>
        </w:rPr>
        <w:t>除国家规定的基本保险外，公司还为各员工购买了一些商业保险，为员工提供切实保障。公司根据不同类别的岗位制定了不</w:t>
      </w:r>
      <w:r>
        <w:rPr>
          <w:spacing w:val="-65"/>
        </w:rPr>
        <w:t> </w:t>
      </w:r>
      <w:r>
        <w:rPr>
          <w:spacing w:val="-65"/>
        </w:rPr>
      </w:r>
      <w:r>
        <w:rPr>
          <w:spacing w:val="-2"/>
        </w:rPr>
        <w:t>同的薪酬考核体系，对工作表现突出人员或团队进行物质与精神奖励；为员工提供平等的发展机会和晋升渠道，实现员工与</w:t>
      </w:r>
      <w:r>
        <w:rPr>
          <w:spacing w:val="-63"/>
        </w:rPr>
        <w:t> </w:t>
      </w:r>
      <w:r>
        <w:rPr>
          <w:spacing w:val="-63"/>
        </w:rPr>
      </w:r>
      <w:r>
        <w:rPr/>
        <w:t>企业的共同成长。公司重视人才培养，鼓励在职教育，积极提供各类职业素质提升培训；</w:t>
      </w:r>
      <w:r>
        <w:rPr>
          <w:rFonts w:ascii="Times New Roman" w:hAnsi="Times New Roman" w:cs="Times New Roman" w:eastAsia="Times New Roman" w:hint="default"/>
        </w:rPr>
        <w:t>2017 </w:t>
      </w:r>
      <w:r>
        <w:rPr/>
        <w:t>年，举办了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次专家智库沙 龙，开设了</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期运通大讲堂，内容涵盖公司多个业务方面。除外，党工团办组织了职业病防治、瑜珈、茶艺师等职业培训； 举办了三八节、六一节、周年庆、志愿者日、趣味运动会、羽毛球比赛、摄影比赛、乒乓球赛等活动；积极关爱员工生活， 为员工订购春运团体票；关注员工健康，持续开展员工职业健康体检等；不断完善职工帮扶助困制度，构建温馨和谐氛围。</w:t>
      </w:r>
    </w:p>
    <w:p>
      <w:pPr>
        <w:pStyle w:val="BodyText"/>
        <w:spacing w:line="338" w:lineRule="auto" w:before="65"/>
        <w:ind w:left="513" w:right="87"/>
        <w:jc w:val="left"/>
      </w:pPr>
      <w:r>
        <w:rPr/>
        <w:t>（</w:t>
      </w:r>
      <w:r>
        <w:rPr>
          <w:rFonts w:ascii="Times New Roman" w:hAnsi="Times New Roman" w:cs="Times New Roman" w:eastAsia="Times New Roman" w:hint="default"/>
        </w:rPr>
        <w:t>4</w:t>
      </w:r>
      <w:r>
        <w:rPr/>
        <w:t>）安全生产责任 </w:t>
      </w:r>
      <w:r>
        <w:rPr>
          <w:spacing w:val="-2"/>
        </w:rPr>
        <w:t>安全生产是公司一直秉行的准则。公司对安全生产建立了包括安全生产目标管理、目标落实、安全生产管理标准、贯彻</w:t>
      </w:r>
    </w:p>
    <w:p>
      <w:pPr>
        <w:pStyle w:val="BodyText"/>
        <w:spacing w:line="309" w:lineRule="auto" w:before="2"/>
        <w:ind w:right="94"/>
        <w:jc w:val="left"/>
      </w:pPr>
      <w:r>
        <w:rPr/>
        <w:t>执行、安全教育培训、安全生产监控检查、考核评价、持续改进、应急事故处理在内的管理制度，构建安全生产管理网络； 全员签订安全生产合约，落实安全生产责任；制订安全生产考核标准，组织安全生产交叉考核。</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年围绕</w:t>
      </w:r>
      <w:r>
        <w:rPr>
          <w:rFonts w:ascii="Times New Roman" w:hAnsi="Times New Roman" w:cs="Times New Roman" w:eastAsia="Times New Roman" w:hint="default"/>
        </w:rPr>
        <w:t>“</w:t>
      </w:r>
      <w:r>
        <w:rPr/>
        <w:t>安全第一、预 防为主，综合治理</w:t>
      </w:r>
      <w:r>
        <w:rPr>
          <w:rFonts w:ascii="Times New Roman" w:hAnsi="Times New Roman" w:cs="Times New Roman" w:eastAsia="Times New Roman" w:hint="default"/>
        </w:rPr>
        <w:t>”</w:t>
      </w:r>
      <w:r>
        <w:rPr/>
        <w:t>的方针，按照安全生产分层分级抓重点，抓落实的思路，组织并监督全员安全生产合约的落实；强化新</w:t>
      </w:r>
      <w:r>
        <w:rPr>
          <w:spacing w:val="-73"/>
        </w:rPr>
        <w:t> </w:t>
      </w:r>
      <w:r>
        <w:rPr>
          <w:spacing w:val="-73"/>
        </w:rPr>
      </w:r>
      <w:r>
        <w:rPr>
          <w:spacing w:val="-2"/>
        </w:rPr>
        <w:t>员工、日常、现场安全教育；安委会成员多次参加省市安监局相关培训，及时了解最新安全法规和政策；组织月度安全生产</w:t>
      </w:r>
      <w:r>
        <w:rPr>
          <w:spacing w:val="-65"/>
        </w:rPr>
        <w:t> </w:t>
      </w:r>
      <w:r>
        <w:rPr>
          <w:spacing w:val="-65"/>
        </w:rPr>
      </w:r>
      <w:r>
        <w:rPr/>
        <w:t>会</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次、安全培训</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次，安委会进行安全检查</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次。</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年全年无重大安全生产事故。</w:t>
      </w:r>
    </w:p>
    <w:p>
      <w:pPr>
        <w:pStyle w:val="BodyText"/>
        <w:spacing w:line="240" w:lineRule="auto" w:before="46"/>
        <w:ind w:left="513" w:right="87"/>
        <w:jc w:val="left"/>
      </w:pPr>
      <w:r>
        <w:rPr/>
        <w:t>（</w:t>
      </w:r>
      <w:r>
        <w:rPr>
          <w:rFonts w:ascii="Times New Roman" w:hAnsi="Times New Roman" w:cs="Times New Roman" w:eastAsia="Times New Roman" w:hint="default"/>
        </w:rPr>
        <w:t>5</w:t>
      </w:r>
      <w:r>
        <w:rPr/>
        <w:t>）商品质量责任</w:t>
      </w:r>
    </w:p>
    <w:p>
      <w:pPr>
        <w:pStyle w:val="BodyText"/>
        <w:spacing w:line="312" w:lineRule="auto" w:before="104"/>
        <w:ind w:right="190" w:firstLine="360"/>
        <w:jc w:val="both"/>
      </w:pPr>
      <w:r>
        <w:rPr/>
        <w:t>公司坚持</w:t>
      </w:r>
      <w:r>
        <w:rPr>
          <w:rFonts w:ascii="Times New Roman" w:hAnsi="Times New Roman" w:cs="Times New Roman" w:eastAsia="Times New Roman" w:hint="default"/>
        </w:rPr>
        <w:t>“</w:t>
      </w:r>
      <w:r>
        <w:rPr/>
        <w:t>质量是我们的自尊心</w:t>
      </w:r>
      <w:r>
        <w:rPr>
          <w:rFonts w:ascii="Times New Roman" w:hAnsi="Times New Roman" w:cs="Times New Roman" w:eastAsia="Times New Roman" w:hint="default"/>
        </w:rPr>
        <w:t>”</w:t>
      </w:r>
      <w:r>
        <w:rPr/>
        <w:t>原则。</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年，公司联合采购首次召开供应商质量策略会，确定供应商质量管理方向 </w:t>
      </w:r>
      <w:r>
        <w:rPr>
          <w:spacing w:val="-2"/>
        </w:rPr>
        <w:t>和管理策略。联合工艺、各生产部门，分别从管控方案、产品标准及执行监督几个方面，持续推进制程质量管理的规范性和</w:t>
      </w:r>
      <w:r>
        <w:rPr>
          <w:spacing w:val="-67"/>
        </w:rPr>
        <w:t> </w:t>
      </w:r>
      <w:r>
        <w:rPr>
          <w:spacing w:val="-67"/>
        </w:rPr>
      </w:r>
      <w:r>
        <w:rPr>
          <w:spacing w:val="-2"/>
        </w:rPr>
        <w:t>标准一致性，确保整个生产过程受控且标准明确。在处理日常客诉问题的同时，借助研发技术力量，针对公司内外部的主要</w:t>
      </w:r>
      <w:r>
        <w:rPr>
          <w:spacing w:val="-64"/>
        </w:rPr>
        <w:t> </w:t>
      </w:r>
      <w:r>
        <w:rPr>
          <w:spacing w:val="-64"/>
        </w:rPr>
      </w:r>
      <w:r>
        <w:rPr/>
        <w:t>问题进行主动分析，从救火向预防逐步转化。公司</w:t>
      </w:r>
      <w:r>
        <w:rPr>
          <w:spacing w:val="-47"/>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3"/>
        </w:rPr>
        <w:t> </w:t>
      </w:r>
      <w:r>
        <w:rPr/>
        <w:t>换证、换版、范围变更顺利通过。</w:t>
      </w:r>
    </w:p>
    <w:p>
      <w:pPr>
        <w:pStyle w:val="BodyText"/>
        <w:spacing w:line="340" w:lineRule="auto" w:before="41"/>
        <w:ind w:left="513" w:right="87"/>
        <w:jc w:val="left"/>
      </w:pPr>
      <w:r>
        <w:rPr/>
        <w:t>（</w:t>
      </w:r>
      <w:r>
        <w:rPr>
          <w:rFonts w:ascii="Times New Roman" w:hAnsi="Times New Roman" w:cs="Times New Roman" w:eastAsia="Times New Roman" w:hint="default"/>
        </w:rPr>
        <w:t>6</w:t>
      </w:r>
      <w:r>
        <w:rPr/>
        <w:t>）环境保护责任 </w:t>
      </w:r>
      <w:r>
        <w:rPr>
          <w:spacing w:val="-2"/>
        </w:rPr>
        <w:t>作为高科技电子企业，公司生产以装配为主，无水污染、基本无大气、噪声污染，经营活动对自然生态环境产生的直接</w:t>
      </w:r>
    </w:p>
    <w:p>
      <w:pPr>
        <w:pStyle w:val="BodyText"/>
        <w:spacing w:line="240" w:lineRule="auto" w:before="1"/>
        <w:ind w:right="87"/>
        <w:jc w:val="left"/>
      </w:pPr>
      <w:r>
        <w:rPr/>
        <w:t>影响甚微。公司一向秉承绿色经营的理念，</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月，公司连续第十一年发起</w:t>
      </w:r>
      <w:r>
        <w:rPr>
          <w:rFonts w:ascii="Times New Roman" w:hAnsi="Times New Roman" w:cs="Times New Roman" w:eastAsia="Times New Roman" w:hint="default"/>
        </w:rPr>
        <w:t>“</w:t>
      </w:r>
      <w:r>
        <w:rPr/>
        <w:t>地球一小时</w:t>
      </w:r>
      <w:r>
        <w:rPr>
          <w:rFonts w:ascii="Times New Roman" w:hAnsi="Times New Roman" w:cs="Times New Roman" w:eastAsia="Times New Roman" w:hint="default"/>
        </w:rPr>
        <w:t>”</w:t>
      </w:r>
      <w:r>
        <w:rPr/>
        <w:t>系列活动，向全球</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万名员</w:t>
      </w:r>
    </w:p>
    <w:p>
      <w:pPr>
        <w:pStyle w:val="BodyText"/>
        <w:spacing w:line="300" w:lineRule="auto" w:before="63"/>
        <w:ind w:right="176"/>
        <w:jc w:val="left"/>
      </w:pPr>
      <w:r>
        <w:rPr/>
        <w:t>工发出倡议书，倡导环保节能、绿色生活；向全球</w:t>
      </w:r>
      <w:r>
        <w:rPr>
          <w:spacing w:val="-41"/>
        </w:rPr>
        <w:t> </w:t>
      </w:r>
      <w:r>
        <w:rPr>
          <w:rFonts w:ascii="Times New Roman" w:hAnsi="Times New Roman" w:cs="Times New Roman" w:eastAsia="Times New Roman" w:hint="default"/>
        </w:rPr>
        <w:t>80</w:t>
      </w:r>
      <w:r>
        <w:rPr>
          <w:rFonts w:ascii="Times New Roman" w:hAnsi="Times New Roman" w:cs="Times New Roman" w:eastAsia="Times New Roman" w:hint="default"/>
          <w:spacing w:val="4"/>
        </w:rPr>
        <w:t> </w:t>
      </w:r>
      <w:r>
        <w:rPr/>
        <w:t>多个国家和地区的用户积极倡导凭条无纸化、账单电子化及智能社区 银行普及化，呼吁更多的人加入环保事业。</w:t>
      </w:r>
    </w:p>
    <w:p>
      <w:pPr>
        <w:pStyle w:val="BodyText"/>
        <w:spacing w:line="338" w:lineRule="auto" w:before="72"/>
        <w:ind w:left="513" w:right="87"/>
        <w:jc w:val="left"/>
      </w:pPr>
      <w:r>
        <w:rPr/>
        <w:t>（</w:t>
      </w:r>
      <w:r>
        <w:rPr>
          <w:rFonts w:ascii="Times New Roman" w:hAnsi="Times New Roman" w:cs="Times New Roman" w:eastAsia="Times New Roman" w:hint="default"/>
        </w:rPr>
        <w:t>7</w:t>
      </w:r>
      <w:r>
        <w:rPr/>
        <w:t>）社会公益责任 </w:t>
      </w:r>
      <w:r>
        <w:rPr>
          <w:spacing w:val="-2"/>
        </w:rPr>
        <w:t>公司在努力创造企业价值的同时，注重社会价值的创造。在面临行业急剧变革和经营成本上升的双重压力下，公司努力</w:t>
      </w:r>
    </w:p>
    <w:p>
      <w:pPr>
        <w:pStyle w:val="BodyText"/>
        <w:spacing w:line="316" w:lineRule="auto" w:before="2"/>
        <w:ind w:right="87"/>
        <w:jc w:val="left"/>
      </w:pPr>
      <w:r>
        <w:rPr>
          <w:spacing w:val="-2"/>
        </w:rPr>
        <w:t>保持发展，吸纳更多就业人员；持续为地区财政创收；积极投身社会公益慈善事业，将企业取得的经营成果反馈给社会，努</w:t>
      </w:r>
      <w:r>
        <w:rPr>
          <w:spacing w:val="-67"/>
        </w:rPr>
        <w:t> </w:t>
      </w:r>
      <w:r>
        <w:rPr>
          <w:spacing w:val="-67"/>
        </w:rPr>
      </w:r>
      <w:r>
        <w:rPr/>
        <w:t>力创造和谐公共关系，提升公司品牌形象。</w:t>
      </w:r>
    </w:p>
    <w:p>
      <w:pPr>
        <w:spacing w:after="0" w:line="316" w:lineRule="auto"/>
        <w:jc w:val="left"/>
        <w:sectPr>
          <w:footerReference w:type="default" r:id="rId24"/>
          <w:pgSz w:w="11910" w:h="16840"/>
          <w:pgMar w:footer="979" w:header="880" w:top="1100" w:bottom="1160" w:left="980" w:right="940"/>
          <w:pgNumType w:start="58"/>
        </w:sectPr>
      </w:pPr>
    </w:p>
    <w:p>
      <w:pPr>
        <w:spacing w:line="240" w:lineRule="auto" w:before="0"/>
        <w:rPr>
          <w:rFonts w:ascii="宋体" w:hAnsi="宋体" w:cs="宋体" w:eastAsia="宋体" w:hint="default"/>
          <w:sz w:val="22"/>
          <w:szCs w:val="22"/>
        </w:rPr>
      </w:pPr>
    </w:p>
    <w:p>
      <w:pPr>
        <w:pStyle w:val="BodyText"/>
        <w:spacing w:line="316" w:lineRule="auto" w:before="44"/>
        <w:ind w:right="393" w:firstLine="360"/>
        <w:jc w:val="both"/>
      </w:pPr>
      <w:r>
        <w:rPr>
          <w:spacing w:val="-2"/>
        </w:rPr>
        <w:t>未来，公司在经营发展的同时将持续履行社会责任，兼顾各利益相关者利益，坚持绿色经营理念，努力打造广受客户青</w:t>
      </w:r>
      <w:r>
        <w:rPr/>
        <w:t> 睐、赢得社会信赖的知名品牌，实现商业利益与社会责任的和谐统一。</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7"/>
          <w:szCs w:val="27"/>
        </w:rPr>
      </w:pPr>
    </w:p>
    <w:p>
      <w:pPr>
        <w:pStyle w:val="BodyText"/>
        <w:spacing w:line="360" w:lineRule="auto"/>
        <w:ind w:right="4974"/>
        <w:jc w:val="left"/>
      </w:pPr>
      <w:r>
        <w:rPr/>
        <w:t>上市公司及其子公司是否属于环境保护部门公布的重点排污单位 否</w:t>
      </w:r>
    </w:p>
    <w:p>
      <w:pPr>
        <w:pStyle w:val="BodyText"/>
        <w:spacing w:line="240" w:lineRule="auto" w:before="25"/>
        <w:ind w:right="0"/>
        <w:jc w:val="left"/>
      </w:pPr>
      <w:r>
        <w:rPr/>
        <w:t>公司及公司子公司不属于环境保护部门公布的重点排污单位</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日召开的第四届董事会第二十八次（临时）会议审议通过了《关于拟减持公司持有的神州数码控股有</w:t>
      </w:r>
    </w:p>
    <w:p>
      <w:pPr>
        <w:pStyle w:val="BodyText"/>
        <w:spacing w:line="228" w:lineRule="exact"/>
        <w:ind w:right="0"/>
        <w:jc w:val="left"/>
      </w:pPr>
      <w:r>
        <w:rPr/>
        <w:t>限公司部分股票的议案》，同意公司将所持有的神州数码控股有限公司（股票简称</w:t>
      </w:r>
      <w:r>
        <w:rPr>
          <w:rFonts w:ascii="Times New Roman" w:hAnsi="Times New Roman" w:cs="Times New Roman" w:eastAsia="Times New Roman" w:hint="default"/>
        </w:rPr>
        <w:t>“</w:t>
      </w:r>
      <w:r>
        <w:rPr/>
        <w:t>神州控股</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“00861.HK”</w:t>
      </w:r>
      <w:r>
        <w:rPr/>
        <w:t>）不超</w:t>
      </w:r>
    </w:p>
    <w:p>
      <w:pPr>
        <w:pStyle w:val="BodyText"/>
        <w:spacing w:line="300" w:lineRule="auto" w:before="63"/>
        <w:ind w:right="0"/>
        <w:jc w:val="left"/>
      </w:pPr>
      <w:r>
        <w:rPr>
          <w:spacing w:val="-2"/>
        </w:rPr>
        <w:t>过</w:t>
      </w:r>
      <w:r>
        <w:rPr>
          <w:rFonts w:ascii="Times New Roman" w:hAnsi="Times New Roman" w:cs="Times New Roman" w:eastAsia="Times New Roman" w:hint="default"/>
          <w:spacing w:val="-2"/>
        </w:rPr>
        <w:t>3</w:t>
      </w:r>
      <w:r>
        <w:rPr>
          <w:spacing w:val="-2"/>
        </w:rPr>
        <w:t>亿股普通股股票以集中竞价交易、盘中交易等法律法规允许的方式进行减持。（详见公司于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日刊登于《证券</w:t>
      </w:r>
      <w:r>
        <w:rPr>
          <w:spacing w:val="-57"/>
        </w:rPr>
        <w:t> </w:t>
      </w:r>
      <w:r>
        <w:rPr>
          <w:spacing w:val="-57"/>
        </w:rPr>
      </w:r>
      <w:r>
        <w:rPr/>
        <w:t>时报》及巨潮资讯网</w:t>
      </w:r>
      <w:hyperlink r:id="rId10">
        <w:r>
          <w:rPr>
            <w:rFonts w:ascii="Times New Roman" w:hAnsi="Times New Roman" w:cs="Times New Roman" w:eastAsia="Times New Roman" w:hint="default"/>
          </w:rPr>
          <w:t>www.cninfo.com.cn</w:t>
        </w:r>
      </w:hyperlink>
      <w:r>
        <w:rPr/>
        <w:t>上的相关公告）</w:t>
      </w:r>
    </w:p>
    <w:p>
      <w:pPr>
        <w:pStyle w:val="BodyText"/>
        <w:spacing w:line="300" w:lineRule="auto" w:before="53"/>
        <w:ind w:right="388" w:firstLine="36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-17</w:t>
      </w:r>
      <w:r>
        <w:rPr/>
        <w:t>日通过盘中交易的方式共择机减持了</w:t>
      </w:r>
      <w:r>
        <w:rPr>
          <w:rFonts w:ascii="Times New Roman" w:hAnsi="Times New Roman" w:cs="Times New Roman" w:eastAsia="Times New Roman" w:hint="default"/>
        </w:rPr>
        <w:t>83,886,000</w:t>
      </w:r>
      <w:r>
        <w:rPr/>
        <w:t>股神州控股普通股股票，减持后，公司还持有 </w:t>
      </w:r>
      <w:r>
        <w:rPr>
          <w:spacing w:val="-3"/>
        </w:rPr>
        <w:t>神州控股</w:t>
      </w:r>
      <w:r>
        <w:rPr>
          <w:rFonts w:ascii="Times New Roman" w:hAnsi="Times New Roman" w:cs="Times New Roman" w:eastAsia="Times New Roman" w:hint="default"/>
          <w:spacing w:val="-3"/>
        </w:rPr>
        <w:t>229,452,000</w:t>
      </w:r>
      <w:r>
        <w:rPr>
          <w:spacing w:val="-3"/>
        </w:rPr>
        <w:t>股普通股，占其已发行普通股总股份</w:t>
      </w:r>
      <w:r>
        <w:rPr>
          <w:rFonts w:ascii="Times New Roman" w:hAnsi="Times New Roman" w:cs="Times New Roman" w:eastAsia="Times New Roman" w:hint="default"/>
          <w:spacing w:val="-3"/>
        </w:rPr>
        <w:t>1,269,869,581</w:t>
      </w:r>
      <w:r>
        <w:rPr>
          <w:spacing w:val="-3"/>
        </w:rPr>
        <w:t>股的</w:t>
      </w:r>
      <w:r>
        <w:rPr>
          <w:rFonts w:ascii="Times New Roman" w:hAnsi="Times New Roman" w:cs="Times New Roman" w:eastAsia="Times New Roman" w:hint="default"/>
          <w:spacing w:val="-3"/>
        </w:rPr>
        <w:t>18.07%</w:t>
      </w:r>
      <w:r>
        <w:rPr>
          <w:spacing w:val="-3"/>
        </w:rPr>
        <w:t>。（详见公司于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24</w:t>
      </w:r>
      <w:r>
        <w:rPr>
          <w:spacing w:val="-3"/>
        </w:rPr>
        <w:t>日刊登于《证</w:t>
      </w:r>
      <w:r>
        <w:rPr>
          <w:spacing w:val="-19"/>
        </w:rPr>
        <w:t> </w:t>
      </w:r>
      <w:r>
        <w:rPr>
          <w:spacing w:val="-19"/>
        </w:rPr>
      </w:r>
      <w:r>
        <w:rPr/>
        <w:t>券时报》及巨潮资讯网</w:t>
      </w:r>
      <w:hyperlink r:id="rId10">
        <w:r>
          <w:rPr>
            <w:rFonts w:ascii="Times New Roman" w:hAnsi="Times New Roman" w:cs="Times New Roman" w:eastAsia="Times New Roman" w:hint="default"/>
          </w:rPr>
          <w:t>www.cninfo.com.cn</w:t>
        </w:r>
      </w:hyperlink>
      <w:r>
        <w:rPr/>
        <w:t>上的相关公告）</w:t>
      </w:r>
    </w:p>
    <w:p>
      <w:pPr>
        <w:pStyle w:val="BodyText"/>
        <w:spacing w:line="240" w:lineRule="auto" w:before="53"/>
        <w:ind w:left="498" w:right="0"/>
        <w:jc w:val="left"/>
      </w:pPr>
      <w:r>
        <w:rPr/>
        <w:t>截止目前，公司持有神州控股</w:t>
      </w:r>
      <w:r>
        <w:rPr>
          <w:rFonts w:ascii="Times New Roman" w:hAnsi="Times New Roman" w:cs="Times New Roman" w:eastAsia="Times New Roman" w:hint="default"/>
        </w:rPr>
        <w:t>243,351,250</w:t>
      </w:r>
      <w:r>
        <w:rPr/>
        <w:t>股普通股，占其现总股本</w:t>
      </w:r>
      <w:r>
        <w:rPr>
          <w:rFonts w:ascii="Times New Roman" w:hAnsi="Times New Roman" w:cs="Times New Roman" w:eastAsia="Times New Roman" w:hint="default"/>
        </w:rPr>
        <w:t>1,677,261,976</w:t>
      </w:r>
      <w:r>
        <w:rPr/>
        <w:t>股的</w:t>
      </w:r>
      <w:r>
        <w:rPr>
          <w:rFonts w:ascii="Times New Roman" w:hAnsi="Times New Roman" w:cs="Times New Roman" w:eastAsia="Times New Roman" w:hint="default"/>
        </w:rPr>
        <w:t>14.51%</w:t>
      </w:r>
      <w:r>
        <w:rPr/>
        <w:t>。</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994"/>
        <w:gridCol w:w="5528"/>
        <w:gridCol w:w="3401"/>
      </w:tblGrid>
      <w:tr>
        <w:trPr>
          <w:trHeight w:val="397" w:hRule="exact"/>
        </w:trPr>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5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重要事项</w:t>
            </w:r>
          </w:p>
        </w:tc>
        <w:tc>
          <w:tcPr>
            <w:tcW w:w="34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美电贝尔</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37"/>
              <w:ind w:left="2" w:right="-1" w:firstLine="360"/>
              <w:jc w:val="both"/>
              <w:rPr>
                <w:rFonts w:ascii="宋体" w:hAnsi="宋体" w:cs="宋体" w:eastAsia="宋体" w:hint="default"/>
                <w:sz w:val="18"/>
                <w:szCs w:val="18"/>
              </w:rPr>
            </w:pPr>
            <w:r>
              <w:rPr>
                <w:rFonts w:ascii="宋体" w:hAnsi="宋体" w:cs="宋体" w:eastAsia="宋体" w:hint="default"/>
                <w:sz w:val="18"/>
                <w:szCs w:val="18"/>
              </w:rPr>
              <w:t>公司以现金</w:t>
            </w:r>
            <w:r>
              <w:rPr>
                <w:rFonts w:ascii="Times New Roman" w:hAnsi="Times New Roman" w:cs="Times New Roman" w:eastAsia="Times New Roman" w:hint="default"/>
                <w:sz w:val="18"/>
                <w:szCs w:val="18"/>
              </w:rPr>
              <w:t>47,999,170</w:t>
            </w:r>
            <w:r>
              <w:rPr>
                <w:rFonts w:ascii="宋体" w:hAnsi="宋体" w:cs="宋体" w:eastAsia="宋体" w:hint="default"/>
                <w:sz w:val="18"/>
                <w:szCs w:val="18"/>
              </w:rPr>
              <w:t>元受让美电贝尔实际控制人郑孙满及其配偶 </w:t>
            </w:r>
            <w:r>
              <w:rPr>
                <w:rFonts w:ascii="宋体" w:hAnsi="宋体" w:cs="宋体" w:eastAsia="宋体" w:hint="default"/>
                <w:spacing w:val="-2"/>
                <w:sz w:val="18"/>
                <w:szCs w:val="18"/>
              </w:rPr>
              <w:t>王艳春持有的</w:t>
            </w:r>
            <w:r>
              <w:rPr>
                <w:rFonts w:ascii="Times New Roman" w:hAnsi="Times New Roman" w:cs="Times New Roman" w:eastAsia="Times New Roman" w:hint="default"/>
                <w:spacing w:val="-2"/>
                <w:sz w:val="18"/>
                <w:szCs w:val="18"/>
              </w:rPr>
              <w:t>10,510,000</w:t>
            </w:r>
            <w:r>
              <w:rPr>
                <w:rFonts w:ascii="宋体" w:hAnsi="宋体" w:cs="宋体" w:eastAsia="宋体" w:hint="default"/>
                <w:spacing w:val="-2"/>
                <w:sz w:val="18"/>
                <w:szCs w:val="18"/>
              </w:rPr>
              <w:t>股美电贝尔股份，以现金</w:t>
            </w:r>
            <w:r>
              <w:rPr>
                <w:rFonts w:ascii="Times New Roman" w:hAnsi="Times New Roman" w:cs="Times New Roman" w:eastAsia="Times New Roman" w:hint="default"/>
                <w:spacing w:val="-2"/>
                <w:sz w:val="18"/>
                <w:szCs w:val="18"/>
              </w:rPr>
              <w:t>15,999,722</w:t>
            </w:r>
            <w:r>
              <w:rPr>
                <w:rFonts w:ascii="宋体" w:hAnsi="宋体" w:cs="宋体" w:eastAsia="宋体" w:hint="default"/>
                <w:spacing w:val="-2"/>
                <w:sz w:val="18"/>
                <w:szCs w:val="18"/>
              </w:rPr>
              <w:t>元认购美电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贝尔定向增发股份</w:t>
            </w:r>
            <w:r>
              <w:rPr>
                <w:rFonts w:ascii="Times New Roman" w:hAnsi="Times New Roman" w:cs="Times New Roman" w:eastAsia="Times New Roman" w:hint="default"/>
                <w:sz w:val="18"/>
                <w:szCs w:val="18"/>
              </w:rPr>
              <w:t>3,503,333</w:t>
            </w:r>
            <w:r>
              <w:rPr>
                <w:rFonts w:ascii="宋体" w:hAnsi="宋体" w:cs="宋体" w:eastAsia="宋体" w:hint="default"/>
                <w:sz w:val="18"/>
                <w:szCs w:val="18"/>
              </w:rPr>
              <w:t>股，即总计使用自有资金</w:t>
            </w:r>
            <w:r>
              <w:rPr>
                <w:rFonts w:ascii="Times New Roman" w:hAnsi="Times New Roman" w:cs="Times New Roman" w:eastAsia="Times New Roman" w:hint="default"/>
                <w:sz w:val="18"/>
                <w:szCs w:val="18"/>
              </w:rPr>
              <w:t>63,998,892</w:t>
            </w:r>
            <w:r>
              <w:rPr>
                <w:rFonts w:ascii="宋体" w:hAnsi="宋体" w:cs="宋体" w:eastAsia="宋体" w:hint="default"/>
                <w:sz w:val="18"/>
                <w:szCs w:val="18"/>
              </w:rPr>
              <w:t>元获得</w:t>
            </w:r>
            <w:r>
              <w:rPr>
                <w:rFonts w:ascii="宋体" w:hAnsi="宋体" w:cs="宋体" w:eastAsia="宋体" w:hint="default"/>
                <w:spacing w:val="-81"/>
                <w:sz w:val="18"/>
                <w:szCs w:val="18"/>
              </w:rPr>
              <w:t> </w:t>
            </w:r>
            <w:r>
              <w:rPr>
                <w:rFonts w:ascii="宋体" w:hAnsi="宋体" w:cs="宋体" w:eastAsia="宋体" w:hint="default"/>
                <w:spacing w:val="-2"/>
                <w:sz w:val="18"/>
                <w:szCs w:val="18"/>
              </w:rPr>
              <w:t>美电贝尔</w:t>
            </w:r>
            <w:r>
              <w:rPr>
                <w:rFonts w:ascii="Times New Roman" w:hAnsi="Times New Roman" w:cs="Times New Roman" w:eastAsia="Times New Roman" w:hint="default"/>
                <w:spacing w:val="-2"/>
                <w:sz w:val="18"/>
                <w:szCs w:val="18"/>
              </w:rPr>
              <w:t>14,013,333</w:t>
            </w:r>
            <w:r>
              <w:rPr>
                <w:rFonts w:ascii="宋体" w:hAnsi="宋体" w:cs="宋体" w:eastAsia="宋体" w:hint="default"/>
                <w:spacing w:val="-2"/>
                <w:sz w:val="18"/>
                <w:szCs w:val="18"/>
              </w:rPr>
              <w:t>股股份。</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日，公司受让美电贝尔股份事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项完成；</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日，公司认购的美电贝尔新发行股票在股转系统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挂牌并公开转让，新增股份为无限售流通股。</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09" w:lineRule="auto"/>
              <w:ind w:left="4" w:right="-3"/>
              <w:jc w:val="both"/>
              <w:rPr>
                <w:rFonts w:ascii="宋体" w:hAnsi="宋体" w:cs="宋体" w:eastAsia="宋体" w:hint="default"/>
                <w:sz w:val="18"/>
                <w:szCs w:val="18"/>
              </w:rPr>
            </w:pPr>
            <w:r>
              <w:rPr>
                <w:rFonts w:ascii="宋体" w:hAnsi="宋体" w:cs="宋体" w:eastAsia="宋体" w:hint="default"/>
                <w:sz w:val="18"/>
                <w:szCs w:val="18"/>
              </w:rPr>
              <w:t>刊</w:t>
            </w:r>
            <w:r>
              <w:rPr>
                <w:rFonts w:ascii="宋体" w:hAnsi="宋体" w:cs="宋体" w:eastAsia="宋体" w:hint="default"/>
                <w:spacing w:val="-43"/>
                <w:sz w:val="18"/>
                <w:szCs w:val="18"/>
              </w:rPr>
              <w:t> </w:t>
            </w:r>
            <w:r>
              <w:rPr>
                <w:rFonts w:ascii="宋体" w:hAnsi="宋体" w:cs="宋体" w:eastAsia="宋体" w:hint="default"/>
                <w:sz w:val="18"/>
                <w:szCs w:val="18"/>
              </w:rPr>
              <w:t>登</w:t>
            </w:r>
            <w:r>
              <w:rPr>
                <w:rFonts w:ascii="宋体" w:hAnsi="宋体" w:cs="宋体" w:eastAsia="宋体" w:hint="default"/>
                <w:spacing w:val="-43"/>
                <w:sz w:val="18"/>
                <w:szCs w:val="18"/>
              </w:rPr>
              <w:t> </w:t>
            </w:r>
            <w:r>
              <w:rPr>
                <w:rFonts w:ascii="宋体" w:hAnsi="宋体" w:cs="宋体" w:eastAsia="宋体" w:hint="default"/>
                <w:sz w:val="18"/>
                <w:szCs w:val="18"/>
              </w:rPr>
              <w:t>在</w:t>
            </w:r>
            <w:r>
              <w:rPr>
                <w:rFonts w:ascii="宋体" w:hAnsi="宋体" w:cs="宋体" w:eastAsia="宋体" w:hint="default"/>
                <w:spacing w:val="-43"/>
                <w:sz w:val="18"/>
                <w:szCs w:val="18"/>
              </w:rPr>
              <w:t> </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证</w:t>
            </w:r>
            <w:r>
              <w:rPr>
                <w:rFonts w:ascii="宋体" w:hAnsi="宋体" w:cs="宋体" w:eastAsia="宋体" w:hint="default"/>
                <w:spacing w:val="-40"/>
                <w:sz w:val="18"/>
                <w:szCs w:val="18"/>
              </w:rPr>
              <w:t> </w:t>
            </w:r>
            <w:r>
              <w:rPr>
                <w:rFonts w:ascii="宋体" w:hAnsi="宋体" w:cs="宋体" w:eastAsia="宋体" w:hint="default"/>
                <w:sz w:val="18"/>
                <w:szCs w:val="18"/>
              </w:rPr>
              <w:t>券</w:t>
            </w:r>
            <w:r>
              <w:rPr>
                <w:rFonts w:ascii="宋体" w:hAnsi="宋体" w:cs="宋体" w:eastAsia="宋体" w:hint="default"/>
                <w:spacing w:val="-43"/>
                <w:sz w:val="18"/>
                <w:szCs w:val="18"/>
              </w:rPr>
              <w:t> </w:t>
            </w:r>
            <w:r>
              <w:rPr>
                <w:rFonts w:ascii="宋体" w:hAnsi="宋体" w:cs="宋体" w:eastAsia="宋体" w:hint="default"/>
                <w:sz w:val="18"/>
                <w:szCs w:val="18"/>
              </w:rPr>
              <w:t>时</w:t>
            </w:r>
            <w:r>
              <w:rPr>
                <w:rFonts w:ascii="宋体" w:hAnsi="宋体" w:cs="宋体" w:eastAsia="宋体" w:hint="default"/>
                <w:spacing w:val="-43"/>
                <w:sz w:val="18"/>
                <w:szCs w:val="18"/>
              </w:rPr>
              <w:t> </w:t>
            </w:r>
            <w:r>
              <w:rPr>
                <w:rFonts w:ascii="宋体" w:hAnsi="宋体" w:cs="宋体" w:eastAsia="宋体" w:hint="default"/>
                <w:sz w:val="18"/>
                <w:szCs w:val="18"/>
              </w:rPr>
              <w:t>报</w:t>
            </w:r>
            <w:r>
              <w:rPr>
                <w:rFonts w:ascii="宋体" w:hAnsi="宋体" w:cs="宋体" w:eastAsia="宋体" w:hint="default"/>
                <w:spacing w:val="-43"/>
                <w:sz w:val="18"/>
                <w:szCs w:val="18"/>
              </w:rPr>
              <w:t> </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及</w:t>
            </w:r>
            <w:r>
              <w:rPr>
                <w:rFonts w:ascii="宋体" w:hAnsi="宋体" w:cs="宋体" w:eastAsia="宋体" w:hint="default"/>
                <w:spacing w:val="-40"/>
                <w:sz w:val="18"/>
                <w:szCs w:val="18"/>
              </w:rPr>
              <w:t> </w:t>
            </w:r>
            <w:r>
              <w:rPr>
                <w:rFonts w:ascii="宋体" w:hAnsi="宋体" w:cs="宋体" w:eastAsia="宋体" w:hint="default"/>
                <w:sz w:val="18"/>
                <w:szCs w:val="18"/>
              </w:rPr>
              <w:t>巨</w:t>
            </w:r>
            <w:r>
              <w:rPr>
                <w:rFonts w:ascii="宋体" w:hAnsi="宋体" w:cs="宋体" w:eastAsia="宋体" w:hint="default"/>
                <w:spacing w:val="-43"/>
                <w:sz w:val="18"/>
                <w:szCs w:val="18"/>
              </w:rPr>
              <w:t> </w:t>
            </w:r>
            <w:r>
              <w:rPr>
                <w:rFonts w:ascii="宋体" w:hAnsi="宋体" w:cs="宋体" w:eastAsia="宋体" w:hint="default"/>
                <w:sz w:val="18"/>
                <w:szCs w:val="18"/>
              </w:rPr>
              <w:t>潮</w:t>
            </w:r>
            <w:r>
              <w:rPr>
                <w:rFonts w:ascii="宋体" w:hAnsi="宋体" w:cs="宋体" w:eastAsia="宋体" w:hint="default"/>
                <w:spacing w:val="-43"/>
                <w:sz w:val="18"/>
                <w:szCs w:val="18"/>
              </w:rPr>
              <w:t> </w:t>
            </w:r>
            <w:r>
              <w:rPr>
                <w:rFonts w:ascii="宋体" w:hAnsi="宋体" w:cs="宋体" w:eastAsia="宋体" w:hint="default"/>
                <w:sz w:val="18"/>
                <w:szCs w:val="18"/>
              </w:rPr>
              <w:t>资</w:t>
            </w:r>
            <w:r>
              <w:rPr>
                <w:rFonts w:ascii="宋体" w:hAnsi="宋体" w:cs="宋体" w:eastAsia="宋体" w:hint="default"/>
                <w:spacing w:val="-43"/>
                <w:sz w:val="18"/>
                <w:szCs w:val="18"/>
              </w:rPr>
              <w:t> </w:t>
            </w:r>
            <w:r>
              <w:rPr>
                <w:rFonts w:ascii="宋体" w:hAnsi="宋体" w:cs="宋体" w:eastAsia="宋体" w:hint="default"/>
                <w:sz w:val="18"/>
                <w:szCs w:val="18"/>
              </w:rPr>
              <w:t>讯</w:t>
            </w:r>
            <w:r>
              <w:rPr>
                <w:rFonts w:ascii="宋体" w:hAnsi="宋体" w:cs="宋体" w:eastAsia="宋体" w:hint="default"/>
                <w:spacing w:val="-43"/>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上的临</w:t>
            </w:r>
            <w:r>
              <w:rPr>
                <w:rFonts w:ascii="Times New Roman" w:hAnsi="Times New Roman" w:cs="Times New Roman" w:eastAsia="Times New Roman" w:hint="default"/>
                <w:sz w:val="18"/>
                <w:szCs w:val="18"/>
              </w:rPr>
              <w:t>2017-007</w:t>
            </w:r>
            <w:r>
              <w:rPr>
                <w:rFonts w:ascii="宋体" w:hAnsi="宋体" w:cs="宋体" w:eastAsia="宋体" w:hint="default"/>
                <w:sz w:val="18"/>
                <w:szCs w:val="18"/>
              </w:rPr>
              <w:t>、</w:t>
            </w:r>
            <w:r>
              <w:rPr>
                <w:rFonts w:ascii="Times New Roman" w:hAnsi="Times New Roman" w:cs="Times New Roman" w:eastAsia="Times New Roman" w:hint="default"/>
                <w:sz w:val="18"/>
                <w:szCs w:val="18"/>
              </w:rPr>
              <w:t>011</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031</w:t>
            </w:r>
            <w:r>
              <w:rPr>
                <w:rFonts w:ascii="宋体" w:hAnsi="宋体" w:cs="宋体" w:eastAsia="宋体" w:hint="default"/>
                <w:sz w:val="18"/>
                <w:szCs w:val="18"/>
              </w:rPr>
              <w:t>号公告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广电计量</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firstLine="360"/>
              <w:jc w:val="left"/>
              <w:rPr>
                <w:rFonts w:ascii="宋体" w:hAnsi="宋体" w:cs="宋体" w:eastAsia="宋体" w:hint="default"/>
                <w:sz w:val="18"/>
                <w:szCs w:val="18"/>
              </w:rPr>
            </w:pPr>
            <w:r>
              <w:rPr>
                <w:rFonts w:ascii="宋体" w:hAnsi="宋体" w:cs="宋体" w:eastAsia="宋体" w:hint="default"/>
                <w:spacing w:val="3"/>
                <w:sz w:val="18"/>
                <w:szCs w:val="18"/>
              </w:rPr>
              <w:t>公司对广电计量的会计核算方法由可供出售金融资产变更为长期</w:t>
            </w:r>
            <w:r>
              <w:rPr>
                <w:rFonts w:ascii="宋体" w:hAnsi="宋体" w:cs="宋体" w:eastAsia="宋体" w:hint="default"/>
                <w:sz w:val="18"/>
                <w:szCs w:val="18"/>
              </w:rPr>
              <w:t> 股权投资，并以权益法确认损益。</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刊</w:t>
            </w:r>
            <w:r>
              <w:rPr>
                <w:rFonts w:ascii="宋体" w:hAnsi="宋体" w:cs="宋体" w:eastAsia="宋体" w:hint="default"/>
                <w:spacing w:val="-43"/>
                <w:sz w:val="18"/>
                <w:szCs w:val="18"/>
              </w:rPr>
              <w:t> </w:t>
            </w:r>
            <w:r>
              <w:rPr>
                <w:rFonts w:ascii="宋体" w:hAnsi="宋体" w:cs="宋体" w:eastAsia="宋体" w:hint="default"/>
                <w:sz w:val="18"/>
                <w:szCs w:val="18"/>
              </w:rPr>
              <w:t>登</w:t>
            </w:r>
            <w:r>
              <w:rPr>
                <w:rFonts w:ascii="宋体" w:hAnsi="宋体" w:cs="宋体" w:eastAsia="宋体" w:hint="default"/>
                <w:spacing w:val="-43"/>
                <w:sz w:val="18"/>
                <w:szCs w:val="18"/>
              </w:rPr>
              <w:t> </w:t>
            </w:r>
            <w:r>
              <w:rPr>
                <w:rFonts w:ascii="宋体" w:hAnsi="宋体" w:cs="宋体" w:eastAsia="宋体" w:hint="default"/>
                <w:sz w:val="18"/>
                <w:szCs w:val="18"/>
              </w:rPr>
              <w:t>在</w:t>
            </w:r>
            <w:r>
              <w:rPr>
                <w:rFonts w:ascii="宋体" w:hAnsi="宋体" w:cs="宋体" w:eastAsia="宋体" w:hint="default"/>
                <w:spacing w:val="-43"/>
                <w:sz w:val="18"/>
                <w:szCs w:val="18"/>
              </w:rPr>
              <w:t> </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证</w:t>
            </w:r>
            <w:r>
              <w:rPr>
                <w:rFonts w:ascii="宋体" w:hAnsi="宋体" w:cs="宋体" w:eastAsia="宋体" w:hint="default"/>
                <w:spacing w:val="-40"/>
                <w:sz w:val="18"/>
                <w:szCs w:val="18"/>
              </w:rPr>
              <w:t> </w:t>
            </w:r>
            <w:r>
              <w:rPr>
                <w:rFonts w:ascii="宋体" w:hAnsi="宋体" w:cs="宋体" w:eastAsia="宋体" w:hint="default"/>
                <w:sz w:val="18"/>
                <w:szCs w:val="18"/>
              </w:rPr>
              <w:t>券</w:t>
            </w:r>
            <w:r>
              <w:rPr>
                <w:rFonts w:ascii="宋体" w:hAnsi="宋体" w:cs="宋体" w:eastAsia="宋体" w:hint="default"/>
                <w:spacing w:val="-43"/>
                <w:sz w:val="18"/>
                <w:szCs w:val="18"/>
              </w:rPr>
              <w:t> </w:t>
            </w:r>
            <w:r>
              <w:rPr>
                <w:rFonts w:ascii="宋体" w:hAnsi="宋体" w:cs="宋体" w:eastAsia="宋体" w:hint="default"/>
                <w:sz w:val="18"/>
                <w:szCs w:val="18"/>
              </w:rPr>
              <w:t>时</w:t>
            </w:r>
            <w:r>
              <w:rPr>
                <w:rFonts w:ascii="宋体" w:hAnsi="宋体" w:cs="宋体" w:eastAsia="宋体" w:hint="default"/>
                <w:spacing w:val="-43"/>
                <w:sz w:val="18"/>
                <w:szCs w:val="18"/>
              </w:rPr>
              <w:t> </w:t>
            </w:r>
            <w:r>
              <w:rPr>
                <w:rFonts w:ascii="宋体" w:hAnsi="宋体" w:cs="宋体" w:eastAsia="宋体" w:hint="default"/>
                <w:sz w:val="18"/>
                <w:szCs w:val="18"/>
              </w:rPr>
              <w:t>报</w:t>
            </w:r>
            <w:r>
              <w:rPr>
                <w:rFonts w:ascii="宋体" w:hAnsi="宋体" w:cs="宋体" w:eastAsia="宋体" w:hint="default"/>
                <w:spacing w:val="-43"/>
                <w:sz w:val="18"/>
                <w:szCs w:val="18"/>
              </w:rPr>
              <w:t> </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及</w:t>
            </w:r>
            <w:r>
              <w:rPr>
                <w:rFonts w:ascii="宋体" w:hAnsi="宋体" w:cs="宋体" w:eastAsia="宋体" w:hint="default"/>
                <w:spacing w:val="-40"/>
                <w:sz w:val="18"/>
                <w:szCs w:val="18"/>
              </w:rPr>
              <w:t> </w:t>
            </w:r>
            <w:r>
              <w:rPr>
                <w:rFonts w:ascii="宋体" w:hAnsi="宋体" w:cs="宋体" w:eastAsia="宋体" w:hint="default"/>
                <w:sz w:val="18"/>
                <w:szCs w:val="18"/>
              </w:rPr>
              <w:t>巨</w:t>
            </w:r>
            <w:r>
              <w:rPr>
                <w:rFonts w:ascii="宋体" w:hAnsi="宋体" w:cs="宋体" w:eastAsia="宋体" w:hint="default"/>
                <w:spacing w:val="-43"/>
                <w:sz w:val="18"/>
                <w:szCs w:val="18"/>
              </w:rPr>
              <w:t> </w:t>
            </w:r>
            <w:r>
              <w:rPr>
                <w:rFonts w:ascii="宋体" w:hAnsi="宋体" w:cs="宋体" w:eastAsia="宋体" w:hint="default"/>
                <w:sz w:val="18"/>
                <w:szCs w:val="18"/>
              </w:rPr>
              <w:t>潮</w:t>
            </w:r>
            <w:r>
              <w:rPr>
                <w:rFonts w:ascii="宋体" w:hAnsi="宋体" w:cs="宋体" w:eastAsia="宋体" w:hint="default"/>
                <w:spacing w:val="-43"/>
                <w:sz w:val="18"/>
                <w:szCs w:val="18"/>
              </w:rPr>
              <w:t> </w:t>
            </w:r>
            <w:r>
              <w:rPr>
                <w:rFonts w:ascii="宋体" w:hAnsi="宋体" w:cs="宋体" w:eastAsia="宋体" w:hint="default"/>
                <w:sz w:val="18"/>
                <w:szCs w:val="18"/>
              </w:rPr>
              <w:t>资</w:t>
            </w:r>
            <w:r>
              <w:rPr>
                <w:rFonts w:ascii="宋体" w:hAnsi="宋体" w:cs="宋体" w:eastAsia="宋体" w:hint="default"/>
                <w:spacing w:val="-43"/>
                <w:sz w:val="18"/>
                <w:szCs w:val="18"/>
              </w:rPr>
              <w:t> </w:t>
            </w:r>
            <w:r>
              <w:rPr>
                <w:rFonts w:ascii="宋体" w:hAnsi="宋体" w:cs="宋体" w:eastAsia="宋体" w:hint="default"/>
                <w:sz w:val="18"/>
                <w:szCs w:val="18"/>
              </w:rPr>
              <w:t>讯</w:t>
            </w:r>
            <w:r>
              <w:rPr>
                <w:rFonts w:ascii="宋体" w:hAnsi="宋体" w:cs="宋体" w:eastAsia="宋体" w:hint="default"/>
                <w:spacing w:val="-43"/>
                <w:sz w:val="18"/>
                <w:szCs w:val="18"/>
              </w:rPr>
              <w:t> </w:t>
            </w:r>
            <w:r>
              <w:rPr>
                <w:rFonts w:ascii="宋体" w:hAnsi="宋体" w:cs="宋体" w:eastAsia="宋体" w:hint="default"/>
                <w:sz w:val="18"/>
                <w:szCs w:val="18"/>
              </w:rPr>
              <w:t>网</w:t>
            </w:r>
          </w:p>
          <w:p>
            <w:pPr>
              <w:pStyle w:val="TableParagraph"/>
              <w:spacing w:line="240" w:lineRule="auto" w:before="76"/>
              <w:ind w:left="4" w:right="0"/>
              <w:jc w:val="left"/>
              <w:rPr>
                <w:rFonts w:ascii="宋体" w:hAnsi="宋体" w:cs="宋体" w:eastAsia="宋体" w:hint="default"/>
                <w:sz w:val="18"/>
                <w:szCs w:val="18"/>
              </w:rPr>
            </w:pP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上的临</w:t>
            </w:r>
            <w:r>
              <w:rPr>
                <w:rFonts w:ascii="Times New Roman" w:hAnsi="Times New Roman" w:cs="Times New Roman" w:eastAsia="Times New Roman" w:hint="default"/>
                <w:sz w:val="18"/>
                <w:szCs w:val="18"/>
              </w:rPr>
              <w:t>2017-028</w:t>
            </w:r>
            <w:r>
              <w:rPr>
                <w:rFonts w:ascii="宋体" w:hAnsi="宋体" w:cs="宋体" w:eastAsia="宋体" w:hint="default"/>
                <w:sz w:val="18"/>
                <w:szCs w:val="18"/>
              </w:rPr>
              <w:t>号公告</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0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252" w:right="0"/>
        <w:jc w:val="left"/>
        <w:rPr>
          <w:b w:val="0"/>
          <w:bCs w:val="0"/>
        </w:rPr>
      </w:pPr>
      <w:r>
        <w:rPr/>
        <w:t>一、股份变动情况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25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62"/>
        <w:gridCol w:w="1144"/>
        <w:gridCol w:w="710"/>
        <w:gridCol w:w="566"/>
        <w:gridCol w:w="425"/>
        <w:gridCol w:w="994"/>
        <w:gridCol w:w="991"/>
        <w:gridCol w:w="994"/>
        <w:gridCol w:w="1133"/>
        <w:gridCol w:w="782"/>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316,577,969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158,063,752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-17,659,828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140,403,924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456,981,893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208,935,000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104,467,500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104,467,500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313,402,500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107,642,969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53,596,252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-17,659,828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35,936,424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143,579,393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5.91%</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65,295,000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32,647,500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97,942,500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42,347,969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20,948,752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-17,659,828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3,288,924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45,636,893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1,302,679,181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80.45%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651,564,823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17,659,828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669,224,651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1,971,903,832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81.19%</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1,302,679,181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651,564,823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17,659,828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669,224,651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1,971,903,832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81.19%</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4"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1,619,257,150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809,628,575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809,628,575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2,428,885,725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252" w:right="0"/>
        <w:jc w:val="left"/>
      </w:pPr>
      <w:r>
        <w:rPr/>
        <w:t>股份变动的原因</w:t>
      </w:r>
    </w:p>
    <w:p>
      <w:pPr>
        <w:pStyle w:val="BodyText"/>
        <w:spacing w:line="340" w:lineRule="auto" w:before="115"/>
        <w:ind w:left="6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董事、监事及高管的限售股在本期按规定自动进行解锁，董事、监事及高管所持股份的解锁情况按照中国证监会的相关</w:t>
      </w:r>
    </w:p>
    <w:p>
      <w:pPr>
        <w:pStyle w:val="BodyText"/>
        <w:spacing w:line="240" w:lineRule="auto" w:before="1"/>
        <w:ind w:left="252" w:right="0"/>
        <w:jc w:val="left"/>
      </w:pPr>
      <w:r>
        <w:rPr/>
        <w:t>规定执行。</w:t>
      </w:r>
    </w:p>
    <w:p>
      <w:pPr>
        <w:pStyle w:val="BodyText"/>
        <w:spacing w:line="307" w:lineRule="auto" w:before="76"/>
        <w:ind w:left="252" w:right="19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日，公司原董事长赵友永向公司提交书面辞职报告，提出辞去公司董事、董事长、法定代表人职务及董事 </w:t>
      </w:r>
      <w:r>
        <w:rPr>
          <w:spacing w:val="-2"/>
        </w:rPr>
        <w:t>会薪酬与考核委员会、审计委员会、战略与投资委员会相应职务，不再担任公司任何职务，其辞职报告自送达公司董事会时</w:t>
      </w:r>
      <w:r>
        <w:rPr>
          <w:spacing w:val="-65"/>
        </w:rPr>
        <w:t> </w:t>
      </w:r>
      <w:r>
        <w:rPr>
          <w:spacing w:val="-65"/>
        </w:rPr>
      </w:r>
      <w:r>
        <w:rPr/>
        <w:t>生效。赵友永持有的及新增的公司股份自其辞职之日起</w:t>
      </w:r>
      <w:r>
        <w:rPr>
          <w:rFonts w:ascii="Times New Roman" w:hAnsi="Times New Roman" w:cs="Times New Roman" w:eastAsia="Times New Roman" w:hint="default"/>
        </w:rPr>
        <w:t>6</w:t>
      </w:r>
      <w:r>
        <w:rPr/>
        <w:t>个月内</w:t>
      </w:r>
      <w:r>
        <w:rPr>
          <w:rFonts w:ascii="Times New Roman" w:hAnsi="Times New Roman" w:cs="Times New Roman" w:eastAsia="Times New Roman" w:hint="default"/>
        </w:rPr>
        <w:t>100%</w:t>
      </w:r>
      <w:r>
        <w:rPr/>
        <w:t>锁定，离职</w:t>
      </w:r>
      <w:r>
        <w:rPr>
          <w:rFonts w:ascii="Times New Roman" w:hAnsi="Times New Roman" w:cs="Times New Roman" w:eastAsia="Times New Roman" w:hint="default"/>
        </w:rPr>
        <w:t>6</w:t>
      </w:r>
      <w:r>
        <w:rPr/>
        <w:t>个月后的</w:t>
      </w:r>
      <w:r>
        <w:rPr>
          <w:rFonts w:ascii="Times New Roman" w:hAnsi="Times New Roman" w:cs="Times New Roman" w:eastAsia="Times New Roman" w:hint="default"/>
        </w:rPr>
        <w:t>12</w:t>
      </w:r>
      <w:r>
        <w:rPr/>
        <w:t>个月内按</w:t>
      </w:r>
      <w:r>
        <w:rPr>
          <w:rFonts w:ascii="Times New Roman" w:hAnsi="Times New Roman" w:cs="Times New Roman" w:eastAsia="Times New Roman" w:hint="default"/>
        </w:rPr>
        <w:t>50</w:t>
      </w:r>
      <w:r>
        <w:rPr/>
        <w:t>％锁定，离职</w:t>
      </w:r>
      <w:r>
        <w:rPr>
          <w:rFonts w:ascii="Times New Roman" w:hAnsi="Times New Roman" w:cs="Times New Roman" w:eastAsia="Times New Roman" w:hint="default"/>
        </w:rPr>
        <w:t>18</w:t>
      </w:r>
      <w:r>
        <w:rPr/>
        <w:t>个 月后其所持股份</w:t>
      </w:r>
      <w:r>
        <w:rPr>
          <w:rFonts w:ascii="Times New Roman" w:hAnsi="Times New Roman" w:cs="Times New Roman" w:eastAsia="Times New Roman" w:hint="default"/>
        </w:rPr>
        <w:t>100%</w:t>
      </w:r>
      <w:r>
        <w:rPr/>
        <w:t>流通。</w:t>
      </w:r>
    </w:p>
    <w:p>
      <w:pPr>
        <w:pStyle w:val="BodyText"/>
        <w:spacing w:line="300" w:lineRule="auto" w:before="7"/>
        <w:ind w:left="252"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日，公司原副总经理束萌向公司提交书面辞职报告，提出辞去公司副总经理职务，不再担任公司任何职务，</w:t>
      </w:r>
      <w:r>
        <w:rPr/>
        <w:t> 其辞职报告自送达公司董事会时生效。束萌持有的及新增的公司股份自其辞职之日起</w:t>
      </w:r>
      <w:r>
        <w:rPr>
          <w:rFonts w:ascii="Times New Roman" w:hAnsi="Times New Roman" w:cs="Times New Roman" w:eastAsia="Times New Roman" w:hint="default"/>
        </w:rPr>
        <w:t>6</w:t>
      </w:r>
      <w:r>
        <w:rPr/>
        <w:t>个月内</w:t>
      </w:r>
      <w:r>
        <w:rPr>
          <w:rFonts w:ascii="Times New Roman" w:hAnsi="Times New Roman" w:cs="Times New Roman" w:eastAsia="Times New Roman" w:hint="default"/>
        </w:rPr>
        <w:t>100%</w:t>
      </w:r>
      <w:r>
        <w:rPr/>
        <w:t>锁定，离职</w:t>
      </w:r>
      <w:r>
        <w:rPr>
          <w:rFonts w:ascii="Times New Roman" w:hAnsi="Times New Roman" w:cs="Times New Roman" w:eastAsia="Times New Roman" w:hint="default"/>
        </w:rPr>
        <w:t>6</w:t>
      </w:r>
      <w:r>
        <w:rPr/>
        <w:t>个月后的</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个月内按</w:t>
      </w:r>
      <w:r>
        <w:rPr>
          <w:rFonts w:ascii="Times New Roman" w:hAnsi="Times New Roman" w:cs="Times New Roman" w:eastAsia="Times New Roman" w:hint="default"/>
        </w:rPr>
        <w:t>50</w:t>
      </w:r>
      <w:r>
        <w:rPr/>
        <w:t>％锁定。</w:t>
      </w:r>
    </w:p>
    <w:p>
      <w:pPr>
        <w:spacing w:after="0" w:line="300" w:lineRule="auto"/>
        <w:jc w:val="left"/>
        <w:sectPr>
          <w:pgSz w:w="11910" w:h="16840"/>
          <w:pgMar w:header="880" w:footer="979" w:top="1100" w:bottom="1160" w:left="880" w:right="940"/>
        </w:sectPr>
      </w:pPr>
    </w:p>
    <w:p>
      <w:pPr>
        <w:spacing w:line="240" w:lineRule="auto" w:before="0"/>
        <w:rPr>
          <w:rFonts w:ascii="宋体" w:hAnsi="宋体" w:cs="宋体" w:eastAsia="宋体" w:hint="default"/>
          <w:sz w:val="22"/>
          <w:szCs w:val="22"/>
        </w:rPr>
      </w:pPr>
    </w:p>
    <w:p>
      <w:pPr>
        <w:pStyle w:val="BodyText"/>
        <w:spacing w:line="300" w:lineRule="auto" w:before="44"/>
        <w:ind w:right="189"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日，公司实施了</w:t>
      </w:r>
      <w:r>
        <w:rPr>
          <w:rFonts w:ascii="Times New Roman" w:hAnsi="Times New Roman" w:cs="Times New Roman" w:eastAsia="Times New Roman" w:hint="default"/>
        </w:rPr>
        <w:t>2016</w:t>
      </w:r>
      <w:r>
        <w:rPr/>
        <w:t>年度权益分派方案，以公司总股本</w:t>
      </w:r>
      <w:r>
        <w:rPr>
          <w:rFonts w:ascii="Times New Roman" w:hAnsi="Times New Roman" w:cs="Times New Roman" w:eastAsia="Times New Roman" w:hint="default"/>
        </w:rPr>
        <w:t>1,619,257,150</w:t>
      </w:r>
      <w:r>
        <w:rPr/>
        <w:t>股为基数，以资本公积金转增股本，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股，转增后公司总股本由</w:t>
      </w:r>
      <w:r>
        <w:rPr>
          <w:rFonts w:ascii="Times New Roman" w:hAnsi="Times New Roman" w:cs="Times New Roman" w:eastAsia="Times New Roman" w:hint="default"/>
        </w:rPr>
        <w:t>1,619,257,150</w:t>
      </w:r>
      <w:r>
        <w:rPr/>
        <w:t>股变更为</w:t>
      </w:r>
      <w:r>
        <w:rPr>
          <w:rFonts w:ascii="Times New Roman" w:hAnsi="Times New Roman" w:cs="Times New Roman" w:eastAsia="Times New Roman" w:hint="default"/>
        </w:rPr>
        <w:t>2,428,885,725</w:t>
      </w:r>
      <w:r>
        <w:rPr/>
        <w:t>股。</w:t>
      </w:r>
    </w:p>
    <w:p>
      <w:pPr>
        <w:pStyle w:val="BodyText"/>
        <w:spacing w:line="300" w:lineRule="auto" w:before="13"/>
        <w:ind w:right="14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日，公司原副总经理陈振光向公司提交书面辞职报告，提出辞去公司副总经理职务，不再担任公司任何职 务，其辞职报告自送达公司董事会时生效。陈振光持有的及新增的公司股份自其辞职之日起</w:t>
      </w:r>
      <w:r>
        <w:rPr>
          <w:rFonts w:ascii="Times New Roman" w:hAnsi="Times New Roman" w:cs="Times New Roman" w:eastAsia="Times New Roman" w:hint="default"/>
        </w:rPr>
        <w:t>6</w:t>
      </w:r>
      <w:r>
        <w:rPr/>
        <w:t>个月内</w:t>
      </w:r>
      <w:r>
        <w:rPr>
          <w:rFonts w:ascii="Times New Roman" w:hAnsi="Times New Roman" w:cs="Times New Roman" w:eastAsia="Times New Roman" w:hint="default"/>
        </w:rPr>
        <w:t>100%</w:t>
      </w:r>
      <w:r>
        <w:rPr/>
        <w:t>锁定。</w:t>
      </w:r>
    </w:p>
    <w:p>
      <w:pPr>
        <w:pStyle w:val="BodyText"/>
        <w:spacing w:line="319" w:lineRule="auto" w:before="13"/>
        <w:ind w:right="14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日，公司完成第五届董事会及第五届监事会的换届选举，公司原董事曾文不再担任董事职务，公司职工监 事冯丰穗不再担任职工监事职务，曾文及冯丰穗持有的及新增的公司股份自其辞职之日起</w:t>
      </w:r>
      <w:r>
        <w:rPr>
          <w:rFonts w:ascii="Times New Roman" w:hAnsi="Times New Roman" w:cs="Times New Roman" w:eastAsia="Times New Roman" w:hint="default"/>
        </w:rPr>
        <w:t>6</w:t>
      </w:r>
      <w:r>
        <w:rPr/>
        <w:t>个月内</w:t>
      </w:r>
      <w:r>
        <w:rPr>
          <w:rFonts w:ascii="Times New Roman" w:hAnsi="Times New Roman" w:cs="Times New Roman" w:eastAsia="Times New Roman" w:hint="default"/>
        </w:rPr>
        <w:t>100%</w:t>
      </w:r>
      <w:r>
        <w:rPr/>
        <w:t>锁定。</w:t>
      </w:r>
      <w:r>
        <w:rPr>
          <w:spacing w:val="-86"/>
        </w:rPr>
        <w:t> </w:t>
      </w:r>
      <w:r>
        <w:rPr/>
        <w:t>股份变动的批准情况</w:t>
      </w:r>
    </w:p>
    <w:p>
      <w:pPr>
        <w:pStyle w:val="BodyText"/>
        <w:spacing w:line="240"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0" w:firstLine="360"/>
        <w:jc w:val="both"/>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5</w:t>
      </w:r>
      <w:r>
        <w:rPr>
          <w:spacing w:val="-5"/>
        </w:rPr>
        <w:t>日，公司</w:t>
      </w:r>
      <w:r>
        <w:rPr>
          <w:rFonts w:ascii="Times New Roman" w:hAnsi="Times New Roman" w:cs="Times New Roman" w:eastAsia="Times New Roman" w:hint="default"/>
          <w:spacing w:val="-5"/>
        </w:rPr>
        <w:t>2016</w:t>
      </w:r>
      <w:r>
        <w:rPr>
          <w:spacing w:val="-5"/>
        </w:rPr>
        <w:t>年度股东大会审议通过了《关于</w:t>
      </w:r>
      <w:r>
        <w:rPr>
          <w:rFonts w:ascii="Times New Roman" w:hAnsi="Times New Roman" w:cs="Times New Roman" w:eastAsia="Times New Roman" w:hint="default"/>
          <w:spacing w:val="-5"/>
        </w:rPr>
        <w:t>2016</w:t>
      </w:r>
      <w:r>
        <w:rPr>
          <w:spacing w:val="-5"/>
        </w:rPr>
        <w:t>年度利润分配及资本公积金转增股本的议案》，决定以</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1,619,257,150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元（含税），同时，以资本公积金转增股 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53"/>
        <w:ind w:right="0"/>
        <w:jc w:val="left"/>
      </w:pPr>
      <w:r>
        <w:rPr/>
        <w:t>股份变动的过户情况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3"/>
        <w:ind w:right="41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2016</w:t>
      </w:r>
      <w:r>
        <w:rPr/>
        <w:t>年度权益分派方案实施完毕，公司总股本由</w:t>
      </w:r>
      <w:r>
        <w:rPr>
          <w:rFonts w:ascii="Times New Roman" w:hAnsi="Times New Roman" w:cs="Times New Roman" w:eastAsia="Times New Roman" w:hint="default"/>
        </w:rPr>
        <w:t>1,619,257,150</w:t>
      </w:r>
      <w:r>
        <w:rPr/>
        <w:t>股变更为</w:t>
      </w:r>
      <w:r>
        <w:rPr>
          <w:rFonts w:ascii="Times New Roman" w:hAnsi="Times New Roman" w:cs="Times New Roman" w:eastAsia="Times New Roman" w:hint="default"/>
        </w:rPr>
        <w:t>2,428,885,725</w:t>
      </w:r>
      <w:r>
        <w:rPr/>
        <w:t>股。 股份变动对最近一年和最近一期基本每股收益和稀释每股收益、归属于公司普通股股东的每股净资产等财务指标的影响</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4" w:firstLine="360"/>
        <w:jc w:val="left"/>
      </w:pPr>
      <w:r>
        <w:rPr/>
        <w:t>转增股后，公司总股本由</w:t>
      </w:r>
      <w:r>
        <w:rPr>
          <w:spacing w:val="-49"/>
        </w:rPr>
        <w:t> </w:t>
      </w:r>
      <w:r>
        <w:rPr>
          <w:rFonts w:ascii="Times New Roman" w:hAnsi="Times New Roman" w:cs="Times New Roman" w:eastAsia="Times New Roman" w:hint="default"/>
        </w:rPr>
        <w:t>1,619,257,150</w:t>
      </w:r>
      <w:r>
        <w:rPr>
          <w:rFonts w:ascii="Times New Roman" w:hAnsi="Times New Roman" w:cs="Times New Roman" w:eastAsia="Times New Roman" w:hint="default"/>
          <w:spacing w:val="-1"/>
        </w:rPr>
        <w:t> </w:t>
      </w:r>
      <w:r>
        <w:rPr/>
        <w:t>股变更为</w:t>
      </w:r>
      <w:r>
        <w:rPr>
          <w:spacing w:val="-49"/>
        </w:rPr>
        <w:t> </w:t>
      </w:r>
      <w:r>
        <w:rPr>
          <w:rFonts w:ascii="Times New Roman" w:hAnsi="Times New Roman" w:cs="Times New Roman" w:eastAsia="Times New Roman" w:hint="default"/>
        </w:rPr>
        <w:t>2,428,885,725</w:t>
      </w:r>
      <w:r>
        <w:rPr>
          <w:rFonts w:ascii="Times New Roman" w:hAnsi="Times New Roman" w:cs="Times New Roman" w:eastAsia="Times New Roman" w:hint="default"/>
          <w:spacing w:val="-1"/>
        </w:rPr>
        <w:t> </w:t>
      </w:r>
      <w:r>
        <w:rPr/>
        <w:t>股，最近一年和最近一期基本每股收益和稀释每股收益 等财务指标被摊薄。</w:t>
      </w:r>
    </w:p>
    <w:p>
      <w:pPr>
        <w:pStyle w:val="BodyText"/>
        <w:spacing w:line="240" w:lineRule="auto" w:before="72"/>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56"/>
        <w:jc w:val="right"/>
      </w:pPr>
      <w:r>
        <w:rPr/>
        <w:pict>
          <v:shape style="position:absolute;margin-left:56.400002pt;margin-top:-174.558258pt;width:479.4pt;height:268.0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991"/>
                    <w:gridCol w:w="994"/>
                    <w:gridCol w:w="991"/>
                    <w:gridCol w:w="994"/>
                    <w:gridCol w:w="1416"/>
                    <w:gridCol w:w="2768"/>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23"/>
                          <w:jc w:val="left"/>
                          <w:rPr>
                            <w:rFonts w:ascii="宋体" w:hAnsi="宋体" w:cs="宋体" w:eastAsia="宋体" w:hint="default"/>
                            <w:sz w:val="18"/>
                            <w:szCs w:val="18"/>
                          </w:rPr>
                        </w:pPr>
                        <w:r>
                          <w:rPr>
                            <w:rFonts w:ascii="宋体" w:hAnsi="宋体" w:cs="宋体" w:eastAsia="宋体" w:hint="default"/>
                            <w:sz w:val="18"/>
                            <w:szCs w:val="18"/>
                          </w:rPr>
                          <w:t>广州无线电集团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208,935,000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104,467,500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313,402,500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3" w:right="161" w:firstLine="91"/>
                          <w:jc w:val="left"/>
                          <w:rPr>
                            <w:rFonts w:ascii="宋体" w:hAnsi="宋体" w:cs="宋体" w:eastAsia="宋体" w:hint="default"/>
                            <w:sz w:val="18"/>
                            <w:szCs w:val="18"/>
                          </w:rPr>
                        </w:pPr>
                        <w:r>
                          <w:rPr>
                            <w:rFonts w:ascii="宋体" w:hAnsi="宋体" w:cs="宋体" w:eastAsia="宋体" w:hint="default"/>
                            <w:sz w:val="18"/>
                            <w:szCs w:val="18"/>
                          </w:rPr>
                          <w:t>非公开发行 机构类限售股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3"/>
                          <w:jc w:val="both"/>
                          <w:rPr>
                            <w:rFonts w:ascii="宋体" w:hAnsi="宋体" w:cs="宋体" w:eastAsia="宋体" w:hint="default"/>
                            <w:sz w:val="18"/>
                            <w:szCs w:val="18"/>
                          </w:rPr>
                        </w:pPr>
                        <w:r>
                          <w:rPr>
                            <w:rFonts w:ascii="宋体" w:hAnsi="宋体" w:cs="宋体" w:eastAsia="宋体" w:hint="default"/>
                            <w:sz w:val="18"/>
                            <w:szCs w:val="18"/>
                          </w:rPr>
                          <w:t>广州广电运通金 融电子股份有限 公司－第一期员 工持股计划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65,295,000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97,942,500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57" w:lineRule="auto"/>
                          <w:ind w:left="163" w:right="161" w:firstLine="91"/>
                          <w:jc w:val="left"/>
                          <w:rPr>
                            <w:rFonts w:ascii="宋体" w:hAnsi="宋体" w:cs="宋体" w:eastAsia="宋体" w:hint="default"/>
                            <w:sz w:val="18"/>
                            <w:szCs w:val="18"/>
                          </w:rPr>
                        </w:pPr>
                        <w:r>
                          <w:rPr>
                            <w:rFonts w:ascii="宋体" w:hAnsi="宋体" w:cs="宋体" w:eastAsia="宋体" w:hint="default"/>
                            <w:sz w:val="18"/>
                            <w:szCs w:val="18"/>
                          </w:rPr>
                          <w:t>非公开发行 机构类限售股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16,062,992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24,094,488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8,031,496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日离职后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锁定股份；离职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锁定股份 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流通。</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7,862,969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3,931,484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11,794,453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8,865,424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8,865,427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17,730,851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bl>
                <w:p>
                  <w:pPr/>
                </w:p>
              </w:txbxContent>
            </v:textbox>
            <w10:wrap type="none"/>
          </v:shape>
        </w:pict>
      </w:r>
      <w:r>
        <w:rPr/>
        <w:t>；</w:t>
      </w:r>
    </w:p>
    <w:p>
      <w:pPr>
        <w:spacing w:after="0" w:line="240" w:lineRule="auto"/>
        <w:jc w:val="righ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0" w:right="156"/>
        <w:jc w:val="right"/>
      </w:pPr>
      <w:r>
        <w:rPr/>
        <w:pict>
          <v:shape style="position:absolute;margin-left:56.400002pt;margin-top:-112.468292pt;width:479.4pt;height:228.3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991"/>
                    <w:gridCol w:w="994"/>
                    <w:gridCol w:w="991"/>
                    <w:gridCol w:w="994"/>
                    <w:gridCol w:w="1416"/>
                    <w:gridCol w:w="2768"/>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1,277,195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1,747,043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冯丰穗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37,499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265,292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530,583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5,899,524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5,577,034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11,154,068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736,963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368,482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1,105,445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468,756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日离职后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锁定股份；离职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锁定股份 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流通。</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127,127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316,577,969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24,701,202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165,105,126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456,981,893</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5"/>
        <w:ind w:right="0"/>
        <w:jc w:val="left"/>
        <w:rPr>
          <w:b w:val="0"/>
          <w:bCs w:val="0"/>
        </w:rPr>
      </w:pP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1"/>
        <w:gridCol w:w="998"/>
        <w:gridCol w:w="174"/>
        <w:gridCol w:w="535"/>
        <w:gridCol w:w="683"/>
        <w:gridCol w:w="452"/>
        <w:gridCol w:w="721"/>
        <w:gridCol w:w="271"/>
        <w:gridCol w:w="971"/>
        <w:gridCol w:w="1015"/>
        <w:gridCol w:w="137"/>
        <w:gridCol w:w="276"/>
        <w:gridCol w:w="935"/>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1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57,210</w:t>
            </w:r>
          </w:p>
        </w:tc>
        <w:tc>
          <w:tcPr>
            <w:tcW w:w="117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65,588</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
        </w:tc>
        <w:tc>
          <w:tcPr>
            <w:tcW w:w="1242"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w:t>
            </w:r>
          </w:p>
        </w:tc>
        <w:tc>
          <w:tcPr>
            <w:tcW w:w="11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 w:right="69"/>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1211"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11" w:type="dxa"/>
            <w:vMerge/>
            <w:tcBorders>
              <w:left w:val="single" w:sz="9" w:space="0" w:color="D2D2D2"/>
              <w:right w:val="single" w:sz="9" w:space="0" w:color="D2D2D2"/>
            </w:tcBorders>
          </w:tcPr>
          <w:p>
            <w:pPr/>
          </w:p>
        </w:tc>
        <w:tc>
          <w:tcPr>
            <w:tcW w:w="117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42" w:type="dxa"/>
            <w:gridSpan w:val="2"/>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15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242" w:type="dxa"/>
            <w:gridSpan w:val="2"/>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703"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1" w:type="dxa"/>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2" w:type="dxa"/>
            <w:gridSpan w:val="2"/>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15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1" w:type="dxa"/>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42" w:type="dxa"/>
            <w:gridSpan w:val="2"/>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11" w:type="dxa"/>
            <w:vMerge/>
            <w:tcBorders>
              <w:left w:val="single" w:sz="9" w:space="0" w:color="D2D2D2"/>
              <w:right w:val="single" w:sz="9" w:space="0" w:color="D2D2D2"/>
            </w:tcBorders>
          </w:tcPr>
          <w:p>
            <w:pPr/>
          </w:p>
        </w:tc>
        <w:tc>
          <w:tcPr>
            <w:tcW w:w="1172"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
        </w:tc>
        <w:tc>
          <w:tcPr>
            <w:tcW w:w="1242" w:type="dxa"/>
            <w:gridSpan w:val="2"/>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11" w:type="dxa"/>
            <w:vMerge/>
            <w:tcBorders>
              <w:left w:val="single" w:sz="9" w:space="0" w:color="D2D2D2"/>
              <w:bottom w:val="single" w:sz="4" w:space="0" w:color="000000"/>
              <w:right w:val="single" w:sz="9" w:space="0" w:color="D2D2D2"/>
            </w:tcBorders>
          </w:tcPr>
          <w:p>
            <w:pPr/>
          </w:p>
        </w:tc>
        <w:tc>
          <w:tcPr>
            <w:tcW w:w="11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10"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42" w:type="dxa"/>
            <w:gridSpan w:val="2"/>
            <w:vMerge/>
            <w:tcBorders>
              <w:left w:val="single" w:sz="10" w:space="0" w:color="D2D2D2"/>
              <w:bottom w:val="single" w:sz="4" w:space="0" w:color="000000"/>
              <w:right w:val="single" w:sz="13" w:space="0" w:color="D2D2D2"/>
            </w:tcBorders>
          </w:tcPr>
          <w:p>
            <w:pPr/>
          </w:p>
        </w:tc>
        <w:tc>
          <w:tcPr>
            <w:tcW w:w="1151" w:type="dxa"/>
            <w:gridSpan w:val="2"/>
            <w:vMerge/>
            <w:tcBorders>
              <w:left w:val="single" w:sz="4" w:space="0" w:color="000000"/>
              <w:bottom w:val="single" w:sz="4" w:space="0" w:color="000000"/>
              <w:right w:val="single" w:sz="4" w:space="0" w:color="000000"/>
            </w:tcBorders>
            <w:shd w:val="clear" w:color="auto" w:fill="D2D2D2"/>
          </w:tcPr>
          <w:p>
            <w:pPr/>
          </w:p>
        </w:tc>
        <w:tc>
          <w:tcPr>
            <w:tcW w:w="1211" w:type="dxa"/>
            <w:gridSpan w:val="2"/>
            <w:vMerge/>
            <w:tcBorders>
              <w:left w:val="single" w:sz="10" w:space="0" w:color="D2D2D2"/>
              <w:bottom w:val="single" w:sz="4" w:space="0" w:color="000000"/>
              <w:right w:val="single" w:sz="4" w:space="0" w:color="000000"/>
            </w:tcBorders>
          </w:tcPr>
          <w:p>
            <w:pPr/>
          </w:p>
        </w:tc>
      </w:tr>
      <w:tr>
        <w:trPr>
          <w:trHeight w:val="394" w:hRule="exact"/>
        </w:trPr>
        <w:tc>
          <w:tcPr>
            <w:tcW w:w="956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9" w:hRule="exact"/>
        </w:trPr>
        <w:tc>
          <w:tcPr>
            <w:tcW w:w="2394" w:type="dxa"/>
            <w:gridSpan w:val="2"/>
            <w:vMerge w:val="restart"/>
            <w:tcBorders>
              <w:top w:val="single" w:sz="4" w:space="0" w:color="000000"/>
              <w:left w:val="single" w:sz="4" w:space="0" w:color="000000"/>
              <w:right w:val="single" w:sz="4" w:space="0" w:color="000000"/>
            </w:tcBorders>
            <w:shd w:val="clear" w:color="auto" w:fill="D2D2D2"/>
          </w:tcPr>
          <w:p>
            <w:pPr/>
          </w:p>
        </w:tc>
        <w:tc>
          <w:tcPr>
            <w:tcW w:w="998" w:type="dxa"/>
            <w:vMerge w:val="restart"/>
            <w:tcBorders>
              <w:top w:val="single" w:sz="4" w:space="0" w:color="000000"/>
              <w:left w:val="single" w:sz="4" w:space="0" w:color="000000"/>
              <w:right w:val="single" w:sz="4" w:space="0" w:color="000000"/>
            </w:tcBorders>
            <w:shd w:val="clear" w:color="auto" w:fill="D2D2D2"/>
          </w:tcPr>
          <w:p>
            <w:pPr/>
          </w:p>
        </w:tc>
        <w:tc>
          <w:tcPr>
            <w:tcW w:w="7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9" w:right="1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62"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2394" w:type="dxa"/>
            <w:gridSpan w:val="2"/>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70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32"/>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71"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23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4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7" w:right="13"/>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394" w:type="dxa"/>
            <w:gridSpan w:val="2"/>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413" w:type="dxa"/>
            <w:gridSpan w:val="2"/>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2394" w:type="dxa"/>
            <w:gridSpan w:val="2"/>
            <w:vMerge w:val="restart"/>
            <w:tcBorders>
              <w:top w:val="nil" w:sz="6" w:space="0" w:color="auto"/>
              <w:left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
        </w:tc>
        <w:tc>
          <w:tcPr>
            <w:tcW w:w="709"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413" w:type="dxa"/>
            <w:gridSpan w:val="2"/>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2394" w:type="dxa"/>
            <w:gridSpan w:val="2"/>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7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413" w:type="dxa"/>
            <w:gridSpan w:val="2"/>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9" w:top="110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4pt;height:690.4pt;mso-position-horizontal-relative:page;mso-position-vertical-relative:page;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994"/>
                    <w:gridCol w:w="708"/>
                    <w:gridCol w:w="991"/>
                    <w:gridCol w:w="142"/>
                    <w:gridCol w:w="994"/>
                    <w:gridCol w:w="634"/>
                    <w:gridCol w:w="360"/>
                    <w:gridCol w:w="992"/>
                    <w:gridCol w:w="425"/>
                    <w:gridCol w:w="92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52.52%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1,275,770,169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425,256,723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313,402,500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962,367,669</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广州广电运通金融电子股份有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限公司－第一期员工持股计划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4.03%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97,942,500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32,647,500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97,942,500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2.07%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50,320,134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14,805,578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50,320,134</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1.19%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28,944,488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-3,181,495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28,944,488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11,549,999</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兴业证券－兴业－兴业证券金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麒麟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1.19%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28,834,458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28,834,458</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中国工商银行－华安中小盘成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长混合型证券投资基金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0.74%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0.73%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17,730,851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5,910,284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17,730,851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0.65%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15,725,940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5,241,980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11,794,453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3,931,487</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渤海人寿保险股份有限公司－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传统险五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0.62%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15,038,666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15,038,666</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中央汇金资产管理有限责任公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0.58%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14,105,700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4,701,900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14,105,700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名股东的情况</w:t>
                        </w:r>
                      </w:p>
                    </w:tc>
                    <w:tc>
                      <w:tcPr>
                        <w:tcW w:w="6169"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88" w:hRule="exact"/>
                    </w:trPr>
                    <w:tc>
                      <w:tcPr>
                        <w:tcW w:w="34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69" w:type="dxa"/>
                        <w:gridSpan w:val="9"/>
                        <w:vMerge w:val="restart"/>
                        <w:tcBorders>
                          <w:top w:val="single" w:sz="4" w:space="0" w:color="000000"/>
                          <w:left w:val="single" w:sz="10" w:space="0" w:color="D2D2D2"/>
                          <w:right w:val="single" w:sz="4" w:space="0" w:color="000000"/>
                        </w:tcBorders>
                      </w:tcPr>
                      <w:p>
                        <w:pPr>
                          <w:pStyle w:val="TableParagraph"/>
                          <w:spacing w:line="307" w:lineRule="auto" w:before="54"/>
                          <w:ind w:left="16" w:right="19"/>
                          <w:jc w:val="left"/>
                          <w:rPr>
                            <w:rFonts w:ascii="宋体" w:hAnsi="宋体" w:cs="宋体" w:eastAsia="宋体" w:hint="default"/>
                            <w:sz w:val="18"/>
                            <w:szCs w:val="18"/>
                          </w:rPr>
                        </w:pPr>
                        <w:r>
                          <w:rPr>
                            <w:rFonts w:ascii="宋体" w:hAnsi="宋体" w:cs="宋体" w:eastAsia="宋体" w:hint="default"/>
                            <w:sz w:val="18"/>
                            <w:szCs w:val="18"/>
                          </w:rPr>
                          <w:t>公司前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名股东中：第</w:t>
                        </w:r>
                        <w:r>
                          <w:rPr>
                            <w:rFonts w:ascii="Times New Roman" w:hAnsi="Times New Roman" w:cs="Times New Roman" w:eastAsia="Times New Roman" w:hint="default"/>
                            <w:sz w:val="18"/>
                            <w:szCs w:val="18"/>
                          </w:rPr>
                          <w:t>2</w:t>
                        </w:r>
                        <w:r>
                          <w:rPr>
                            <w:rFonts w:ascii="宋体" w:hAnsi="宋体" w:cs="宋体" w:eastAsia="宋体" w:hint="default"/>
                            <w:sz w:val="18"/>
                            <w:szCs w:val="18"/>
                          </w:rPr>
                          <w:t>名股东为公司第一期员工持股计划，第</w:t>
                        </w:r>
                        <w:r>
                          <w:rPr>
                            <w:rFonts w:ascii="Times New Roman" w:hAnsi="Times New Roman" w:cs="Times New Roman" w:eastAsia="Times New Roman" w:hint="default"/>
                            <w:sz w:val="18"/>
                            <w:szCs w:val="18"/>
                          </w:rPr>
                          <w:t>4</w:t>
                        </w:r>
                        <w:r>
                          <w:rPr>
                            <w:rFonts w:ascii="宋体" w:hAnsi="宋体" w:cs="宋体" w:eastAsia="宋体" w:hint="default"/>
                            <w:sz w:val="18"/>
                            <w:szCs w:val="18"/>
                          </w:rPr>
                          <w:t>名股东赵友永 原为公司及公司第一大股东无线电集团的董事长（赵友永因工作变动原因，已 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月辞去公司董事、董事长和无线电集团董事长职务），第</w:t>
                        </w:r>
                        <w:r>
                          <w:rPr>
                            <w:rFonts w:ascii="Times New Roman" w:hAnsi="Times New Roman" w:cs="Times New Roman" w:eastAsia="Times New Roman" w:hint="default"/>
                            <w:sz w:val="18"/>
                            <w:szCs w:val="18"/>
                          </w:rPr>
                          <w:t>7</w:t>
                        </w:r>
                        <w:r>
                          <w:rPr>
                            <w:rFonts w:ascii="宋体" w:hAnsi="宋体" w:cs="宋体" w:eastAsia="宋体" w:hint="default"/>
                            <w:sz w:val="18"/>
                            <w:szCs w:val="18"/>
                          </w:rPr>
                          <w:t>名股东曾 文原为公司董事（曾文已于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月辞去公司董事职务），第</w:t>
                        </w:r>
                        <w:r>
                          <w:rPr>
                            <w:rFonts w:ascii="Times New Roman" w:hAnsi="Times New Roman" w:cs="Times New Roman" w:eastAsia="Times New Roman" w:hint="default"/>
                            <w:sz w:val="18"/>
                            <w:szCs w:val="18"/>
                          </w:rPr>
                          <w:t>8</w:t>
                        </w:r>
                        <w:r>
                          <w:rPr>
                            <w:rFonts w:ascii="宋体" w:hAnsi="宋体" w:cs="宋体" w:eastAsia="宋体" w:hint="default"/>
                            <w:sz w:val="18"/>
                            <w:szCs w:val="18"/>
                          </w:rPr>
                          <w:t>名股东叶子 </w:t>
                        </w:r>
                        <w:r>
                          <w:rPr>
                            <w:rFonts w:ascii="宋体" w:hAnsi="宋体" w:cs="宋体" w:eastAsia="宋体" w:hint="default"/>
                            <w:spacing w:val="-3"/>
                            <w:sz w:val="18"/>
                            <w:szCs w:val="18"/>
                          </w:rPr>
                          <w:t>瑜为公司董事、总经理，存在关联关系，未知其他股东之间是否存在关联关系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也未知是否属于一致行动人。</w:t>
                        </w:r>
                      </w:p>
                    </w:tc>
                  </w:tr>
                  <w:tr>
                    <w:trPr>
                      <w:trHeight w:val="391" w:hRule="exact"/>
                    </w:trPr>
                    <w:tc>
                      <w:tcPr>
                        <w:tcW w:w="340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9" w:type="dxa"/>
                        <w:gridSpan w:val="9"/>
                        <w:vMerge/>
                        <w:tcBorders>
                          <w:left w:val="single" w:sz="10" w:space="0" w:color="D2D2D2"/>
                          <w:right w:val="single" w:sz="4" w:space="0" w:color="000000"/>
                        </w:tcBorders>
                      </w:tcPr>
                      <w:p>
                        <w:pPr/>
                      </w:p>
                    </w:tc>
                  </w:tr>
                  <w:tr>
                    <w:trPr>
                      <w:trHeight w:val="785" w:hRule="exact"/>
                    </w:trPr>
                    <w:tc>
                      <w:tcPr>
                        <w:tcW w:w="34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69"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510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7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6"/>
                          <w:ind w:left="249" w:right="158" w:hanging="92"/>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70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510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69" w:type="dxa"/>
                        <w:gridSpan w:val="3"/>
                        <w:vMerge/>
                        <w:tcBorders>
                          <w:left w:val="single" w:sz="4" w:space="0" w:color="000000"/>
                          <w:right w:val="single" w:sz="4" w:space="0" w:color="000000"/>
                        </w:tcBorders>
                        <w:shd w:val="clear" w:color="auto" w:fill="D2D2D2"/>
                      </w:tcPr>
                      <w:p>
                        <w:pPr/>
                      </w:p>
                    </w:tc>
                    <w:tc>
                      <w:tcPr>
                        <w:tcW w:w="270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5103" w:type="dxa"/>
                        <w:gridSpan w:val="4"/>
                        <w:vMerge/>
                        <w:tcBorders>
                          <w:left w:val="single" w:sz="4" w:space="0" w:color="000000"/>
                          <w:bottom w:val="nil" w:sz="6" w:space="0" w:color="auto"/>
                          <w:right w:val="single" w:sz="4" w:space="0" w:color="000000"/>
                        </w:tcBorders>
                        <w:shd w:val="clear" w:color="auto" w:fill="D2D2D2"/>
                      </w:tcPr>
                      <w:p>
                        <w:pPr/>
                      </w:p>
                    </w:tc>
                    <w:tc>
                      <w:tcPr>
                        <w:tcW w:w="1769" w:type="dxa"/>
                        <w:gridSpan w:val="3"/>
                        <w:vMerge/>
                        <w:tcBorders>
                          <w:left w:val="single" w:sz="4" w:space="0" w:color="000000"/>
                          <w:right w:val="single" w:sz="4" w:space="0" w:color="000000"/>
                        </w:tcBorders>
                        <w:shd w:val="clear" w:color="auto" w:fill="D2D2D2"/>
                      </w:tcPr>
                      <w:p>
                        <w:pP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510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769" w:type="dxa"/>
                        <w:gridSpan w:val="3"/>
                        <w:vMerge/>
                        <w:tcBorders>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769" w:type="dxa"/>
                        <w:gridSpan w:val="3"/>
                        <w:tcBorders>
                          <w:top w:val="single" w:sz="10" w:space="0" w:color="D2D2D2"/>
                          <w:left w:val="single" w:sz="4" w:space="0" w:color="000000"/>
                          <w:bottom w:val="single" w:sz="4" w:space="0" w:color="000000"/>
                          <w:right w:val="single" w:sz="4" w:space="0" w:color="000000"/>
                        </w:tcBorders>
                      </w:tcPr>
                      <w:p>
                        <w:pPr>
                          <w:pStyle w:val="TableParagraph"/>
                          <w:spacing w:line="240" w:lineRule="auto" w:before="87"/>
                          <w:ind w:left="833" w:right="0"/>
                          <w:jc w:val="left"/>
                          <w:rPr>
                            <w:rFonts w:ascii="Times New Roman" w:hAnsi="Times New Roman" w:cs="Times New Roman" w:eastAsia="Times New Roman" w:hint="default"/>
                            <w:sz w:val="18"/>
                            <w:szCs w:val="18"/>
                          </w:rPr>
                        </w:pPr>
                        <w:r>
                          <w:rPr>
                            <w:rFonts w:ascii="Times New Roman"/>
                            <w:sz w:val="18"/>
                          </w:rPr>
                          <w:t>962,367,669</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2" w:right="0"/>
                          <w:jc w:val="left"/>
                          <w:rPr>
                            <w:rFonts w:ascii="Times New Roman" w:hAnsi="Times New Roman" w:cs="Times New Roman" w:eastAsia="Times New Roman" w:hint="default"/>
                            <w:sz w:val="18"/>
                            <w:szCs w:val="18"/>
                          </w:rPr>
                        </w:pPr>
                        <w:r>
                          <w:rPr>
                            <w:rFonts w:ascii="Times New Roman"/>
                            <w:sz w:val="18"/>
                          </w:rPr>
                          <w:t>962,367,669</w:t>
                        </w:r>
                      </w:p>
                    </w:tc>
                  </w:tr>
                  <w:tr>
                    <w:trPr>
                      <w:trHeight w:val="401"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50,320,134</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50,320,134</w:t>
                        </w:r>
                      </w:p>
                    </w:tc>
                  </w:tr>
                  <w:tr>
                    <w:trPr>
                      <w:trHeight w:val="403"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4" w:right="0"/>
                          <w:jc w:val="left"/>
                          <w:rPr>
                            <w:rFonts w:ascii="Times New Roman" w:hAnsi="Times New Roman" w:cs="Times New Roman" w:eastAsia="Times New Roman" w:hint="default"/>
                            <w:sz w:val="18"/>
                            <w:szCs w:val="18"/>
                          </w:rPr>
                        </w:pPr>
                        <w:r>
                          <w:rPr>
                            <w:rFonts w:ascii="Times New Roman"/>
                            <w:sz w:val="18"/>
                          </w:rPr>
                          <w:t>28,944,488</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28,944,488</w:t>
                        </w:r>
                      </w:p>
                    </w:tc>
                  </w:tr>
                  <w:tr>
                    <w:trPr>
                      <w:trHeight w:val="401"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兴业证券－兴业－兴业证券金麒麟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28,834,458</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28,834,458</w:t>
                        </w:r>
                      </w:p>
                    </w:tc>
                  </w:tr>
                  <w:tr>
                    <w:trPr>
                      <w:trHeight w:val="403"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中国工商银行－华安中小盘成长混合型证券投资基金</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4" w:right="0"/>
                          <w:jc w:val="left"/>
                          <w:rPr>
                            <w:rFonts w:ascii="Times New Roman" w:hAnsi="Times New Roman" w:cs="Times New Roman" w:eastAsia="Times New Roman" w:hint="default"/>
                            <w:sz w:val="18"/>
                            <w:szCs w:val="18"/>
                          </w:rPr>
                        </w:pPr>
                        <w:r>
                          <w:rPr>
                            <w:rFonts w:ascii="Times New Roman"/>
                            <w:sz w:val="18"/>
                          </w:rPr>
                          <w:t>18,000,000</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18,000,000</w:t>
                        </w:r>
                      </w:p>
                    </w:tc>
                  </w:tr>
                  <w:tr>
                    <w:trPr>
                      <w:trHeight w:val="401"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渤海人寿保险股份有限公司－传统险五</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15,038,666</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15,038,666</w:t>
                        </w:r>
                      </w:p>
                    </w:tc>
                  </w:tr>
                  <w:tr>
                    <w:trPr>
                      <w:trHeight w:val="403"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4" w:right="0"/>
                          <w:jc w:val="left"/>
                          <w:rPr>
                            <w:rFonts w:ascii="Times New Roman" w:hAnsi="Times New Roman" w:cs="Times New Roman" w:eastAsia="Times New Roman" w:hint="default"/>
                            <w:sz w:val="18"/>
                            <w:szCs w:val="18"/>
                          </w:rPr>
                        </w:pPr>
                        <w:r>
                          <w:rPr>
                            <w:rFonts w:ascii="Times New Roman"/>
                            <w:sz w:val="18"/>
                          </w:rPr>
                          <w:t>14,105,700</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14,105,700</w:t>
                        </w:r>
                      </w:p>
                    </w:tc>
                  </w:tr>
                  <w:tr>
                    <w:trPr>
                      <w:trHeight w:val="401"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安耐德合伙人有限公司－客户资金</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4" w:right="0"/>
                          <w:jc w:val="left"/>
                          <w:rPr>
                            <w:rFonts w:ascii="Times New Roman" w:hAnsi="Times New Roman" w:cs="Times New Roman" w:eastAsia="Times New Roman" w:hint="default"/>
                            <w:sz w:val="18"/>
                            <w:szCs w:val="18"/>
                          </w:rPr>
                        </w:pPr>
                        <w:r>
                          <w:rPr>
                            <w:rFonts w:ascii="Times New Roman"/>
                            <w:sz w:val="18"/>
                          </w:rPr>
                          <w:t>11,804,355</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11,804,355</w:t>
                        </w:r>
                      </w:p>
                    </w:tc>
                  </w:tr>
                  <w:tr>
                    <w:trPr>
                      <w:trHeight w:val="404"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3" w:right="0"/>
                          <w:jc w:val="left"/>
                          <w:rPr>
                            <w:rFonts w:ascii="Times New Roman" w:hAnsi="Times New Roman" w:cs="Times New Roman" w:eastAsia="Times New Roman" w:hint="default"/>
                            <w:sz w:val="18"/>
                            <w:szCs w:val="18"/>
                          </w:rPr>
                        </w:pPr>
                        <w:r>
                          <w:rPr>
                            <w:rFonts w:ascii="Times New Roman"/>
                            <w:sz w:val="18"/>
                          </w:rPr>
                          <w:t>9,000,147</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2" w:right="0"/>
                          <w:jc w:val="left"/>
                          <w:rPr>
                            <w:rFonts w:ascii="Times New Roman" w:hAnsi="Times New Roman" w:cs="Times New Roman" w:eastAsia="Times New Roman" w:hint="default"/>
                            <w:sz w:val="18"/>
                            <w:szCs w:val="18"/>
                          </w:rPr>
                        </w:pPr>
                        <w:r>
                          <w:rPr>
                            <w:rFonts w:ascii="Times New Roman"/>
                            <w:sz w:val="18"/>
                          </w:rPr>
                          <w:t>9,000,147</w:t>
                        </w:r>
                      </w:p>
                    </w:tc>
                  </w:tr>
                  <w:tr>
                    <w:trPr>
                      <w:trHeight w:val="403" w:hRule="exact"/>
                    </w:trPr>
                    <w:tc>
                      <w:tcPr>
                        <w:tcW w:w="51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中国建设银行股份有限公司－华安保本混合型证券投资基金</w:t>
                        </w:r>
                      </w:p>
                    </w:tc>
                    <w:tc>
                      <w:tcPr>
                        <w:tcW w:w="1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3" w:right="0"/>
                          <w:jc w:val="left"/>
                          <w:rPr>
                            <w:rFonts w:ascii="Times New Roman" w:hAnsi="Times New Roman" w:cs="Times New Roman" w:eastAsia="Times New Roman" w:hint="default"/>
                            <w:sz w:val="18"/>
                            <w:szCs w:val="18"/>
                          </w:rPr>
                        </w:pPr>
                        <w:r>
                          <w:rPr>
                            <w:rFonts w:ascii="Times New Roman"/>
                            <w:sz w:val="18"/>
                          </w:rPr>
                          <w:t>7,500,000</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7,500,000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56"/>
        <w:jc w:val="right"/>
      </w:pPr>
      <w:r>
        <w:rPr/>
        <w:t>，</w:t>
      </w:r>
    </w:p>
    <w:p>
      <w:pPr>
        <w:spacing w:after="0" w:line="240" w:lineRule="auto"/>
        <w:jc w:val="right"/>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102"/>
        <w:gridCol w:w="4470"/>
      </w:tblGrid>
      <w:tr>
        <w:trPr>
          <w:trHeight w:val="227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both"/>
              <w:rPr>
                <w:rFonts w:ascii="宋体" w:hAnsi="宋体" w:cs="宋体" w:eastAsia="宋体" w:hint="default"/>
                <w:sz w:val="18"/>
                <w:szCs w:val="18"/>
              </w:rPr>
            </w:pPr>
            <w:r>
              <w:rPr>
                <w:rFonts w:ascii="宋体" w:hAnsi="宋体" w:cs="宋体" w:eastAsia="宋体" w:hint="default"/>
                <w:spacing w:val="-4"/>
                <w:sz w:val="18"/>
                <w:szCs w:val="18"/>
              </w:rPr>
              <w:t>前十名无限售流通股股东中：第一大股东无线电集团与第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二大股东梅州敬基实业有限公司同为公司发起人股东，但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不存在关联关系，第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名股东赵友永原为公司及公司第一</w:t>
            </w:r>
            <w:r>
              <w:rPr>
                <w:rFonts w:ascii="宋体" w:hAnsi="宋体" w:cs="宋体" w:eastAsia="宋体" w:hint="default"/>
                <w:sz w:val="18"/>
                <w:szCs w:val="18"/>
              </w:rPr>
              <w:t> </w:t>
            </w:r>
            <w:r>
              <w:rPr>
                <w:rFonts w:ascii="宋体" w:hAnsi="宋体" w:cs="宋体" w:eastAsia="宋体" w:hint="default"/>
                <w:spacing w:val="-4"/>
                <w:sz w:val="18"/>
                <w:szCs w:val="18"/>
              </w:rPr>
              <w:t>大股东无线电集团的董事长（赵友永因工作变动原因，已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月辞去公司董事、董事长和无线电集团董事 </w:t>
            </w:r>
            <w:r>
              <w:rPr>
                <w:rFonts w:ascii="宋体" w:hAnsi="宋体" w:cs="宋体" w:eastAsia="宋体" w:hint="default"/>
                <w:spacing w:val="-4"/>
                <w:sz w:val="18"/>
                <w:szCs w:val="18"/>
              </w:rPr>
              <w:t>长职务），未知其他股东之间是否存在关联关系，也未知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是否属于一致行动人。</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right="7434"/>
        <w:jc w:val="left"/>
      </w:pPr>
      <w:r>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852"/>
        <w:gridCol w:w="991"/>
        <w:gridCol w:w="1133"/>
        <w:gridCol w:w="1418"/>
        <w:gridCol w:w="5175"/>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60" w:hanging="181"/>
              <w:jc w:val="left"/>
              <w:rPr>
                <w:rFonts w:ascii="宋体" w:hAnsi="宋体" w:cs="宋体" w:eastAsia="宋体" w:hint="default"/>
                <w:sz w:val="18"/>
                <w:szCs w:val="18"/>
              </w:rPr>
            </w:pPr>
            <w:r>
              <w:rPr>
                <w:rFonts w:ascii="宋体" w:hAnsi="宋体" w:cs="宋体" w:eastAsia="宋体" w:hint="default"/>
                <w:sz w:val="18"/>
                <w:szCs w:val="18"/>
              </w:rPr>
              <w:t>控股股东 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96"/>
              <w:jc w:val="both"/>
              <w:rPr>
                <w:rFonts w:ascii="宋体" w:hAnsi="宋体" w:cs="宋体" w:eastAsia="宋体" w:hint="default"/>
                <w:sz w:val="18"/>
                <w:szCs w:val="18"/>
              </w:rPr>
            </w:pPr>
            <w:r>
              <w:rPr>
                <w:rFonts w:ascii="宋体" w:hAnsi="宋体" w:cs="宋体" w:eastAsia="宋体" w:hint="default"/>
                <w:sz w:val="18"/>
                <w:szCs w:val="18"/>
              </w:rPr>
              <w:t>广州无线 电集团有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36" w:lineRule="auto"/>
              <w:ind w:left="26"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 码： </w:t>
            </w:r>
            <w:r>
              <w:rPr>
                <w:rFonts w:ascii="Times New Roman" w:hAnsi="Times New Roman" w:cs="Times New Roman" w:eastAsia="Times New Roman" w:hint="default"/>
                <w:sz w:val="18"/>
                <w:szCs w:val="18"/>
              </w:rPr>
              <w:t>914401012312162</w:t>
            </w:r>
          </w:p>
          <w:p>
            <w:pPr>
              <w:pStyle w:val="TableParagraph"/>
              <w:spacing w:line="240" w:lineRule="auto" w:before="25"/>
              <w:ind w:left="26" w:right="0"/>
              <w:jc w:val="left"/>
              <w:rPr>
                <w:rFonts w:ascii="Times New Roman" w:hAnsi="Times New Roman" w:cs="Times New Roman" w:eastAsia="Times New Roman" w:hint="default"/>
                <w:sz w:val="18"/>
                <w:szCs w:val="18"/>
              </w:rPr>
            </w:pPr>
            <w:r>
              <w:rPr>
                <w:rFonts w:ascii="Times New Roman"/>
                <w:sz w:val="18"/>
              </w:rPr>
              <w:t>20B</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9"/>
              <w:jc w:val="both"/>
              <w:rPr>
                <w:rFonts w:ascii="宋体" w:hAnsi="宋体" w:cs="宋体" w:eastAsia="宋体" w:hint="default"/>
                <w:sz w:val="18"/>
                <w:szCs w:val="18"/>
              </w:rPr>
            </w:pPr>
            <w:r>
              <w:rPr>
                <w:rFonts w:ascii="宋体" w:hAnsi="宋体" w:cs="宋体" w:eastAsia="宋体" w:hint="default"/>
                <w:sz w:val="18"/>
                <w:szCs w:val="18"/>
              </w:rPr>
              <w:t>资产管理（不含许可审批项目）；计算机应用电子设备制造；通 信系统设备制造；通信终端设备制造；雷达及配套设备制造；计 算机技术开发、技术服务；软件开发；信息技术咨询服务；房地 产开发经营；房屋租赁；货物进出口（专营专控商品除外）；技 术进出口；商品批发贸易（许可审批类商品除外）；塑料零件制 造；音响设备制造；影视录放设备制造；光电子器件及其他电子 器件制造；绘图、计算及测量仪器制造；计算机整机制造；计算 机零部件制造；金属切削机床制造；电子、通信与自动控制技术 研究、开发；电子产品设计服务；通信工程设计服务；商品零售 贸易（许可审批类商品除外）；专用设备修理；电气设备修理； 软件服务。</w:t>
            </w:r>
          </w:p>
        </w:tc>
      </w:tr>
      <w:tr>
        <w:trPr>
          <w:trHeight w:val="227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控股股东 报告期内 控股和参 股的其他 境内外上 市公司的 股权情况</w:t>
            </w:r>
          </w:p>
        </w:tc>
        <w:tc>
          <w:tcPr>
            <w:tcW w:w="871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日，控股股东无线电集团持有海格通信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21.76%</w:t>
            </w:r>
            <w:r>
              <w:rPr>
                <w:rFonts w:ascii="宋体" w:hAnsi="宋体" w:cs="宋体" w:eastAsia="宋体" w:hint="default"/>
                <w:sz w:val="18"/>
                <w:szCs w:val="18"/>
              </w:rPr>
              <w:t>股权、持有金浦钛业股份有限公司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股权、持有广电计量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53.23%</w:t>
            </w:r>
            <w:r>
              <w:rPr>
                <w:rFonts w:ascii="宋体" w:hAnsi="宋体" w:cs="宋体" w:eastAsia="宋体" w:hint="default"/>
                <w:sz w:val="18"/>
                <w:szCs w:val="18"/>
              </w:rPr>
              <w:t>股权、持有广州广哈通信股份有限公司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3.47%</w:t>
            </w:r>
            <w:r>
              <w:rPr>
                <w:rFonts w:ascii="宋体" w:hAnsi="宋体" w:cs="宋体" w:eastAsia="宋体" w:hint="default"/>
                <w:sz w:val="18"/>
                <w:szCs w:val="18"/>
              </w:rPr>
              <w:t>股权。</w:t>
            </w:r>
          </w:p>
        </w:tc>
      </w:tr>
    </w:tbl>
    <w:p>
      <w:pPr>
        <w:pStyle w:val="BodyText"/>
        <w:spacing w:line="240" w:lineRule="auto" w:before="70"/>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87"/>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right="693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000"/>
        <w:gridCol w:w="2113"/>
        <w:gridCol w:w="1985"/>
        <w:gridCol w:w="1985"/>
        <w:gridCol w:w="1488"/>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陈浩钿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70"/>
        <w:ind w:right="87"/>
        <w:jc w:val="left"/>
      </w:pPr>
      <w:r>
        <w:rPr/>
        <w:t>实际控制人报告期内变更</w:t>
      </w:r>
    </w:p>
    <w:p>
      <w:pPr>
        <w:pStyle w:val="BodyText"/>
        <w:spacing w:line="348" w:lineRule="auto" w:before="115"/>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3"/>
          <w:szCs w:val="3"/>
        </w:rPr>
      </w:pPr>
    </w:p>
    <w:p>
      <w:pPr>
        <w:spacing w:line="2745" w:lineRule="exact"/>
        <w:ind w:left="2954"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2552541" cy="174364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2552541" cy="1743646"/>
                    </a:xfrm>
                    <a:prstGeom prst="rect">
                      <a:avLst/>
                    </a:prstGeom>
                  </pic:spPr>
                </pic:pic>
              </a:graphicData>
            </a:graphic>
          </wp:inline>
        </w:drawing>
      </w:r>
      <w:r>
        <w:rPr>
          <w:rFonts w:ascii="宋体" w:hAnsi="宋体" w:cs="宋体" w:eastAsia="宋体" w:hint="default"/>
          <w:position w:val="-54"/>
          <w:sz w:val="20"/>
          <w:szCs w:val="20"/>
        </w:rPr>
      </w:r>
    </w:p>
    <w:p>
      <w:pPr>
        <w:pStyle w:val="BodyText"/>
        <w:spacing w:line="240" w:lineRule="auto" w:before="91"/>
        <w:ind w:right="87"/>
        <w:jc w:val="left"/>
      </w:pPr>
      <w:r>
        <w:rPr/>
        <w:t>实际控制人通过信托或其他资产管理方式控制公司</w:t>
      </w:r>
    </w:p>
    <w:p>
      <w:pPr>
        <w:pStyle w:val="BodyText"/>
        <w:spacing w:line="240" w:lineRule="auto" w:before="115"/>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right="87"/>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right="87"/>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7"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月，公司完成非公开发行</w:t>
      </w:r>
      <w:r>
        <w:rPr>
          <w:rFonts w:ascii="Times New Roman" w:hAnsi="Times New Roman" w:cs="Times New Roman" w:eastAsia="Times New Roman" w:hint="default"/>
        </w:rPr>
        <w:t>A</w:t>
      </w:r>
      <w:r>
        <w:rPr/>
        <w:t>股股票的发行工作，募集资金</w:t>
      </w:r>
      <w:r>
        <w:rPr>
          <w:rFonts w:ascii="Times New Roman" w:hAnsi="Times New Roman" w:cs="Times New Roman" w:eastAsia="Times New Roman" w:hint="default"/>
        </w:rPr>
        <w:t>31.37</w:t>
      </w:r>
      <w:r>
        <w:rPr/>
        <w:t>亿元，发行股票数量</w:t>
      </w:r>
      <w:r>
        <w:rPr>
          <w:rFonts w:ascii="Times New Roman" w:hAnsi="Times New Roman" w:cs="Times New Roman" w:eastAsia="Times New Roman" w:hint="default"/>
        </w:rPr>
        <w:t>18,282</w:t>
      </w:r>
      <w:r>
        <w:rPr/>
        <w:t>万股，其中：控股股 </w:t>
      </w:r>
      <w:r>
        <w:rPr>
          <w:spacing w:val="-3"/>
        </w:rPr>
        <w:t>东无线电集团认购</w:t>
      </w:r>
      <w:r>
        <w:rPr>
          <w:rFonts w:ascii="Times New Roman" w:hAnsi="Times New Roman" w:cs="Times New Roman" w:eastAsia="Times New Roman" w:hint="default"/>
          <w:spacing w:val="-3"/>
        </w:rPr>
        <w:t>13,929</w:t>
      </w:r>
      <w:r>
        <w:rPr>
          <w:spacing w:val="-3"/>
        </w:rPr>
        <w:t>万股，公司员工持股计划认购</w:t>
      </w:r>
      <w:r>
        <w:rPr>
          <w:rFonts w:ascii="Times New Roman" w:hAnsi="Times New Roman" w:cs="Times New Roman" w:eastAsia="Times New Roman" w:hint="default"/>
          <w:spacing w:val="-3"/>
        </w:rPr>
        <w:t>4,353</w:t>
      </w:r>
      <w:r>
        <w:rPr>
          <w:spacing w:val="-3"/>
        </w:rPr>
        <w:t>万股，募集资金用于建设全国金融外包服务平台和补充流动资金。</w:t>
      </w:r>
      <w:r>
        <w:rPr>
          <w:spacing w:val="-85"/>
        </w:rPr>
        <w:t> </w:t>
      </w:r>
      <w:r>
        <w:rPr>
          <w:spacing w:val="-85"/>
        </w:rPr>
      </w:r>
      <w:r>
        <w:rPr/>
        <w:t>无线电集团承诺：自本次发行结束之日起</w:t>
      </w:r>
      <w:r>
        <w:rPr>
          <w:rFonts w:ascii="Times New Roman" w:hAnsi="Times New Roman" w:cs="Times New Roman" w:eastAsia="Times New Roman" w:hint="default"/>
        </w:rPr>
        <w:t>36</w:t>
      </w:r>
      <w:r>
        <w:rPr/>
        <w:t>个月内，不以任何方式转让在本次发行中认购的广电运通的股份。</w:t>
      </w:r>
    </w:p>
    <w:p>
      <w:pPr>
        <w:spacing w:after="0" w:line="300" w:lineRule="auto"/>
        <w:jc w:val="left"/>
        <w:sectPr>
          <w:pgSz w:w="11910" w:h="16840"/>
          <w:pgMar w:header="880"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40"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89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372"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708"/>
        <w:gridCol w:w="994"/>
        <w:gridCol w:w="425"/>
        <w:gridCol w:w="283"/>
        <w:gridCol w:w="283"/>
        <w:gridCol w:w="1702"/>
        <w:gridCol w:w="1560"/>
        <w:gridCol w:w="991"/>
        <w:gridCol w:w="991"/>
        <w:gridCol w:w="711"/>
        <w:gridCol w:w="566"/>
        <w:gridCol w:w="924"/>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57" w:lineRule="auto"/>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7"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38"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2"/>
                <w:sz w:val="18"/>
                <w:szCs w:val="18"/>
              </w:rPr>
              <w:t>份数量（股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left"/>
              <w:rPr>
                <w:rFonts w:ascii="宋体" w:hAnsi="宋体" w:cs="宋体" w:eastAsia="宋体" w:hint="default"/>
                <w:sz w:val="18"/>
                <w:szCs w:val="18"/>
              </w:rPr>
            </w:pPr>
            <w:r>
              <w:rPr>
                <w:rFonts w:ascii="宋体" w:hAnsi="宋体" w:cs="宋体" w:eastAsia="宋体" w:hint="default"/>
                <w:sz w:val="18"/>
                <w:szCs w:val="18"/>
              </w:rPr>
              <w:t>本期减 持股份</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数量</w:t>
            </w:r>
          </w:p>
          <w:p>
            <w:pPr>
              <w:pStyle w:val="TableParagraph"/>
              <w:spacing w:line="240" w:lineRule="auto" w:before="76"/>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6"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656,759</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417"/>
              <w:jc w:val="left"/>
              <w:rPr>
                <w:rFonts w:ascii="宋体" w:hAnsi="宋体" w:cs="宋体" w:eastAsia="宋体" w:hint="default"/>
                <w:sz w:val="18"/>
                <w:szCs w:val="18"/>
              </w:rPr>
            </w:pPr>
            <w:r>
              <w:rPr>
                <w:rFonts w:ascii="宋体" w:hAnsi="宋体" w:cs="宋体" w:eastAsia="宋体" w:hint="default"/>
                <w:sz w:val="18"/>
                <w:szCs w:val="18"/>
              </w:rPr>
              <w:t>董事、 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417"/>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10,483,960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5,241,980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15,725,940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57"/>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57"/>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982,619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491,310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1,473,929</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11,820,567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5,910,284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17,730,851</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陈春田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刘佩莲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张宗贵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朱桂龙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邢良文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1,552,927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776,464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2,329,391</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莫东成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冯丰穗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7"/>
              <w:jc w:val="left"/>
              <w:rPr>
                <w:rFonts w:ascii="宋体" w:hAnsi="宋体" w:cs="宋体" w:eastAsia="宋体" w:hint="default"/>
                <w:sz w:val="18"/>
                <w:szCs w:val="18"/>
              </w:rPr>
            </w:pPr>
            <w:r>
              <w:rPr>
                <w:rFonts w:ascii="宋体" w:hAnsi="宋体" w:cs="宋体" w:eastAsia="宋体" w:hint="default"/>
                <w:sz w:val="18"/>
                <w:szCs w:val="18"/>
              </w:rPr>
              <w:t>职工监事、 工会主席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353,722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176,861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530,583</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邝建洲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7,436,045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3,718,023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11,154,068</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937,512</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56,501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169,502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760" w:right="760"/>
        </w:sectPr>
      </w:pPr>
    </w:p>
    <w:p>
      <w:pPr>
        <w:spacing w:line="240" w:lineRule="auto" w:before="8"/>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708"/>
        <w:gridCol w:w="994"/>
        <w:gridCol w:w="425"/>
        <w:gridCol w:w="283"/>
        <w:gridCol w:w="283"/>
        <w:gridCol w:w="1702"/>
        <w:gridCol w:w="1560"/>
        <w:gridCol w:w="991"/>
        <w:gridCol w:w="991"/>
        <w:gridCol w:w="711"/>
        <w:gridCol w:w="566"/>
        <w:gridCol w:w="924"/>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7"/>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476,950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12,150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7"/>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4"/>
              <w:jc w:val="righ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34,237,688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17,118,847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51,197,635</w:t>
            </w:r>
          </w:p>
        </w:tc>
      </w:tr>
    </w:tbl>
    <w:p>
      <w:pPr>
        <w:spacing w:line="240" w:lineRule="auto" w:before="1"/>
        <w:rPr>
          <w:rFonts w:ascii="宋体" w:hAnsi="宋体" w:cs="宋体" w:eastAsia="宋体" w:hint="default"/>
          <w:b/>
          <w:bCs/>
          <w:sz w:val="18"/>
          <w:szCs w:val="18"/>
        </w:rPr>
      </w:pPr>
    </w:p>
    <w:p>
      <w:pPr>
        <w:pStyle w:val="Heading2"/>
        <w:spacing w:line="240" w:lineRule="auto" w:before="26"/>
        <w:ind w:left="372"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0" w:right="236"/>
        <w:jc w:val="right"/>
      </w:pPr>
      <w:r>
        <w:rPr/>
        <w:pict>
          <v:shape style="position:absolute;margin-left:52.799999pt;margin-top:-150.368256pt;width:489.85pt;height:480.1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852"/>
                    <w:gridCol w:w="850"/>
                    <w:gridCol w:w="1561"/>
                    <w:gridCol w:w="5811"/>
                  </w:tblGrid>
                  <w:tr>
                    <w:trPr>
                      <w:trHeight w:val="714"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33" w:right="57" w:hanging="272"/>
                          <w:jc w:val="left"/>
                          <w:rPr>
                            <w:rFonts w:ascii="宋体" w:hAnsi="宋体" w:cs="宋体" w:eastAsia="宋体" w:hint="default"/>
                            <w:sz w:val="18"/>
                            <w:szCs w:val="18"/>
                          </w:rPr>
                        </w:pPr>
                        <w:r>
                          <w:rPr>
                            <w:rFonts w:ascii="宋体" w:hAnsi="宋体" w:cs="宋体" w:eastAsia="宋体" w:hint="default"/>
                            <w:sz w:val="18"/>
                            <w:szCs w:val="18"/>
                          </w:rPr>
                          <w:t>担任的职 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因到龄退休辞去公司副总经理职务，辞职后，不再担任公司任何职务。</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因工作调整辞去公司董事职务，现不再担任公司任何职务。</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刘佩莲</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both"/>
                          <w:rPr>
                            <w:rFonts w:ascii="宋体" w:hAnsi="宋体" w:cs="宋体" w:eastAsia="宋体" w:hint="default"/>
                            <w:sz w:val="18"/>
                            <w:szCs w:val="18"/>
                          </w:rPr>
                        </w:pPr>
                        <w:r>
                          <w:rPr>
                            <w:rFonts w:ascii="宋体" w:hAnsi="宋体" w:cs="宋体" w:eastAsia="宋体" w:hint="default"/>
                            <w:sz w:val="18"/>
                            <w:szCs w:val="18"/>
                          </w:rPr>
                          <w:t>因连任公司独立董事时间已满六年，按照相关规定不能续任，故辞去公司 独立董事职务，同时一并辞去董事会审计委员会、薪酬与考核委员会、提 名委员会相应职务。辞职后，不再担任公司任何职务。</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9"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因个人原因辞去公司监事职务，辞职后，不再担任公司任何职务。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年度股东大会选举黄跃珍为公司董事</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陈春田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年度股东大会选举陈春田为公司董事</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邢良文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年度股东大会选举邢良文为公司独立 董事。</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莫东成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年度股东大会选举莫东成为公司监事</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因个人身体原因辞去公司副总经理职务，辞职后，不再担任公司任何职务</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0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日召开的第五届董事会第一次会议选举黄跃珍为公 司董事长。</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年第一次临时股东大会选举杨文峰为 公司董事。</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朱桂龙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年第一次临时股东大会选举朱桂龙为 公司独立董事。</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年第一次临时股东大会选举陈建良为 公司董事。</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邝建洲</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0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日召开了第四届第四次职工代表大会选举邝建洲 为公司第五届监事会职工代表监事，任期与第五届监事会一致。</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0" w:right="146" w:hanging="89"/>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left="0" w:right="2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236"/>
        <w:jc w:val="right"/>
      </w:pPr>
      <w:r>
        <w:rPr/>
        <w:t>。</w:t>
      </w:r>
    </w:p>
    <w:p>
      <w:pPr>
        <w:spacing w:line="240" w:lineRule="auto" w:before="3"/>
        <w:rPr>
          <w:rFonts w:ascii="宋体" w:hAnsi="宋体" w:cs="宋体" w:eastAsia="宋体" w:hint="default"/>
          <w:sz w:val="9"/>
          <w:szCs w:val="9"/>
        </w:rPr>
      </w:pPr>
    </w:p>
    <w:p>
      <w:pPr>
        <w:pStyle w:val="BodyText"/>
        <w:spacing w:line="240" w:lineRule="auto" w:before="44"/>
        <w:ind w:left="0" w:right="237"/>
        <w:jc w:val="right"/>
      </w:pPr>
      <w:r>
        <w:rPr/>
        <w:t>。</w:t>
      </w:r>
    </w:p>
    <w:p>
      <w:pPr>
        <w:spacing w:after="0" w:line="240" w:lineRule="auto"/>
        <w:jc w:val="right"/>
        <w:sectPr>
          <w:pgSz w:w="11910" w:h="16840"/>
          <w:pgMar w:header="880" w:footer="979" w:top="1100" w:bottom="1160" w:left="760" w:right="76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708"/>
        <w:gridCol w:w="852"/>
        <w:gridCol w:w="850"/>
        <w:gridCol w:w="1561"/>
        <w:gridCol w:w="5811"/>
      </w:tblGrid>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0" w:right="146" w:hanging="89"/>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陈春田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40" w:right="146" w:hanging="89"/>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冯丰穗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40" w:right="146" w:hanging="89"/>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1"/>
                <w:sz w:val="18"/>
                <w:szCs w:val="18"/>
              </w:rPr>
              <w:t> </w:t>
            </w:r>
            <w:r>
              <w:rPr>
                <w:rFonts w:ascii="宋体" w:hAnsi="宋体" w:cs="宋体" w:eastAsia="宋体" w:hint="default"/>
                <w:sz w:val="18"/>
                <w:szCs w:val="18"/>
              </w:rPr>
              <w:t>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3"/>
              <w:ind w:left="242" w:right="146" w:hanging="89"/>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19"/>
              <w:jc w:val="left"/>
              <w:rPr>
                <w:rFonts w:ascii="宋体" w:hAnsi="宋体" w:cs="宋体" w:eastAsia="宋体" w:hint="default"/>
                <w:sz w:val="18"/>
                <w:szCs w:val="18"/>
              </w:rPr>
            </w:pPr>
            <w:r>
              <w:rPr>
                <w:rFonts w:ascii="宋体" w:hAnsi="宋体" w:cs="宋体" w:eastAsia="宋体" w:hint="default"/>
                <w:sz w:val="18"/>
                <w:szCs w:val="18"/>
              </w:rPr>
              <w:t>因个人原因向公司董事会提出辞去公司董事会秘书职务，辞职后不再担任 公司任何职务。</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钟</w:t>
            </w:r>
            <w:r>
              <w:rPr>
                <w:rFonts w:ascii="宋体" w:hAnsi="宋体" w:cs="宋体" w:eastAsia="宋体" w:hint="default"/>
                <w:spacing w:val="1"/>
                <w:sz w:val="18"/>
                <w:szCs w:val="18"/>
              </w:rPr>
              <w:t> </w:t>
            </w:r>
            <w:r>
              <w:rPr>
                <w:rFonts w:ascii="宋体" w:hAnsi="宋体" w:cs="宋体" w:eastAsia="宋体" w:hint="default"/>
                <w:sz w:val="18"/>
                <w:szCs w:val="18"/>
              </w:rPr>
              <w:t>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2" w:right="146" w:hanging="89"/>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103"/>
              <w:jc w:val="left"/>
              <w:rPr>
                <w:rFonts w:ascii="宋体" w:hAnsi="宋体" w:cs="宋体" w:eastAsia="宋体" w:hint="default"/>
                <w:sz w:val="18"/>
                <w:szCs w:val="18"/>
              </w:rPr>
            </w:pPr>
            <w:r>
              <w:rPr>
                <w:rFonts w:ascii="宋体" w:hAnsi="宋体" w:cs="宋体" w:eastAsia="宋体" w:hint="default"/>
                <w:sz w:val="18"/>
                <w:szCs w:val="18"/>
              </w:rPr>
              <w:t>根据公司经营管理的需要，公司于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日召开的第五届董事 会第四次会议聘任钟勇为公司董事会秘书。</w:t>
            </w:r>
          </w:p>
        </w:tc>
      </w:tr>
    </w:tbl>
    <w:p>
      <w:pPr>
        <w:spacing w:line="240" w:lineRule="auto" w:before="1"/>
        <w:rPr>
          <w:rFonts w:ascii="宋体" w:hAnsi="宋体" w:cs="宋体" w:eastAsia="宋体" w:hint="default"/>
          <w:sz w:val="18"/>
          <w:szCs w:val="18"/>
        </w:rPr>
      </w:pPr>
    </w:p>
    <w:p>
      <w:pPr>
        <w:pStyle w:val="Heading2"/>
        <w:spacing w:line="240" w:lineRule="auto" w:before="26"/>
        <w:ind w:left="192" w:right="104"/>
        <w:jc w:val="left"/>
        <w:rPr>
          <w:b w:val="0"/>
          <w:bCs w:val="0"/>
        </w:rPr>
      </w:pP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92" w:right="104"/>
        <w:jc w:val="left"/>
      </w:pPr>
      <w:r>
        <w:rPr/>
        <w:t>公司现任董事、监事、高级管理人员专业背景、主要工作经历以及目前在公司的主要职责</w:t>
      </w:r>
    </w:p>
    <w:p>
      <w:pPr>
        <w:pStyle w:val="BodyText"/>
        <w:spacing w:line="300" w:lineRule="auto" w:before="115"/>
        <w:ind w:left="553" w:right="183"/>
        <w:jc w:val="left"/>
      </w:pPr>
      <w:r>
        <w:rPr>
          <w:rFonts w:ascii="Times New Roman" w:hAnsi="Times New Roman" w:cs="Times New Roman" w:eastAsia="Times New Roman" w:hint="default"/>
        </w:rPr>
        <w:t>1</w:t>
      </w:r>
      <w:r>
        <w:rPr/>
        <w:t>、第五届董事会成员 杨海洲，中国国籍，</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6</w:t>
      </w:r>
      <w:r>
        <w:rPr/>
        <w:t>月出生，研究生学历。曾任广州无线电集团军工处副处长、处长，广州无线电集团总经理</w:t>
      </w:r>
    </w:p>
    <w:p>
      <w:pPr>
        <w:pStyle w:val="BodyText"/>
        <w:spacing w:line="316" w:lineRule="auto" w:before="13"/>
        <w:ind w:left="192" w:right="191"/>
        <w:jc w:val="both"/>
      </w:pPr>
      <w:r>
        <w:rPr>
          <w:spacing w:val="-2"/>
        </w:rPr>
        <w:t>助理、副总裁、党委副书记、副董事长、总裁，海格有限副董事长、总经理，海格通信副董事长、总经理等职务。现任公司</w:t>
      </w:r>
      <w:r>
        <w:rPr>
          <w:spacing w:val="-69"/>
        </w:rPr>
        <w:t> </w:t>
      </w:r>
      <w:r>
        <w:rPr>
          <w:spacing w:val="-69"/>
        </w:rPr>
      </w:r>
      <w:r>
        <w:rPr>
          <w:spacing w:val="-2"/>
        </w:rPr>
        <w:t>董事，无线电集团党委书记、董事长，海格通信、广州广电研究院有限公司、广州广电平云资本管理有限公司董事长，广电</w:t>
      </w:r>
      <w:r>
        <w:rPr>
          <w:spacing w:val="-66"/>
        </w:rPr>
        <w:t> </w:t>
      </w:r>
      <w:r>
        <w:rPr>
          <w:spacing w:val="-66"/>
        </w:rPr>
      </w:r>
      <w:r>
        <w:rPr/>
        <w:t>计量、广电物业、广州广电国际商贸有限公司董事。</w:t>
      </w:r>
    </w:p>
    <w:p>
      <w:pPr>
        <w:pStyle w:val="BodyText"/>
        <w:spacing w:line="312" w:lineRule="auto" w:before="19"/>
        <w:ind w:left="192" w:right="192" w:firstLine="360"/>
        <w:jc w:val="both"/>
      </w:pPr>
      <w:r>
        <w:rPr/>
        <w:t>黄跃珍，中国国籍，</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9</w:t>
      </w:r>
      <w:r>
        <w:rPr/>
        <w:t>月出生，研究生学历，工商管理硕士。曾任广东省现代信息服务行业协会秘书长，无线电 </w:t>
      </w:r>
      <w:r>
        <w:rPr>
          <w:spacing w:val="-2"/>
        </w:rPr>
        <w:t>集团总裁助理兼技术管理部部长、副总裁。现任公司党委书记、董事长，无线电集团党委副书记、副董事长、总裁，广电物</w:t>
      </w:r>
      <w:r>
        <w:rPr>
          <w:spacing w:val="-70"/>
        </w:rPr>
        <w:t> </w:t>
      </w:r>
      <w:r>
        <w:rPr>
          <w:spacing w:val="-70"/>
        </w:rPr>
      </w:r>
      <w:r>
        <w:rPr>
          <w:spacing w:val="-2"/>
        </w:rPr>
        <w:t>业、广电计量董事长，广州广电研究院有限公司董事、总经理，海格通信、广州广电平云资本管理有限公司、广州广电国际</w:t>
      </w:r>
      <w:r>
        <w:rPr>
          <w:spacing w:val="-68"/>
        </w:rPr>
        <w:t> </w:t>
      </w:r>
      <w:r>
        <w:rPr>
          <w:spacing w:val="-68"/>
        </w:rPr>
      </w:r>
      <w:r>
        <w:rPr/>
        <w:t>商贸有限公司董事。</w:t>
      </w:r>
    </w:p>
    <w:p>
      <w:pPr>
        <w:pStyle w:val="BodyText"/>
        <w:spacing w:line="240" w:lineRule="auto" w:before="22"/>
        <w:ind w:left="553" w:right="0"/>
        <w:jc w:val="left"/>
      </w:pPr>
      <w:r>
        <w:rPr/>
        <w:t>叶子瑜，中国国籍，</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月出生，研究生学历，高级工程师。曾任国营</w:t>
      </w:r>
      <w:r>
        <w:rPr>
          <w:rFonts w:ascii="Times New Roman" w:hAnsi="Times New Roman" w:cs="Times New Roman" w:eastAsia="Times New Roman" w:hint="default"/>
        </w:rPr>
        <w:t>750</w:t>
      </w:r>
      <w:r>
        <w:rPr/>
        <w:t>厂技术工艺科助理工程师，海华电子企业</w:t>
      </w:r>
    </w:p>
    <w:p>
      <w:pPr>
        <w:pStyle w:val="BodyText"/>
        <w:spacing w:line="316" w:lineRule="auto" w:before="63"/>
        <w:ind w:left="192" w:right="104"/>
        <w:jc w:val="left"/>
      </w:pPr>
      <w:r>
        <w:rPr>
          <w:spacing w:val="-2"/>
        </w:rPr>
        <w:t>（中国）有限公司工程师、高级工程师、拓展部经理、总工程师，广州科苑电子有限公司副总经理，广州无线电集团军工通</w:t>
      </w:r>
      <w:r>
        <w:rPr>
          <w:spacing w:val="-68"/>
        </w:rPr>
        <w:t> </w:t>
      </w:r>
      <w:r>
        <w:rPr>
          <w:spacing w:val="-68"/>
        </w:rPr>
      </w:r>
      <w:r>
        <w:rPr>
          <w:spacing w:val="-4"/>
        </w:rPr>
        <w:t>讯总公司总工程师，广州广电运通金融电子有限公司副总经理，支点投资总经理，创自技术董事长。现任公司董事、总经理，</w:t>
      </w:r>
      <w:r>
        <w:rPr>
          <w:spacing w:val="-45"/>
        </w:rPr>
        <w:t> </w:t>
      </w:r>
      <w:r>
        <w:rPr>
          <w:spacing w:val="-45"/>
        </w:rPr>
      </w:r>
      <w:r>
        <w:rPr>
          <w:spacing w:val="-2"/>
        </w:rPr>
        <w:t>广州银通、广电汇通、龙源环保、广州穗通、运通国际、运通信息、中智融通、运通智能、汇通金融、支点投资董事长，创</w:t>
      </w:r>
      <w:r>
        <w:rPr>
          <w:spacing w:val="-74"/>
        </w:rPr>
        <w:t> </w:t>
      </w:r>
      <w:r>
        <w:rPr>
          <w:spacing w:val="-74"/>
        </w:rPr>
      </w:r>
      <w:r>
        <w:rPr/>
        <w:t>自技术、广百小额贷、广州广电研究院有限公司董事。</w:t>
      </w:r>
    </w:p>
    <w:p>
      <w:pPr>
        <w:pStyle w:val="BodyText"/>
        <w:spacing w:line="309" w:lineRule="auto" w:before="19"/>
        <w:ind w:left="192" w:right="191" w:firstLine="451"/>
        <w:jc w:val="both"/>
      </w:pPr>
      <w:r>
        <w:rPr>
          <w:spacing w:val="-2"/>
        </w:rPr>
        <w:t>罗攀峰，中国国籍，</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月出生，研究生学历。曾任公司系统集成部经理、金融市场部经理、市场总监、总经理助</w:t>
      </w:r>
      <w:r>
        <w:rPr/>
        <w:t> </w:t>
      </w:r>
      <w:r>
        <w:rPr>
          <w:spacing w:val="-2"/>
        </w:rPr>
        <w:t>理、副总经理。现任公司董事、常务副总经理，广电汇通、运通信息、中智融通董事、总经理，广州银通、广州穗通、运通</w:t>
      </w:r>
      <w:r>
        <w:rPr>
          <w:spacing w:val="-71"/>
        </w:rPr>
        <w:t> </w:t>
      </w:r>
      <w:r>
        <w:rPr>
          <w:spacing w:val="-71"/>
        </w:rPr>
      </w:r>
      <w:r>
        <w:rPr/>
        <w:t>智能、龙源环保、汇通金融、支点投资董事。</w:t>
      </w:r>
    </w:p>
    <w:p>
      <w:pPr>
        <w:pStyle w:val="BodyText"/>
        <w:spacing w:line="312" w:lineRule="auto" w:before="24"/>
        <w:ind w:left="192" w:right="188" w:firstLine="360"/>
        <w:jc w:val="both"/>
      </w:pPr>
      <w:r>
        <w:rPr/>
        <w:t>杨文峰，中国国籍，</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月出生，研究生学历，技术经济及管理硕士学位。曾任湖南富兴集团有限公司投资经理， </w:t>
      </w:r>
      <w:r>
        <w:rPr>
          <w:spacing w:val="-2"/>
        </w:rPr>
        <w:t>深圳江铜南方总公司投资经理，金蝶软件集团有限公司投资发展总监，无线电集团高级投资经理、投资发展部副部长、资产</w:t>
      </w:r>
      <w:r>
        <w:rPr>
          <w:spacing w:val="-63"/>
        </w:rPr>
        <w:t> </w:t>
      </w:r>
      <w:r>
        <w:rPr>
          <w:spacing w:val="-63"/>
        </w:rPr>
      </w:r>
      <w:r>
        <w:rPr>
          <w:spacing w:val="-2"/>
        </w:rPr>
        <w:t>运营管理部副部长等职。现任公司董事，无线电集团资产运营管理部（董事会办公室）部长（主任），海格通信、广州广电</w:t>
      </w:r>
      <w:r>
        <w:rPr>
          <w:spacing w:val="-63"/>
        </w:rPr>
        <w:t> </w:t>
      </w:r>
      <w:r>
        <w:rPr>
          <w:spacing w:val="-63"/>
        </w:rPr>
      </w:r>
      <w:r>
        <w:rPr/>
        <w:t>新兴产业园投资有限公司董事，广州广电平云资本管理有限公司董事、董事会秘书。</w:t>
      </w:r>
    </w:p>
    <w:p>
      <w:pPr>
        <w:pStyle w:val="BodyText"/>
        <w:spacing w:line="309" w:lineRule="auto" w:before="22"/>
        <w:ind w:left="192" w:right="191" w:firstLine="360"/>
        <w:jc w:val="both"/>
      </w:pPr>
      <w:r>
        <w:rPr/>
        <w:t>陈建良，中国国籍，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月出生，研究生学历，工程师。曾任广州无线电厂电视机分厂结构设计师、设计室主任和 </w:t>
      </w:r>
      <w:r>
        <w:rPr>
          <w:spacing w:val="-2"/>
        </w:rPr>
        <w:t>采购部经理，广州广电运通金融电子有限公司结构设计部经理、物料部经理、总经理助理。现任公司董事、副总经理，广州</w:t>
      </w:r>
      <w:r>
        <w:rPr>
          <w:spacing w:val="-65"/>
        </w:rPr>
        <w:t> </w:t>
      </w:r>
      <w:r>
        <w:rPr>
          <w:spacing w:val="-65"/>
        </w:rPr>
      </w:r>
      <w:r>
        <w:rPr/>
        <w:t>穗通董事长，广州银通董事、总经理，广电汇通、中智融通、运通信息、运通智能董事。</w:t>
      </w:r>
    </w:p>
    <w:p>
      <w:pPr>
        <w:pStyle w:val="BodyText"/>
        <w:spacing w:line="312" w:lineRule="auto" w:before="24"/>
        <w:ind w:left="192" w:right="94" w:firstLine="360"/>
        <w:jc w:val="left"/>
      </w:pPr>
      <w:r>
        <w:rPr/>
        <w:t>朱桂龙，中国国籍，</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月出生，博士学历，教授，博士生导师，取得深圳证券交易所授予的独立董事资格证书。 </w:t>
      </w:r>
      <w:r>
        <w:rPr>
          <w:spacing w:val="-2"/>
        </w:rPr>
        <w:t>曾任华南理工大学工商管理学院副院长、院长，广州东凌粮油股份有限公司、广东银禧科技股份有限公司、广州白云山制药</w:t>
      </w:r>
      <w:r>
        <w:rPr>
          <w:spacing w:val="-63"/>
        </w:rPr>
        <w:t> </w:t>
      </w:r>
      <w:r>
        <w:rPr>
          <w:spacing w:val="-63"/>
        </w:rPr>
      </w:r>
      <w:r>
        <w:rPr>
          <w:spacing w:val="-2"/>
        </w:rPr>
        <w:t>股份有限公司、广东大华农动物保健品股份有限公司、广州毅昌科技股份有限公司、广东万家乐股份有限公司、美的集团股</w:t>
      </w:r>
      <w:r>
        <w:rPr>
          <w:spacing w:val="-66"/>
        </w:rPr>
        <w:t> </w:t>
      </w:r>
      <w:r>
        <w:rPr>
          <w:spacing w:val="-66"/>
        </w:rPr>
      </w:r>
      <w:r>
        <w:rPr>
          <w:spacing w:val="-4"/>
        </w:rPr>
        <w:t>份有限公司独立董事。现任公司独立董事，华南理工大学工商管理学院教授、博士生导师，兼任中国系统工程学会副理事长，</w:t>
      </w:r>
    </w:p>
    <w:p>
      <w:pPr>
        <w:spacing w:after="0" w:line="312" w:lineRule="auto"/>
        <w:jc w:val="left"/>
        <w:sectPr>
          <w:pgSz w:w="11910" w:h="16840"/>
          <w:pgMar w:header="880" w:footer="979" w:top="1100" w:bottom="1160" w:left="940" w:right="940"/>
        </w:sectPr>
      </w:pPr>
    </w:p>
    <w:p>
      <w:pPr>
        <w:spacing w:line="240" w:lineRule="auto" w:before="0"/>
        <w:rPr>
          <w:rFonts w:ascii="宋体" w:hAnsi="宋体" w:cs="宋体" w:eastAsia="宋体" w:hint="default"/>
          <w:sz w:val="22"/>
          <w:szCs w:val="22"/>
        </w:rPr>
      </w:pPr>
    </w:p>
    <w:p>
      <w:pPr>
        <w:pStyle w:val="BodyText"/>
        <w:spacing w:line="316" w:lineRule="auto" w:before="44"/>
        <w:ind w:right="188"/>
        <w:jc w:val="both"/>
      </w:pPr>
      <w:r>
        <w:rPr>
          <w:spacing w:val="-2"/>
        </w:rPr>
        <w:t>广东省技术经济和管理现代化研究会副会长，广东省经济学会副会长，中国南玻集团股份有限公司、江苏赛福天钢索股份有</w:t>
      </w:r>
      <w:r>
        <w:rPr>
          <w:spacing w:val="-61"/>
        </w:rPr>
        <w:t> </w:t>
      </w:r>
      <w:r>
        <w:rPr>
          <w:spacing w:val="-61"/>
        </w:rPr>
      </w:r>
      <w:r>
        <w:rPr/>
        <w:t>限公司、广州金域医学检验集团股份有限公司独立董事。</w:t>
      </w:r>
    </w:p>
    <w:p>
      <w:pPr>
        <w:pStyle w:val="BodyText"/>
        <w:spacing w:line="309" w:lineRule="auto" w:before="19"/>
        <w:ind w:right="195" w:firstLine="360"/>
        <w:jc w:val="both"/>
      </w:pPr>
      <w:r>
        <w:rPr/>
        <w:t>杨闰，中国国籍，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月出生，研究生学历，律师，取得深圳证券交易所授予的独立董事资格证书。曾任广东广大 </w:t>
      </w:r>
      <w:r>
        <w:rPr>
          <w:spacing w:val="-2"/>
        </w:rPr>
        <w:t>律师事务所律师，现任公司独立董事，北京德恒（广州）律师事务所律师，广东天禾农资股份有限公司、仙乐健康科技股份</w:t>
      </w:r>
      <w:r>
        <w:rPr>
          <w:spacing w:val="-70"/>
        </w:rPr>
        <w:t> </w:t>
      </w:r>
      <w:r>
        <w:rPr>
          <w:spacing w:val="-70"/>
        </w:rPr>
      </w:r>
      <w:r>
        <w:rPr/>
        <w:t>有限公司独立董事。</w:t>
      </w:r>
    </w:p>
    <w:p>
      <w:pPr>
        <w:pStyle w:val="BodyText"/>
        <w:spacing w:line="314" w:lineRule="auto" w:before="24"/>
        <w:ind w:right="94" w:firstLine="360"/>
        <w:jc w:val="left"/>
      </w:pPr>
      <w:r>
        <w:rPr/>
        <w:t>邢良文，中国国籍，</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9</w:t>
      </w:r>
      <w:r>
        <w:rPr/>
        <w:t>月出生，本科学历，中国注册会计师〔资深会员（执业）〕、中国注册税务师、中国注册 资产评估师，会计师、审计师，取得深圳证券交易所授予的独立董事资格证书。曾任广州市黄埔会计师事务所业务部经理。 </w:t>
      </w:r>
      <w:r>
        <w:rPr>
          <w:spacing w:val="-2"/>
        </w:rPr>
        <w:t>现任公司独立董事，广东丰衡会计师事务所有限公司主任会计师，广州粤勤税务师事务所有限公司总经理，广东省审计厅第</w:t>
      </w:r>
      <w:r>
        <w:rPr>
          <w:spacing w:val="-61"/>
        </w:rPr>
        <w:t> </w:t>
      </w:r>
      <w:r>
        <w:rPr>
          <w:spacing w:val="-61"/>
        </w:rPr>
      </w:r>
      <w:r>
        <w:rPr>
          <w:spacing w:val="-2"/>
        </w:rPr>
        <w:t>六届特约审计员，广州市社会保险监督委员会委员，广州港集团有限公司外部董事，广东省注册会计师协会理事、审查委员</w:t>
      </w:r>
      <w:r>
        <w:rPr>
          <w:spacing w:val="-63"/>
        </w:rPr>
        <w:t> </w:t>
      </w:r>
      <w:r>
        <w:rPr>
          <w:spacing w:val="-63"/>
        </w:rPr>
      </w:r>
      <w:r>
        <w:rPr/>
        <w:t>会委员，广州注册会计师协会常务理事、诚信委员会委员、行业工会副主席。</w:t>
      </w:r>
    </w:p>
    <w:p>
      <w:pPr>
        <w:pStyle w:val="BodyText"/>
        <w:spacing w:line="300" w:lineRule="auto" w:before="20"/>
        <w:ind w:left="513" w:right="87"/>
        <w:jc w:val="left"/>
      </w:pPr>
      <w:r>
        <w:rPr>
          <w:rFonts w:ascii="Times New Roman" w:hAnsi="Times New Roman" w:cs="Times New Roman" w:eastAsia="Times New Roman" w:hint="default"/>
        </w:rPr>
        <w:t>2</w:t>
      </w:r>
      <w:r>
        <w:rPr/>
        <w:t>、第五届监事会成员 </w:t>
      </w:r>
      <w:r>
        <w:rPr>
          <w:spacing w:val="-2"/>
        </w:rPr>
        <w:t>祝立新，中国国籍，</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w:t>
      </w:r>
      <w:r>
        <w:rPr>
          <w:spacing w:val="-2"/>
        </w:rPr>
        <w:t>月出生，研究生学历，会计师。曾任广州无线电厂广电部会计，无线电集团审计室副主任、</w:t>
      </w:r>
    </w:p>
    <w:p>
      <w:pPr>
        <w:pStyle w:val="BodyText"/>
        <w:spacing w:line="316" w:lineRule="auto" w:before="13"/>
        <w:ind w:right="193"/>
        <w:jc w:val="both"/>
      </w:pPr>
      <w:r>
        <w:rPr>
          <w:spacing w:val="-2"/>
        </w:rPr>
        <w:t>财务部副部长、部长、审计部部长、总裁助理，海格通信副总经理。现任公司监事会主席，无线电集团副总裁，海格通信监</w:t>
      </w:r>
      <w:r>
        <w:rPr>
          <w:spacing w:val="-69"/>
        </w:rPr>
        <w:t> </w:t>
      </w:r>
      <w:r>
        <w:rPr>
          <w:spacing w:val="-69"/>
        </w:rPr>
      </w:r>
      <w:r>
        <w:rPr>
          <w:spacing w:val="-2"/>
        </w:rPr>
        <w:t>事会主席，广州广电国际商贸有限公司董事长，广州广电平云资本管理有限公司董事、总经理，广电计量、广州广哈通信股</w:t>
      </w:r>
      <w:r>
        <w:rPr>
          <w:spacing w:val="-66"/>
        </w:rPr>
        <w:t> </w:t>
      </w:r>
      <w:r>
        <w:rPr>
          <w:spacing w:val="-66"/>
        </w:rPr>
      </w:r>
      <w:r>
        <w:rPr/>
        <w:t>份有限公司、盈富泰克创业投资有限公司、广电物业、广州广电研究院有限公司董事。</w:t>
      </w:r>
    </w:p>
    <w:p>
      <w:pPr>
        <w:pStyle w:val="BodyText"/>
        <w:spacing w:line="312" w:lineRule="auto" w:before="19"/>
        <w:ind w:right="194" w:firstLine="360"/>
        <w:jc w:val="both"/>
      </w:pPr>
      <w:r>
        <w:rPr>
          <w:spacing w:val="-2"/>
        </w:rPr>
        <w:t>莫东成，中国国籍，</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月出生，研究生学历，高级政工师。曾任广州港集团有限公司党委副书记、纪委书记、工</w:t>
      </w:r>
      <w:r>
        <w:rPr/>
        <w:t> </w:t>
      </w:r>
      <w:r>
        <w:rPr>
          <w:spacing w:val="-2"/>
        </w:rPr>
        <w:t>会主席，广州港股份有限公司监事会主席，无线电集团党委副书记、纪委书记。现任公司监事，广州地铁集团有限公司纪委</w:t>
      </w:r>
      <w:r>
        <w:rPr>
          <w:spacing w:val="-68"/>
        </w:rPr>
        <w:t> </w:t>
      </w:r>
      <w:r>
        <w:rPr>
          <w:spacing w:val="-68"/>
        </w:rPr>
      </w:r>
      <w:r>
        <w:rPr>
          <w:spacing w:val="-2"/>
        </w:rPr>
        <w:t>书记，广州广电研究院有限公司、广州广电平云资本管理有限公司、广州广电国际商贸有限公司董事，海格通信监事，广电</w:t>
      </w:r>
      <w:r>
        <w:rPr>
          <w:spacing w:val="-67"/>
        </w:rPr>
        <w:t> </w:t>
      </w:r>
      <w:r>
        <w:rPr>
          <w:spacing w:val="-67"/>
        </w:rPr>
      </w:r>
      <w:r>
        <w:rPr/>
        <w:t>物业监事会主席。</w:t>
      </w:r>
    </w:p>
    <w:p>
      <w:pPr>
        <w:pStyle w:val="BodyText"/>
        <w:spacing w:line="300" w:lineRule="auto" w:before="22"/>
        <w:ind w:right="103" w:firstLine="360"/>
        <w:jc w:val="both"/>
      </w:pPr>
      <w:r>
        <w:rPr>
          <w:spacing w:val="-2"/>
        </w:rPr>
        <w:t>邝建洲，中国国籍，</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7</w:t>
      </w:r>
      <w:r>
        <w:rPr>
          <w:spacing w:val="-2"/>
        </w:rPr>
        <w:t>月出生，本科学历。曾任广州无线电集团有限公司电子一厂财务主管，公司财务部副经理，</w:t>
      </w:r>
      <w:r>
        <w:rPr/>
        <w:t> 现任公司纪委书记、职工代表监事、审计部经理，支点投资、运通信息、运通智能监事；汇通金融监事会主席。</w:t>
      </w:r>
    </w:p>
    <w:p>
      <w:pPr>
        <w:pStyle w:val="BodyText"/>
        <w:spacing w:line="338" w:lineRule="auto" w:before="72"/>
        <w:ind w:left="510" w:right="2186" w:firstLine="2"/>
        <w:jc w:val="left"/>
      </w:pPr>
      <w:r>
        <w:rPr>
          <w:rFonts w:ascii="Times New Roman" w:hAnsi="Times New Roman" w:cs="Times New Roman" w:eastAsia="Times New Roman" w:hint="default"/>
        </w:rPr>
        <w:t>3</w:t>
      </w:r>
      <w:r>
        <w:rPr/>
        <w:t>、高级管理人员 叶子瑜，本公司总经理，简历参阅本年度报告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、第五届董事会成员</w:t>
      </w:r>
      <w:r>
        <w:rPr>
          <w:rFonts w:ascii="Times New Roman" w:hAnsi="Times New Roman" w:cs="Times New Roman" w:eastAsia="Times New Roman" w:hint="default"/>
        </w:rPr>
        <w:t>”</w:t>
      </w:r>
      <w:r>
        <w:rPr/>
        <w:t>。 罗攀峰，本公司常务副总经理，简历参阅本年度报告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、第五届董事会成员</w:t>
      </w:r>
      <w:r>
        <w:rPr>
          <w:rFonts w:ascii="Times New Roman" w:hAnsi="Times New Roman" w:cs="Times New Roman" w:eastAsia="Times New Roman" w:hint="default"/>
        </w:rPr>
        <w:t>”</w:t>
      </w:r>
      <w:r>
        <w:rPr/>
        <w:t>。 陈建良，本公司副总经理，简历参阅本年度报告“第八节、三、</w:t>
      </w:r>
      <w:r>
        <w:rPr>
          <w:rFonts w:ascii="Times New Roman" w:hAnsi="Times New Roman" w:cs="Times New Roman" w:eastAsia="Times New Roman" w:hint="default"/>
        </w:rPr>
        <w:t>1</w:t>
      </w:r>
      <w:r>
        <w:rPr/>
        <w:t>、第五届董事会成员”。</w:t>
      </w:r>
    </w:p>
    <w:p>
      <w:pPr>
        <w:pStyle w:val="BodyText"/>
        <w:spacing w:line="312" w:lineRule="auto" w:before="19"/>
        <w:ind w:right="94" w:firstLine="360"/>
        <w:jc w:val="left"/>
      </w:pPr>
      <w:r>
        <w:rPr/>
        <w:t>李叶东，中国国籍，</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月出生，研究生学历。曾任合肥天鹅空调器科技有限公司助理工程师，东莞大同机械有限 </w:t>
      </w:r>
      <w:r>
        <w:rPr>
          <w:spacing w:val="-2"/>
        </w:rPr>
        <w:t>公司工程部副经理，顺德科达自动化有限公司项目主管，广州神通电信科技有限公司工程师，广州广电运通金融电子有限公</w:t>
      </w:r>
      <w:r>
        <w:rPr>
          <w:spacing w:val="-63"/>
        </w:rPr>
        <w:t> </w:t>
      </w:r>
      <w:r>
        <w:rPr>
          <w:spacing w:val="-63"/>
        </w:rPr>
      </w:r>
      <w:r>
        <w:rPr/>
        <w:t>司硬件工程师、硬件开发部模块组主任、海外客户服务部副经理、经理、总经理助理。现任公司副总经理，运通国际董事、</w:t>
      </w:r>
      <w:r>
        <w:rPr/>
        <w:t> 总经理，广州银通、中智融通、运通信息董事。</w:t>
      </w:r>
    </w:p>
    <w:p>
      <w:pPr>
        <w:pStyle w:val="BodyText"/>
        <w:spacing w:line="309" w:lineRule="auto" w:before="63"/>
        <w:ind w:right="94" w:firstLine="360"/>
        <w:jc w:val="left"/>
      </w:pPr>
      <w:r>
        <w:rPr/>
        <w:t>魏东，中国国籍，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2</w:t>
      </w:r>
      <w:r>
        <w:rPr/>
        <w:t>月出生，研究生学历。曾任公司工业设计部工程师、工业设计部取款机芯组主任、上海研发 中心经理、研究院副总工程师、制造中心生产总监、总经理助理。现任公司党委副书记、副总经理，中智融通、广电计量、 广州银通、广电汇通、运通智能董事。</w:t>
      </w:r>
    </w:p>
    <w:p>
      <w:pPr>
        <w:pStyle w:val="BodyText"/>
        <w:spacing w:line="314" w:lineRule="auto" w:before="65"/>
        <w:ind w:right="188" w:firstLine="360"/>
        <w:jc w:val="both"/>
      </w:pPr>
      <w:r>
        <w:rPr>
          <w:spacing w:val="-2"/>
        </w:rPr>
        <w:t>蒋春晨，中国国籍，</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11</w:t>
      </w:r>
      <w:r>
        <w:rPr>
          <w:spacing w:val="-2"/>
        </w:rPr>
        <w:t>月出生，本科学历，会计师，中国注册会计师协会非执业会员。曾任江西电视机厂主办会</w:t>
      </w:r>
      <w:r>
        <w:rPr/>
        <w:t> </w:t>
      </w:r>
      <w:r>
        <w:rPr>
          <w:spacing w:val="-2"/>
        </w:rPr>
        <w:t>计，赣新电视有限公司财务主管，中国人寿保险公司吉安分公司会计师，无线电集团审计师，广州广电运通金融电子有限公</w:t>
      </w:r>
      <w:r>
        <w:rPr>
          <w:spacing w:val="-63"/>
        </w:rPr>
        <w:t> </w:t>
      </w:r>
      <w:r>
        <w:rPr>
          <w:spacing w:val="-63"/>
        </w:rPr>
      </w:r>
      <w:r>
        <w:rPr>
          <w:spacing w:val="-2"/>
        </w:rPr>
        <w:t>司财务部经理，广百小额贷、力沛咨询监事。现任公司副总经理、财务负责人、财务总监，运通信息、创自技术、支点投资</w:t>
      </w:r>
      <w:r>
        <w:rPr>
          <w:spacing w:val="-65"/>
        </w:rPr>
        <w:t> </w:t>
      </w:r>
      <w:r>
        <w:rPr>
          <w:spacing w:val="-65"/>
        </w:rPr>
      </w:r>
      <w:r>
        <w:rPr>
          <w:spacing w:val="-2"/>
        </w:rPr>
        <w:t>董事，广电汇通、中智融通、龙源环保、广州银通、广州穗通监事，广州凡拓数字创意科技股份有限公司、四川汇源光通信</w:t>
      </w:r>
      <w:r>
        <w:rPr>
          <w:spacing w:val="-70"/>
        </w:rPr>
        <w:t> </w:t>
      </w:r>
      <w:r>
        <w:rPr>
          <w:spacing w:val="-70"/>
        </w:rPr>
      </w:r>
      <w:r>
        <w:rPr/>
        <w:t>股份有限公司、广东万家乐股份有限公司独立董事。</w:t>
      </w:r>
    </w:p>
    <w:p>
      <w:pPr>
        <w:pStyle w:val="BodyText"/>
        <w:spacing w:line="309" w:lineRule="auto" w:before="20"/>
        <w:ind w:right="193" w:firstLine="360"/>
        <w:jc w:val="both"/>
      </w:pPr>
      <w:r>
        <w:rPr/>
        <w:t>解永生，中国国籍，</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月出生，研究生学历。曾任合肥佳通轮胎有限公司助理工程师，广州广电运通金融电子有 </w:t>
      </w:r>
      <w:r>
        <w:rPr>
          <w:spacing w:val="-2"/>
        </w:rPr>
        <w:t>限公司硬件开发部工程师，公司硬件开发部副经理、经理、副总工程师、轨道交通事业部总监、总经理助理；现任公司副总</w:t>
      </w:r>
      <w:r>
        <w:rPr>
          <w:spacing w:val="-68"/>
        </w:rPr>
        <w:t> </w:t>
      </w:r>
      <w:r>
        <w:rPr>
          <w:spacing w:val="-68"/>
        </w:rPr>
      </w:r>
      <w:r>
        <w:rPr/>
        <w:t>经理，创自技术董事长，运通智能董事、总经理。</w:t>
      </w:r>
    </w:p>
    <w:p>
      <w:pPr>
        <w:pStyle w:val="BodyText"/>
        <w:spacing w:line="309" w:lineRule="auto" w:before="24"/>
        <w:ind w:right="189" w:firstLine="360"/>
        <w:jc w:val="both"/>
      </w:pPr>
      <w:r>
        <w:rPr>
          <w:spacing w:val="-2"/>
        </w:rPr>
        <w:t>钟勇，中国国籍，</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10</w:t>
      </w:r>
      <w:r>
        <w:rPr>
          <w:spacing w:val="-2"/>
        </w:rPr>
        <w:t>月出生，本科学历，取得董事会秘书资格证书。曾任北京北大方正电子有限公司长沙分公司</w:t>
      </w:r>
      <w:r>
        <w:rPr/>
        <w:t> </w:t>
      </w:r>
      <w:r>
        <w:rPr>
          <w:spacing w:val="-2"/>
        </w:rPr>
        <w:t>总经理助理、华南区系统集成部总监，北京方正新天地科技有限公司华南区经理，广东开普互联信息技术有限公司联合创始</w:t>
      </w:r>
      <w:r>
        <w:rPr>
          <w:spacing w:val="-62"/>
        </w:rPr>
        <w:t> </w:t>
      </w:r>
      <w:r>
        <w:rPr>
          <w:spacing w:val="-62"/>
        </w:rPr>
      </w:r>
      <w:r>
        <w:rPr>
          <w:spacing w:val="-2"/>
        </w:rPr>
        <w:t>人、副总经理，北京新聚思信息科技有限公司华南区经理，美国易腾迈科技公司中国区渠道总监，北京中科江南信息技术股</w:t>
      </w:r>
    </w:p>
    <w:p>
      <w:pPr>
        <w:spacing w:after="0" w:line="309" w:lineRule="auto"/>
        <w:jc w:val="both"/>
        <w:sectPr>
          <w:pgSz w:w="11910" w:h="16840"/>
          <w:pgMar w:header="880" w:footer="979" w:top="1100" w:bottom="1160" w:left="980" w:right="940"/>
        </w:sectPr>
      </w:pPr>
    </w:p>
    <w:p>
      <w:pPr>
        <w:spacing w:line="240" w:lineRule="auto" w:before="0"/>
        <w:rPr>
          <w:rFonts w:ascii="宋体" w:hAnsi="宋体" w:cs="宋体" w:eastAsia="宋体" w:hint="default"/>
          <w:sz w:val="22"/>
          <w:szCs w:val="22"/>
        </w:rPr>
      </w:pPr>
      <w:r>
        <w:rPr/>
        <w:pict>
          <v:group style="position:absolute;margin-left:276.769989pt;margin-top:263.569977pt;width:91.6pt;height:7.8pt;mso-position-horizontal-relative:page;mso-position-vertical-relative:page;z-index:-1232680" coordorigin="5535,5271" coordsize="1832,156">
            <v:shape style="position:absolute;left:5535;top:5271;width:1832;height:156" coordorigin="5535,5271" coordsize="1832,156" path="m5535,5427l7367,5427,7367,5271,5535,5271,5535,5427xe" filled="true" fillcolor="#ffffff" stroked="false">
              <v:path arrowok="t"/>
              <v:fill type="solid"/>
            </v:shape>
            <w10:wrap type="none"/>
          </v:group>
        </w:pict>
      </w:r>
    </w:p>
    <w:p>
      <w:pPr>
        <w:pStyle w:val="BodyText"/>
        <w:spacing w:line="360" w:lineRule="auto" w:before="44"/>
        <w:ind w:right="5094"/>
        <w:jc w:val="left"/>
      </w:pPr>
      <w:r>
        <w:rPr/>
        <w:t>份有限公司董事会秘书、副总经理。现任公司董事会秘书。 在股东单位任职情况</w:t>
      </w:r>
    </w:p>
    <w:p>
      <w:pPr>
        <w:pStyle w:val="BodyText"/>
        <w:spacing w:line="240" w:lineRule="auto" w:before="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2693"/>
        <w:gridCol w:w="1844"/>
        <w:gridCol w:w="1561"/>
        <w:gridCol w:w="1771"/>
      </w:tblGrid>
      <w:tr>
        <w:trPr>
          <w:trHeight w:val="754"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314" w:right="127" w:hanging="180"/>
              <w:jc w:val="left"/>
              <w:rPr>
                <w:rFonts w:ascii="宋体" w:hAnsi="宋体" w:cs="宋体" w:eastAsia="宋体" w:hint="default"/>
                <w:sz w:val="18"/>
                <w:szCs w:val="18"/>
              </w:rPr>
            </w:pPr>
            <w:r>
              <w:rPr>
                <w:rFonts w:ascii="宋体" w:hAnsi="宋体" w:cs="宋体" w:eastAsia="宋体" w:hint="default"/>
                <w:sz w:val="18"/>
                <w:szCs w:val="18"/>
              </w:rPr>
              <w:t>股东单位 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340" w:right="24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708" w:type="dxa"/>
            <w:vMerge w:val="restart"/>
            <w:tcBorders>
              <w:top w:val="single" w:sz="8" w:space="0" w:color="D2D2D2"/>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党委副书记、副董事长、总裁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党委书记、董事长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党委副书记、副董事长、总裁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资产运营管理部（董事会办公室） 部长（主任）</w:t>
            </w:r>
          </w:p>
        </w:tc>
        <w:tc>
          <w:tcPr>
            <w:tcW w:w="184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莫东成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党委副书记、纪委书记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在股东 单位任 职情况 的说明</w:t>
            </w:r>
          </w:p>
        </w:tc>
        <w:tc>
          <w:tcPr>
            <w:tcW w:w="88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1339"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1"/>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401" w:hRule="exact"/>
        </w:trPr>
        <w:tc>
          <w:tcPr>
            <w:tcW w:w="1277" w:type="dxa"/>
            <w:vMerge w:val="restart"/>
            <w:tcBorders>
              <w:top w:val="nil" w:sz="6" w:space="0" w:color="auto"/>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341"/>
              <w:jc w:val="left"/>
              <w:rPr>
                <w:rFonts w:ascii="宋体" w:hAnsi="宋体" w:cs="宋体" w:eastAsia="宋体" w:hint="default"/>
                <w:sz w:val="18"/>
                <w:szCs w:val="18"/>
              </w:rPr>
            </w:pPr>
            <w:r>
              <w:rPr>
                <w:rFonts w:ascii="宋体" w:hAnsi="宋体" w:cs="宋体" w:eastAsia="宋体" w:hint="default"/>
                <w:sz w:val="18"/>
                <w:szCs w:val="18"/>
              </w:rPr>
              <w:t>董事、 董事会秘书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vMerge/>
            <w:tcBorders>
              <w:left w:val="single" w:sz="4" w:space="0" w:color="000000"/>
              <w:bottom w:val="single" w:sz="4" w:space="0" w:color="000000"/>
              <w:right w:val="single" w:sz="4" w:space="0" w:color="000000"/>
            </w:tcBorders>
          </w:tcPr>
          <w:p>
            <w:pPr/>
          </w:p>
        </w:tc>
      </w:tr>
      <w:tr>
        <w:trPr>
          <w:trHeight w:val="404"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401" w:hRule="exact"/>
        </w:trPr>
        <w:tc>
          <w:tcPr>
            <w:tcW w:w="1277" w:type="dxa"/>
            <w:vMerge w:val="restart"/>
            <w:tcBorders>
              <w:top w:val="nil" w:sz="6" w:space="0" w:color="auto"/>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朱桂龙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江苏赛福天钢索股份有限公司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广州金域医学检验集团股份有限公司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广东广大律师事务所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北京德恒（广州）律师事务所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广东天禾农资股份有限公司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仙乐健康科技股份有限公司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邢良文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广东丰衡会计师事务所有限公司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广州粤勤税务师事务所有限公司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广州港集团有限公司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广州广哈通信股份有限公司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莫东成</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广州地铁集团有限公司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纪委书记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邝建洲</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401" w:hRule="exact"/>
        </w:trPr>
        <w:tc>
          <w:tcPr>
            <w:tcW w:w="1277" w:type="dxa"/>
            <w:tcBorders>
              <w:top w:val="nil" w:sz="6" w:space="0" w:color="auto"/>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广州市力沛企业管理咨询有限公司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广州凡拓数字创意科技股份有限公司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四川汇源光通信股份有限公司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广东万家乐股份有限公司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1"/>
        <w:jc w:val="left"/>
      </w:pPr>
      <w:r>
        <w:rPr/>
        <w:t>董事、监事、高级管理人员报酬的决策程序、确定依据、实际支付情况 </w:t>
      </w:r>
      <w:r>
        <w:rPr>
          <w:spacing w:val="-2"/>
        </w:rPr>
        <w:t>在公司任职的董事、监事未在公司领薪，兼任公司董事、监事的高管、员工不以董事、监事职务领取报酬。高管人员按</w:t>
      </w:r>
    </w:p>
    <w:p>
      <w:pPr>
        <w:pStyle w:val="BodyText"/>
        <w:spacing w:line="224" w:lineRule="exact"/>
        <w:ind w:right="0"/>
        <w:jc w:val="both"/>
      </w:pPr>
      <w:r>
        <w:rPr/>
        <w:t>其职务根据公司董事会批准的《高管层年度业绩考核与薪酬管理办法》，在每年年初落实有关考核指标及相关事项，在年度</w:t>
      </w:r>
    </w:p>
    <w:p>
      <w:pPr>
        <w:pStyle w:val="BodyText"/>
        <w:spacing w:line="309" w:lineRule="auto" w:before="76"/>
        <w:ind w:right="150"/>
        <w:jc w:val="both"/>
      </w:pPr>
      <w:r>
        <w:rPr>
          <w:spacing w:val="-2"/>
        </w:rPr>
        <w:t>结束后对全年计划完成情况进行考核，由董事会薪酬与考核委员会审议通过相关议案后，提交董事会审议，按照考核结果兑</w:t>
      </w:r>
      <w:r>
        <w:rPr>
          <w:spacing w:val="-63"/>
        </w:rPr>
        <w:t> </w:t>
      </w:r>
      <w:r>
        <w:rPr>
          <w:spacing w:val="-63"/>
        </w:rPr>
      </w:r>
      <w:r>
        <w:rPr/>
        <w:t>现绩效年薪和奖励。独立董事津贴按照股东大会决议执行，为每人</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万元</w:t>
      </w:r>
      <w:r>
        <w:rPr>
          <w:rFonts w:ascii="Times New Roman" w:hAnsi="Times New Roman" w:cs="Times New Roman" w:eastAsia="Times New Roman" w:hint="default"/>
        </w:rPr>
        <w:t>/</w:t>
      </w:r>
      <w:r>
        <w:rPr/>
        <w:t>年，均按具体任职时间及规定发放；独立董事参 加会议发生的差旅费，办公费等履职费用由本公司承担。</w:t>
      </w:r>
    </w:p>
    <w:p>
      <w:pPr>
        <w:pStyle w:val="BodyText"/>
        <w:spacing w:line="240" w:lineRule="auto" w:before="65"/>
        <w:ind w:right="0"/>
        <w:jc w:val="both"/>
      </w:pPr>
      <w:r>
        <w:rPr/>
        <w:t>公司报告期内董事、监事和高级管理人员报酬情况</w:t>
      </w:r>
    </w:p>
    <w:p>
      <w:pPr>
        <w:pStyle w:val="BodyText"/>
        <w:spacing w:line="240" w:lineRule="auto" w:before="115"/>
        <w:ind w:left="0" w:right="151"/>
        <w:jc w:val="right"/>
      </w:pPr>
      <w:r>
        <w:rPr/>
        <w:t>单位：万元</w:t>
      </w:r>
    </w:p>
    <w:p>
      <w:pPr>
        <w:spacing w:after="0" w:line="240" w:lineRule="auto"/>
        <w:jc w:val="right"/>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52"/>
        <w:gridCol w:w="1844"/>
        <w:gridCol w:w="566"/>
        <w:gridCol w:w="566"/>
        <w:gridCol w:w="991"/>
        <w:gridCol w:w="2412"/>
        <w:gridCol w:w="2341"/>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杨海洲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黄跃珍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叶子瑜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222.20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杨文峰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罗攀峰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董事、常务副总经理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152.00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陈建良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曾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肖勋勇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陈春田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刘佩莲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张宗贵</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7.43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朱桂龙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0.60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邢良文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祝立新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杨永明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莫东成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冯丰穗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职工监事、工会主席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邝建洲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32.90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陈振光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李叶东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119.90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蒋春晨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z w:val="18"/>
                <w:szCs w:val="18"/>
              </w:rPr>
              <w:t>解永生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128.30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1,298.76</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2497"/>
        <w:jc w:val="left"/>
      </w:pPr>
      <w:r>
        <w:rPr/>
        <w:t>注：束萌于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月离职；陈振光于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月离职；钟勇于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 </w:t>
      </w:r>
      <w:r>
        <w:rPr/>
        <w:t>日聘任。 公司董事、高级管理人员报告期内被授予的股权激励情况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服务人员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2,459</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本科及大专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w:t>
            </w:r>
          </w:p>
        </w:tc>
      </w:tr>
    </w:tbl>
    <w:p>
      <w:pPr>
        <w:spacing w:line="240" w:lineRule="auto" w:before="11"/>
        <w:rPr>
          <w:rFonts w:ascii="宋体" w:hAnsi="宋体" w:cs="宋体" w:eastAsia="宋体" w:hint="default"/>
          <w:b/>
          <w:bCs/>
          <w:sz w:val="10"/>
          <w:szCs w:val="10"/>
        </w:rPr>
      </w:pPr>
    </w:p>
    <w:p>
      <w:pPr>
        <w:spacing w:line="3502" w:lineRule="exact"/>
        <w:ind w:left="1156"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800094" cy="222389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6" cstate="print"/>
                    <a:stretch>
                      <a:fillRect/>
                    </a:stretch>
                  </pic:blipFill>
                  <pic:spPr>
                    <a:xfrm>
                      <a:off x="0" y="0"/>
                      <a:ext cx="4800094" cy="2223897"/>
                    </a:xfrm>
                    <a:prstGeom prst="rect">
                      <a:avLst/>
                    </a:prstGeom>
                  </pic:spPr>
                </pic:pic>
              </a:graphicData>
            </a:graphic>
          </wp:inline>
        </w:drawing>
      </w:r>
      <w:r>
        <w:rPr>
          <w:rFonts w:ascii="宋体" w:hAnsi="宋体" w:cs="宋体" w:eastAsia="宋体" w:hint="default"/>
          <w:position w:val="-69"/>
          <w:sz w:val="20"/>
          <w:szCs w:val="20"/>
        </w:rPr>
      </w:r>
    </w:p>
    <w:p>
      <w:pPr>
        <w:spacing w:after="0" w:line="3502" w:lineRule="exact"/>
        <w:rPr>
          <w:rFonts w:ascii="宋体" w:hAnsi="宋体" w:cs="宋体" w:eastAsia="宋体" w:hint="default"/>
          <w:sz w:val="20"/>
          <w:szCs w:val="20"/>
        </w:rPr>
        <w:sectPr>
          <w:pgSz w:w="11910" w:h="16840"/>
          <w:pgMar w:header="880" w:footer="979" w:top="1100" w:bottom="1160" w:left="980" w:right="980"/>
        </w:sectPr>
      </w:pPr>
    </w:p>
    <w:p>
      <w:pPr>
        <w:spacing w:line="240" w:lineRule="auto" w:before="2"/>
        <w:rPr>
          <w:rFonts w:ascii="宋体" w:hAnsi="宋体" w:cs="宋体" w:eastAsia="宋体" w:hint="default"/>
          <w:b/>
          <w:bCs/>
          <w:sz w:val="27"/>
          <w:szCs w:val="27"/>
        </w:rPr>
      </w:pPr>
    </w:p>
    <w:p>
      <w:pPr>
        <w:spacing w:line="3339" w:lineRule="exact"/>
        <w:ind w:left="1146"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823992" cy="212074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7" cstate="print"/>
                    <a:stretch>
                      <a:fillRect/>
                    </a:stretch>
                  </pic:blipFill>
                  <pic:spPr>
                    <a:xfrm>
                      <a:off x="0" y="0"/>
                      <a:ext cx="4823992" cy="2120741"/>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3"/>
        <w:rPr>
          <w:rFonts w:ascii="宋体" w:hAnsi="宋体" w:cs="宋体" w:eastAsia="宋体" w:hint="default"/>
          <w:b/>
          <w:bCs/>
          <w:sz w:val="24"/>
          <w:szCs w:val="24"/>
        </w:rPr>
      </w:pPr>
    </w:p>
    <w:p>
      <w:pPr>
        <w:pStyle w:val="Heading4"/>
        <w:spacing w:line="240" w:lineRule="auto" w:before="37"/>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7"/>
          <w:szCs w:val="27"/>
        </w:rPr>
      </w:pPr>
    </w:p>
    <w:p>
      <w:pPr>
        <w:pStyle w:val="BodyText"/>
        <w:spacing w:line="316" w:lineRule="auto"/>
        <w:ind w:right="152" w:firstLine="360"/>
        <w:jc w:val="both"/>
      </w:pPr>
      <w:r>
        <w:rPr>
          <w:spacing w:val="-2"/>
        </w:rPr>
        <w:t>为适应企业发展需要，充分发挥薪酬的激励作用，以公平、竞争、激励、经济、合法的原则制定薪酬政策。根据岗位价</w:t>
      </w:r>
      <w:r>
        <w:rPr/>
        <w:t> </w:t>
      </w:r>
      <w:r>
        <w:rPr>
          <w:spacing w:val="-2"/>
        </w:rPr>
        <w:t>值、个人能力、工作绩效结合市场薪酬水平和公司的支付能力提供具有竞争力的薪酬水平。同时，结合各版块的业务特点和</w:t>
      </w:r>
      <w:r>
        <w:rPr>
          <w:spacing w:val="-65"/>
        </w:rPr>
        <w:t> </w:t>
      </w:r>
      <w:r>
        <w:rPr>
          <w:spacing w:val="-65"/>
        </w:rPr>
      </w:r>
      <w:r>
        <w:rPr>
          <w:spacing w:val="-2"/>
        </w:rPr>
        <w:t>激励需要构建相对科学的考核体系，建立考核与工资、奖金、调薪、晋升及培训挂钩的机制，为骨干员工和优秀人才提供中</w:t>
      </w:r>
      <w:r>
        <w:rPr>
          <w:spacing w:val="-66"/>
        </w:rPr>
        <w:t> </w:t>
      </w:r>
      <w:r>
        <w:rPr>
          <w:spacing w:val="-66"/>
        </w:rPr>
      </w:r>
      <w:r>
        <w:rPr/>
        <w:t>长期的激励政策，最大限度地发挥和调动员工的积极性和主动性。</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07" w:lineRule="auto"/>
        <w:ind w:right="148" w:firstLine="360"/>
        <w:jc w:val="both"/>
      </w:pPr>
      <w:r>
        <w:rPr>
          <w:spacing w:val="-2"/>
        </w:rPr>
        <w:t>公司建立了以支持发展战略为目标，以贴近业务流程为基础，以解决业务实际问题为出发点的实战型培训体系。从培训</w:t>
      </w:r>
      <w:r>
        <w:rPr/>
        <w:t> </w:t>
      </w:r>
      <w:r>
        <w:rPr>
          <w:spacing w:val="-2"/>
        </w:rPr>
        <w:t>资源、政策等方面覆盖公司各业务系统及各子公司，为帮助员工成长、支持公司战略完成贡献最大的力量。</w:t>
      </w:r>
      <w:r>
        <w:rPr>
          <w:rFonts w:ascii="Times New Roman" w:hAnsi="Times New Roman" w:cs="Times New Roman" w:eastAsia="Times New Roman" w:hint="default"/>
          <w:spacing w:val="-2"/>
        </w:rPr>
        <w:t>2017</w:t>
      </w:r>
      <w:r>
        <w:rPr>
          <w:spacing w:val="-2"/>
        </w:rPr>
        <w:t>年公司共培</w:t>
      </w:r>
      <w:r>
        <w:rPr>
          <w:spacing w:val="-59"/>
        </w:rPr>
        <w:t> </w:t>
      </w:r>
      <w:r>
        <w:rPr>
          <w:spacing w:val="-59"/>
        </w:rPr>
      </w:r>
      <w:r>
        <w:rPr>
          <w:spacing w:val="-1"/>
        </w:rPr>
        <w:t>训</w:t>
      </w:r>
      <w:r>
        <w:rPr>
          <w:rFonts w:ascii="Times New Roman" w:hAnsi="Times New Roman" w:cs="Times New Roman" w:eastAsia="Times New Roman" w:hint="default"/>
          <w:spacing w:val="-1"/>
        </w:rPr>
        <w:t>261</w:t>
      </w:r>
      <w:r>
        <w:rPr>
          <w:spacing w:val="-1"/>
        </w:rPr>
        <w:t>场次，培训课时</w:t>
      </w:r>
      <w:r>
        <w:rPr>
          <w:rFonts w:ascii="Times New Roman" w:hAnsi="Times New Roman" w:cs="Times New Roman" w:eastAsia="Times New Roman" w:hint="default"/>
          <w:spacing w:val="-1"/>
        </w:rPr>
        <w:t>16,588.50</w:t>
      </w:r>
      <w:r>
        <w:rPr>
          <w:spacing w:val="-1"/>
        </w:rPr>
        <w:t>小时，合计培训</w:t>
      </w:r>
      <w:r>
        <w:rPr>
          <w:rFonts w:ascii="Times New Roman" w:hAnsi="Times New Roman" w:cs="Times New Roman" w:eastAsia="Times New Roman" w:hint="default"/>
          <w:spacing w:val="-1"/>
        </w:rPr>
        <w:t>6,310</w:t>
      </w:r>
      <w:r>
        <w:rPr>
          <w:spacing w:val="-1"/>
        </w:rPr>
        <w:t>人次，大大提高了公司员工的综合素质，为企业的发展进一步提升了竞</w:t>
      </w:r>
      <w:r>
        <w:rPr>
          <w:spacing w:val="-73"/>
        </w:rPr>
        <w:t> </w:t>
      </w:r>
      <w:r>
        <w:rPr>
          <w:spacing w:val="-73"/>
        </w:rPr>
      </w:r>
      <w:r>
        <w:rPr/>
        <w:t>争力。</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7" w:firstLine="358"/>
        <w:jc w:val="left"/>
      </w:pPr>
      <w:r>
        <w:rPr>
          <w:spacing w:val="-4"/>
        </w:rPr>
        <w:t>公司严格按照《公司法》、《证券法》、《上市公司治理准则》、《深圳证券交易所中小企业板上市公司规范运作指引》</w:t>
      </w:r>
      <w:r>
        <w:rPr/>
        <w:t> </w:t>
      </w:r>
      <w:r>
        <w:rPr>
          <w:spacing w:val="-2"/>
        </w:rPr>
        <w:t>及《深圳证券交易所股票上市规则》等法律法规的要求规范运作，并结合公司自身的情况，不断优化公司治理结构，建立健</w:t>
      </w:r>
      <w:r>
        <w:rPr>
          <w:spacing w:val="-67"/>
        </w:rPr>
        <w:t> </w:t>
      </w:r>
      <w:r>
        <w:rPr>
          <w:spacing w:val="-67"/>
        </w:rPr>
      </w:r>
      <w:r>
        <w:rPr>
          <w:spacing w:val="-4"/>
        </w:rPr>
        <w:t>全公司治理及内部控制的各项规章制度，加强信息披露，积极开展投资者关系管理，维护公司及股东的利益，确保公司规范、</w:t>
      </w:r>
      <w:r>
        <w:rPr>
          <w:spacing w:val="-46"/>
        </w:rPr>
        <w:t> </w:t>
      </w:r>
      <w:r>
        <w:rPr>
          <w:spacing w:val="-46"/>
        </w:rPr>
      </w:r>
      <w:r>
        <w:rPr/>
        <w:t>健康发展。</w:t>
      </w:r>
    </w:p>
    <w:p>
      <w:pPr>
        <w:pStyle w:val="BodyText"/>
        <w:spacing w:line="240" w:lineRule="auto" w:before="139"/>
        <w:ind w:left="513" w:right="87"/>
        <w:jc w:val="left"/>
      </w:pPr>
      <w:r>
        <w:rPr/>
        <w:t>报告期内，公司治理各项具体工作如下：</w:t>
      </w:r>
    </w:p>
    <w:p>
      <w:pPr>
        <w:pStyle w:val="BodyText"/>
        <w:spacing w:line="314" w:lineRule="auto" w:before="117"/>
        <w:ind w:right="190" w:firstLine="360"/>
        <w:jc w:val="both"/>
      </w:pPr>
      <w:r>
        <w:rPr>
          <w:rFonts w:ascii="Times New Roman" w:hAnsi="Times New Roman" w:cs="Times New Roman" w:eastAsia="Times New Roman" w:hint="default"/>
        </w:rPr>
        <w:t>1</w:t>
      </w:r>
      <w:r>
        <w:rPr/>
        <w:t>、关于股东与股东大会：根据《上市公司股东大会规则》、《深圳证券交易所中小企业板上市公司规范运作指引》等 </w:t>
      </w:r>
      <w:r>
        <w:rPr>
          <w:spacing w:val="-2"/>
        </w:rPr>
        <w:t>有关规定和要求，公司制定了《股东大会议事规则》并切实执行。报告期内，公司共召开两次股东大会，会议均由董事会召</w:t>
      </w:r>
      <w:r>
        <w:rPr>
          <w:spacing w:val="-67"/>
        </w:rPr>
        <w:t> </w:t>
      </w:r>
      <w:r>
        <w:rPr>
          <w:spacing w:val="-67"/>
        </w:rPr>
      </w:r>
      <w:r>
        <w:rPr>
          <w:spacing w:val="-2"/>
        </w:rPr>
        <w:t>集召开，并聘请了律师进行现场见证；两次会议均开通了网络投票，切实保障股东特别是中小股东的合法权益。现场见证律</w:t>
      </w:r>
      <w:r>
        <w:rPr>
          <w:spacing w:val="-65"/>
        </w:rPr>
        <w:t> </w:t>
      </w:r>
      <w:r>
        <w:rPr>
          <w:spacing w:val="-65"/>
        </w:rPr>
      </w:r>
      <w:r>
        <w:rPr>
          <w:spacing w:val="-2"/>
        </w:rPr>
        <w:t>师出具的《法律意见书》认为公司两次股东大会的召集和召开程序、出席会议人员的资格和召集人资格、表决程序和表决结</w:t>
      </w:r>
      <w:r>
        <w:rPr>
          <w:spacing w:val="-64"/>
        </w:rPr>
        <w:t> </w:t>
      </w:r>
      <w:r>
        <w:rPr>
          <w:spacing w:val="-64"/>
        </w:rPr>
      </w:r>
      <w:r>
        <w:rPr/>
        <w:t>果均符合法律法规及《公司章程》的规定，合法有效。</w:t>
      </w:r>
    </w:p>
    <w:p>
      <w:pPr>
        <w:pStyle w:val="BodyText"/>
        <w:spacing w:line="312" w:lineRule="auto" w:before="59"/>
        <w:ind w:right="190" w:firstLine="360"/>
        <w:jc w:val="both"/>
      </w:pPr>
      <w:r>
        <w:rPr>
          <w:rFonts w:ascii="Times New Roman" w:hAnsi="Times New Roman" w:cs="Times New Roman" w:eastAsia="Times New Roman" w:hint="default"/>
        </w:rPr>
        <w:t>2</w:t>
      </w:r>
      <w:r>
        <w:rPr/>
        <w:t>、关于公司与控股股东：公司在业务、人员、资产、机构、财务上独立于控股股东。报告期内，公司控股股东严格规 </w:t>
      </w:r>
      <w:r>
        <w:rPr>
          <w:spacing w:val="-2"/>
        </w:rPr>
        <w:t>范自己的行为，依法行使股东权利并承担相应义务，没有超越公司股东大会、董事会及监事会等决策机构直接或间接干预公</w:t>
      </w:r>
      <w:r>
        <w:rPr>
          <w:spacing w:val="-63"/>
        </w:rPr>
        <w:t> </w:t>
      </w:r>
      <w:r>
        <w:rPr>
          <w:spacing w:val="-63"/>
        </w:rPr>
      </w:r>
      <w:r>
        <w:rPr>
          <w:spacing w:val="-2"/>
        </w:rPr>
        <w:t>司的决策和经营活动的行为；公司控股股东严格遵守相关承诺，不存在与公司进行同业竞争的行为；公司没有为控股股东及</w:t>
      </w:r>
      <w:r>
        <w:rPr>
          <w:spacing w:val="-63"/>
        </w:rPr>
        <w:t> </w:t>
      </w:r>
      <w:r>
        <w:rPr>
          <w:spacing w:val="-63"/>
        </w:rPr>
      </w:r>
      <w:r>
        <w:rPr/>
        <w:t>其子公司提供担保，也不存在公司控股股东非经营性占用公司资金的行为。</w:t>
      </w:r>
    </w:p>
    <w:p>
      <w:pPr>
        <w:pStyle w:val="BodyText"/>
        <w:spacing w:line="309" w:lineRule="auto" w:before="63"/>
        <w:ind w:right="94" w:firstLine="360"/>
        <w:jc w:val="left"/>
      </w:pPr>
      <w:r>
        <w:rPr>
          <w:rFonts w:ascii="Times New Roman" w:hAnsi="Times New Roman" w:cs="Times New Roman" w:eastAsia="Times New Roman" w:hint="default"/>
        </w:rPr>
        <w:t>3</w:t>
      </w:r>
      <w:r>
        <w:rPr/>
        <w:t>、关于董事与董事会：根据《公司法》、《深圳证券交易所股票上市规则》、《深圳证券交易所中小企业板上市公司 规范运作指引》、《公司章程》等有关规定和要求，公司制定了《董事会议事规则》、《独立董事工作细则》并切实执行。 报告期内，公司共召开</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t>次董事会，会议的召集与召开程序、出席会议人员的资格、会议表决程序、表决结果和决议内容均 </w:t>
      </w:r>
      <w:r>
        <w:rPr>
          <w:spacing w:val="-2"/>
        </w:rPr>
        <w:t>符合法律法规和《公司章程》的规定。报告期内，公司全体董事认真履行诚实守信、勤勉尽责的义务，出席各董事会和股东</w:t>
      </w:r>
      <w:r>
        <w:rPr>
          <w:spacing w:val="-68"/>
        </w:rPr>
        <w:t> </w:t>
      </w:r>
      <w:r>
        <w:rPr>
          <w:spacing w:val="-68"/>
        </w:rPr>
      </w:r>
      <w:r>
        <w:rPr/>
        <w:t>大会，签署相关文件，同时积极参加相关培训，熟悉有关法律法规，维护公司和股东的利益。</w:t>
      </w:r>
    </w:p>
    <w:p>
      <w:pPr>
        <w:pStyle w:val="BodyText"/>
        <w:spacing w:line="309" w:lineRule="auto" w:before="65"/>
        <w:ind w:right="87" w:firstLine="360"/>
        <w:jc w:val="left"/>
      </w:pPr>
      <w:r>
        <w:rPr>
          <w:rFonts w:ascii="Times New Roman" w:hAnsi="Times New Roman" w:cs="Times New Roman" w:eastAsia="Times New Roman" w:hint="default"/>
        </w:rPr>
        <w:t>4</w:t>
      </w:r>
      <w:r>
        <w:rPr/>
        <w:t>、关于监事与监事会：根据《公司法》、《深圳证券交易所股票上市规则》、《深圳证券交易所中小企业板上市公司 规范运作指引》、《公司章程》等有关规定和要求，公司制定了《监事会议事规则》并切实执行。报告期内，公司共召开</w:t>
      </w:r>
      <w:r>
        <w:rPr>
          <w:spacing w:val="-55"/>
        </w:rPr>
        <w:t> </w:t>
      </w:r>
      <w:r>
        <w:rPr>
          <w:rFonts w:ascii="Times New Roman" w:hAnsi="Times New Roman" w:cs="Times New Roman" w:eastAsia="Times New Roman" w:hint="default"/>
        </w:rPr>
        <w:t>7 </w:t>
      </w:r>
      <w:r>
        <w:rPr>
          <w:spacing w:val="-5"/>
        </w:rPr>
        <w:t>次监事会，会议的召集、召开和表决程序符合法律法规和《公司章程》的规定。报告期内，公司全体监事在《公司法》、《公</w:t>
      </w:r>
      <w:r>
        <w:rPr>
          <w:spacing w:val="-82"/>
        </w:rPr>
        <w:t> </w:t>
      </w:r>
      <w:r>
        <w:rPr>
          <w:spacing w:val="-82"/>
        </w:rPr>
      </w:r>
      <w:r>
        <w:rPr>
          <w:spacing w:val="-4"/>
        </w:rPr>
        <w:t>司章程》和股东大会赋予的职权范围内积极行使监督权，对公司定期报告、募集资金使用、财务状况等进行审核并发表意见，</w:t>
      </w:r>
      <w:r>
        <w:rPr>
          <w:spacing w:val="-44"/>
        </w:rPr>
        <w:t> </w:t>
      </w:r>
      <w:r>
        <w:rPr>
          <w:spacing w:val="-44"/>
        </w:rPr>
      </w:r>
      <w:r>
        <w:rPr/>
        <w:t>保护公司、股东、债权人的合法权益。</w:t>
      </w:r>
    </w:p>
    <w:p>
      <w:pPr>
        <w:pStyle w:val="BodyText"/>
        <w:spacing w:line="312" w:lineRule="auto" w:before="63"/>
        <w:ind w:right="192" w:firstLine="360"/>
        <w:jc w:val="both"/>
      </w:pPr>
      <w:r>
        <w:rPr>
          <w:rFonts w:ascii="Times New Roman" w:hAnsi="Times New Roman" w:cs="Times New Roman" w:eastAsia="Times New Roman" w:hint="default"/>
        </w:rPr>
        <w:t>5</w:t>
      </w:r>
      <w:r>
        <w:rPr/>
        <w:t>、关于绩效评价和激励约束机制：公司根据自身业务、经营情况，建立了企业绩效评价激励体系和激励约束机制，将 </w:t>
      </w:r>
      <w:r>
        <w:rPr>
          <w:spacing w:val="-2"/>
        </w:rPr>
        <w:t>经营管理层和员工的收入与企业经营业绩相挂钩，同时实施了员工持股计划，进一步完善了核心员工与全体股东的利益共享</w:t>
      </w:r>
      <w:r>
        <w:rPr>
          <w:spacing w:val="-64"/>
        </w:rPr>
        <w:t> </w:t>
      </w:r>
      <w:r>
        <w:rPr>
          <w:spacing w:val="-64"/>
        </w:rPr>
      </w:r>
      <w:r>
        <w:rPr>
          <w:spacing w:val="-2"/>
        </w:rPr>
        <w:t>和风险共担机制，激发员工积极性和创造性，提高工作效率；公司高级管理人员的聘任公开、透明，高管薪酬由薪酬考核委</w:t>
      </w:r>
      <w:r>
        <w:rPr>
          <w:spacing w:val="-67"/>
        </w:rPr>
        <w:t> </w:t>
      </w:r>
      <w:r>
        <w:rPr>
          <w:spacing w:val="-67"/>
        </w:rPr>
      </w:r>
      <w:r>
        <w:rPr/>
        <w:t>员会核定并经董事会审核通过。</w:t>
      </w:r>
    </w:p>
    <w:p>
      <w:pPr>
        <w:pStyle w:val="BodyText"/>
        <w:spacing w:line="309" w:lineRule="auto" w:before="63"/>
        <w:ind w:right="87" w:firstLine="360"/>
        <w:jc w:val="left"/>
      </w:pPr>
      <w:r>
        <w:rPr>
          <w:rFonts w:ascii="Times New Roman" w:hAnsi="Times New Roman" w:cs="Times New Roman" w:eastAsia="Times New Roman" w:hint="default"/>
        </w:rPr>
        <w:t>6</w:t>
      </w:r>
      <w:r>
        <w:rPr/>
        <w:t>、关于利益相关者：报告期内，公司在注重企业经营的同时，充分尊重和维护利益相关者的合法权利，诚信对待供应 </w:t>
      </w:r>
      <w:r>
        <w:rPr>
          <w:spacing w:val="-4"/>
        </w:rPr>
        <w:t>商和客户，加强与各方的沟通和合作，努力实现公司、股东、员工、客户、供应商、最终用户、社会等各方利益的协调平衡，</w:t>
      </w:r>
      <w:r>
        <w:rPr>
          <w:spacing w:val="-46"/>
        </w:rPr>
        <w:t> </w:t>
      </w:r>
      <w:r>
        <w:rPr>
          <w:spacing w:val="-46"/>
        </w:rPr>
      </w:r>
      <w:r>
        <w:rPr/>
        <w:t>共同推动公司持续、稳健发展。</w:t>
      </w:r>
    </w:p>
    <w:p>
      <w:pPr>
        <w:pStyle w:val="BodyText"/>
        <w:spacing w:line="240" w:lineRule="auto" w:before="65"/>
        <w:ind w:left="513" w:right="87"/>
        <w:jc w:val="left"/>
      </w:pPr>
      <w:r>
        <w:rPr>
          <w:rFonts w:ascii="Times New Roman" w:hAnsi="Times New Roman" w:cs="Times New Roman" w:eastAsia="Times New Roman" w:hint="default"/>
          <w:spacing w:val="-2"/>
        </w:rPr>
        <w:t>7</w:t>
      </w:r>
      <w:r>
        <w:rPr>
          <w:spacing w:val="-2"/>
        </w:rPr>
        <w:t>、关于信息披露与透明度：公司严格按照《深圳证券交易所股票上市规则》等相关法律法规及《信息披露管理制度》、</w:t>
      </w:r>
    </w:p>
    <w:p>
      <w:pPr>
        <w:pStyle w:val="BodyText"/>
        <w:spacing w:line="312" w:lineRule="auto" w:before="63"/>
        <w:ind w:right="188"/>
        <w:jc w:val="both"/>
      </w:pPr>
      <w:r>
        <w:rPr>
          <w:spacing w:val="-2"/>
        </w:rPr>
        <w:t>《投资者关系管理制度》等制度的要求，真实、准确、完整、及时、公平地履行信息披露义务，报告期内，公司信息披露工</w:t>
      </w:r>
      <w:r>
        <w:rPr>
          <w:spacing w:val="-65"/>
        </w:rPr>
        <w:t> </w:t>
      </w:r>
      <w:r>
        <w:rPr>
          <w:spacing w:val="-65"/>
        </w:rPr>
      </w:r>
      <w:r>
        <w:rPr/>
        <w:t>作继续荣获深交所信息披露</w:t>
      </w:r>
      <w:r>
        <w:rPr>
          <w:rFonts w:ascii="Times New Roman" w:hAnsi="Times New Roman" w:cs="Times New Roman" w:eastAsia="Times New Roman" w:hint="default"/>
        </w:rPr>
        <w:t>“</w:t>
      </w:r>
      <w:r>
        <w:rPr/>
        <w:t>优秀（</w:t>
      </w:r>
      <w:r>
        <w:rPr>
          <w:rFonts w:ascii="Times New Roman" w:hAnsi="Times New Roman" w:cs="Times New Roman" w:eastAsia="Times New Roman" w:hint="default"/>
        </w:rPr>
        <w:t>A</w:t>
      </w:r>
      <w:r>
        <w:rPr/>
        <w:t>）</w:t>
      </w:r>
      <w:r>
        <w:rPr>
          <w:rFonts w:ascii="Times New Roman" w:hAnsi="Times New Roman" w:cs="Times New Roman" w:eastAsia="Times New Roman" w:hint="default"/>
        </w:rPr>
        <w:t>”</w:t>
      </w:r>
      <w:r>
        <w:rPr/>
        <w:t>考评，公司指定《证券时报》和巨潮资讯网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5"/>
        </w:rPr>
        <w:t> </w:t>
      </w:r>
      <w:r>
        <w:rPr/>
        <w:t>为公司信息披露的 </w:t>
      </w:r>
      <w:r>
        <w:rPr>
          <w:spacing w:val="-2"/>
        </w:rPr>
        <w:t>报纸和网站，通过网上说明会、投资者关系互动平台、电话接听、专用电子信箱、接待投资者和调研机构的来访和咨询等多</w:t>
      </w:r>
      <w:r>
        <w:rPr>
          <w:spacing w:val="-67"/>
        </w:rPr>
        <w:t> </w:t>
      </w:r>
      <w:r>
        <w:rPr>
          <w:spacing w:val="-67"/>
        </w:rPr>
      </w:r>
      <w:r>
        <w:rPr/>
        <w:t>种方式，与投资者进行沟通、交流，提高公司运作的公开性和透明度，确保公司所有股东以平等的机会获取公司信息。</w:t>
      </w:r>
    </w:p>
    <w:p>
      <w:pPr>
        <w:pStyle w:val="BodyText"/>
        <w:spacing w:line="240" w:lineRule="auto" w:before="61"/>
        <w:ind w:right="0"/>
        <w:jc w:val="both"/>
      </w:pPr>
      <w:r>
        <w:rPr/>
        <w:t>公司治理的实际状况与中国证监会发布的有关上市公司治理的规范性文件是否存在重大差异</w:t>
      </w:r>
    </w:p>
    <w:p>
      <w:pPr>
        <w:spacing w:after="0" w:line="240" w:lineRule="auto"/>
        <w:jc w:val="both"/>
        <w:sectPr>
          <w:pgSz w:w="11910" w:h="16840"/>
          <w:pgMar w:header="880" w:footer="979" w:top="1100" w:bottom="1160" w:left="980" w:right="940"/>
        </w:sectPr>
      </w:pPr>
    </w:p>
    <w:p>
      <w:pPr>
        <w:spacing w:line="240" w:lineRule="auto" w:before="0"/>
        <w:rPr>
          <w:rFonts w:ascii="宋体" w:hAnsi="宋体" w:cs="宋体" w:eastAsia="宋体" w:hint="default"/>
          <w:sz w:val="22"/>
          <w:szCs w:val="22"/>
        </w:rPr>
      </w:pPr>
    </w:p>
    <w:p>
      <w:pPr>
        <w:pStyle w:val="BodyText"/>
        <w:spacing w:line="340" w:lineRule="auto" w:before="44"/>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1"/>
        <w:rPr>
          <w:rFonts w:ascii="宋体" w:hAnsi="宋体" w:cs="宋体" w:eastAsia="宋体" w:hint="default"/>
          <w:sz w:val="19"/>
          <w:szCs w:val="19"/>
        </w:rPr>
      </w:pPr>
    </w:p>
    <w:p>
      <w:pPr>
        <w:pStyle w:val="Heading2"/>
        <w:spacing w:line="240" w:lineRule="auto"/>
        <w:ind w:right="87"/>
        <w:jc w:val="left"/>
        <w:rPr>
          <w:b w:val="0"/>
          <w:bCs w:val="0"/>
        </w:rPr>
      </w:pP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报告期内，公司与控股股东在业务、人员、资产、机构、财务等方面完全分开，具有独立完整的业务及自主经营能力。</w:t>
      </w:r>
    </w:p>
    <w:p>
      <w:pPr>
        <w:pStyle w:val="BodyText"/>
        <w:spacing w:line="328" w:lineRule="auto" w:before="76"/>
        <w:ind w:right="192" w:firstLine="360"/>
        <w:jc w:val="both"/>
      </w:pPr>
      <w:r>
        <w:rPr>
          <w:rFonts w:ascii="Times New Roman" w:hAnsi="Times New Roman" w:cs="Times New Roman" w:eastAsia="Times New Roman" w:hint="default"/>
        </w:rPr>
        <w:t>1</w:t>
      </w:r>
      <w:r>
        <w:rPr/>
        <w:t>、业务独立情况：公司业务独立于控股股东、实际控制人及其控制的其他企业，拥有独立完整的生产、研发、销售和 </w:t>
      </w:r>
      <w:r>
        <w:rPr>
          <w:spacing w:val="-2"/>
        </w:rPr>
        <w:t>服务系统，独立开展业务，不依赖于股东或其它任何关联方，与控股股东、实际控制人及其控制的其他企业不存在同业竞争</w:t>
      </w:r>
      <w:r>
        <w:rPr>
          <w:spacing w:val="-65"/>
        </w:rPr>
        <w:t> </w:t>
      </w:r>
      <w:r>
        <w:rPr>
          <w:spacing w:val="-65"/>
        </w:rPr>
      </w:r>
      <w:r>
        <w:rPr/>
        <w:t>或者显失公平的关联交易。</w:t>
      </w:r>
    </w:p>
    <w:p>
      <w:pPr>
        <w:pStyle w:val="BodyText"/>
        <w:spacing w:line="312" w:lineRule="auto" w:before="50"/>
        <w:ind w:right="191"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和人事管理制度，拥有独立的劳动用工权利，不存在受控股股东干涉的现象。公司总经理、副总经理和其他高级管理人员以</w:t>
      </w:r>
      <w:r>
        <w:rPr>
          <w:spacing w:val="-65"/>
        </w:rPr>
        <w:t> </w:t>
      </w:r>
      <w:r>
        <w:rPr>
          <w:spacing w:val="-65"/>
        </w:rPr>
      </w:r>
      <w:r>
        <w:rPr>
          <w:spacing w:val="-2"/>
        </w:rPr>
        <w:t>及核心技术人员等均专职在本公司及控股子公司工作并领取薪酬，未在控股股东、实际控制人及其控制的其他企业中担任除</w:t>
      </w:r>
      <w:r>
        <w:rPr>
          <w:spacing w:val="-63"/>
        </w:rPr>
        <w:t> </w:t>
      </w:r>
      <w:r>
        <w:rPr>
          <w:spacing w:val="-63"/>
        </w:rPr>
      </w:r>
      <w:r>
        <w:rPr/>
        <w:t>董事、监事以外的任何职务及领取薪酬。</w:t>
      </w:r>
    </w:p>
    <w:p>
      <w:pPr>
        <w:pStyle w:val="BodyText"/>
        <w:spacing w:line="312" w:lineRule="auto" w:before="61"/>
        <w:ind w:right="94" w:firstLine="360"/>
        <w:jc w:val="left"/>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生产系统和配套设施、土地使用权、房屋所有权等资产，拥有独立的采购和销售系统，对所有资产拥有完全的控制支配权。 </w:t>
      </w:r>
      <w:r>
        <w:rPr>
          <w:spacing w:val="-2"/>
        </w:rPr>
        <w:t>另外，公司全资子公司广州银通、全资孙公司深圳银通、广电安保投资公司、控股子公司广州穗通等向公司控股股东无线电</w:t>
      </w:r>
      <w:r>
        <w:rPr>
          <w:spacing w:val="-64"/>
        </w:rPr>
        <w:t> </w:t>
      </w:r>
      <w:r>
        <w:rPr>
          <w:spacing w:val="-64"/>
        </w:rPr>
      </w:r>
      <w:r>
        <w:rPr>
          <w:spacing w:val="-2"/>
        </w:rPr>
        <w:t>集团租赁部分办公场地事宜已与无线电集团签署了相关协议并经公司董事会批准，价格公允合理，权利义务明确，且上述公</w:t>
      </w:r>
      <w:r>
        <w:rPr>
          <w:spacing w:val="-66"/>
        </w:rPr>
        <w:t> </w:t>
      </w:r>
      <w:r>
        <w:rPr>
          <w:spacing w:val="-66"/>
        </w:rPr>
      </w:r>
      <w:r>
        <w:rPr/>
        <w:t>司已于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 </w:t>
      </w:r>
      <w:r>
        <w:rPr/>
        <w:t>月搬至新办公楼，不再租赁无线电集团办公场地。公司不存在资产、资金被控股股东、实际控制人及其控 </w:t>
      </w:r>
      <w:r>
        <w:rPr>
          <w:spacing w:val="-2"/>
        </w:rPr>
        <w:t>制的其他企业违规占用而损害公司利益的情况；不存在以承包、委托经营、租赁或其他类似方式，依赖股东单位及其他关联</w:t>
      </w:r>
      <w:r>
        <w:rPr>
          <w:spacing w:val="-63"/>
        </w:rPr>
        <w:t> </w:t>
      </w:r>
      <w:r>
        <w:rPr>
          <w:spacing w:val="-63"/>
        </w:rPr>
      </w:r>
      <w:r>
        <w:rPr/>
        <w:t>方进行生产经营的情况。</w:t>
      </w:r>
    </w:p>
    <w:p>
      <w:pPr>
        <w:pStyle w:val="BodyText"/>
        <w:spacing w:line="300" w:lineRule="auto" w:before="63"/>
        <w:ind w:right="199" w:firstLine="360"/>
        <w:jc w:val="both"/>
      </w:pPr>
      <w:r>
        <w:rPr>
          <w:rFonts w:ascii="Times New Roman" w:hAnsi="Times New Roman" w:cs="Times New Roman" w:eastAsia="Times New Roman" w:hint="default"/>
        </w:rPr>
        <w:t>4</w:t>
      </w:r>
      <w:r>
        <w:rPr/>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BodyText"/>
        <w:spacing w:line="300" w:lineRule="auto" w:before="72"/>
        <w:ind w:right="101" w:firstLine="360"/>
        <w:jc w:val="both"/>
      </w:pPr>
      <w:r>
        <w:rPr>
          <w:rFonts w:ascii="Times New Roman" w:hAnsi="Times New Roman" w:cs="Times New Roman" w:eastAsia="Times New Roman" w:hint="default"/>
          <w:spacing w:val="-2"/>
        </w:rPr>
        <w:t>5</w:t>
      </w:r>
      <w:r>
        <w:rPr>
          <w:spacing w:val="-2"/>
        </w:rPr>
        <w:t>、机构独立情况：公司建立了健全的法人治理机构，公司根据《公司法》和《公司章程》及其他有关法律法规的规定，</w:t>
      </w:r>
      <w:r>
        <w:rPr/>
        <w:t> 设立了股东大会、董事会、监事会以及经营管理层，并制定了相关议事规则和工作细则。</w:t>
      </w:r>
    </w:p>
    <w:p>
      <w:pPr>
        <w:pStyle w:val="BodyText"/>
        <w:spacing w:line="316" w:lineRule="auto" w:before="70"/>
        <w:ind w:right="189" w:firstLine="360"/>
        <w:jc w:val="both"/>
      </w:pPr>
      <w:r>
        <w:rPr>
          <w:spacing w:val="-2"/>
        </w:rPr>
        <w:t>公司已经按照法律、法规的规定和公司的实际情况设置了公司的组织机构，独立于控股股东和其他关联方，具有健全的</w:t>
      </w:r>
      <w:r>
        <w:rPr/>
        <w:t> </w:t>
      </w:r>
      <w:r>
        <w:rPr>
          <w:spacing w:val="-2"/>
        </w:rPr>
        <w:t>内部经营管理机构，独立行使经营管理职权，公司及其职能部门与控股股东及其职能部门之间不存在上下级关系，不存在与</w:t>
      </w:r>
      <w:r>
        <w:rPr>
          <w:spacing w:val="-63"/>
        </w:rPr>
        <w:t> </w:t>
      </w:r>
      <w:r>
        <w:rPr>
          <w:spacing w:val="-63"/>
        </w:rPr>
      </w:r>
      <w:r>
        <w:rPr/>
        <w:t>控股股东及其下属企业机构混同或从属的情形。</w:t>
      </w:r>
    </w:p>
    <w:p>
      <w:pPr>
        <w:spacing w:line="240" w:lineRule="auto" w:before="9"/>
        <w:rPr>
          <w:rFonts w:ascii="宋体" w:hAnsi="宋体" w:cs="宋体" w:eastAsia="宋体" w:hint="default"/>
          <w:sz w:val="20"/>
          <w:szCs w:val="20"/>
        </w:rPr>
      </w:pPr>
    </w:p>
    <w:p>
      <w:pPr>
        <w:pStyle w:val="Heading2"/>
        <w:spacing w:line="240" w:lineRule="auto"/>
        <w:ind w:right="87"/>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7"/>
        <w:jc w:val="left"/>
        <w:rPr>
          <w:b w:val="0"/>
          <w:bCs w:val="0"/>
        </w:rPr>
      </w:pP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8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spacing w:line="240" w:lineRule="auto" w:before="44"/>
        <w:ind w:left="0" w:right="201"/>
        <w:jc w:val="right"/>
      </w:pPr>
      <w:r>
        <w:rPr/>
        <w:pict>
          <v:shape style="position:absolute;margin-left:56.400002pt;margin-top:-54.128258pt;width:479.15pt;height:125.2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274"/>
                    <w:gridCol w:w="853"/>
                    <w:gridCol w:w="1558"/>
                    <w:gridCol w:w="1560"/>
                    <w:gridCol w:w="3329"/>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1" w:right="62"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0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 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58.4412%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2017-030</w:t>
                        </w:r>
                      </w:p>
                      <w:p>
                        <w:pPr>
                          <w:pStyle w:val="TableParagraph"/>
                          <w:spacing w:line="338" w:lineRule="auto" w:before="103"/>
                          <w:ind w:left="23" w:right="23"/>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公告名称：《</w:t>
                        </w:r>
                        <w:r>
                          <w:rPr>
                            <w:rFonts w:ascii="Times New Roman" w:hAnsi="Times New Roman" w:cs="Times New Roman" w:eastAsia="Times New Roman" w:hint="default"/>
                            <w:spacing w:val="-11"/>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年度股东大会决议公告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披露网站：巨潮资讯网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54.3952%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2017-052</w:t>
                        </w:r>
                      </w:p>
                    </w:tc>
                  </w:tr>
                </w:tbl>
                <w:p>
                  <w:pPr/>
                </w:p>
              </w:txbxContent>
            </v:textbox>
            <w10:wrap type="none"/>
          </v:shape>
        </w:pict>
      </w:r>
      <w:r>
        <w:rPr/>
        <w:t>》</w:t>
      </w:r>
    </w:p>
    <w:p>
      <w:pPr>
        <w:spacing w:after="0" w:line="240" w:lineRule="auto"/>
        <w:jc w:val="right"/>
        <w:sectPr>
          <w:pgSz w:w="11910" w:h="16840"/>
          <w:pgMar w:header="880"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227" w:type="dxa"/>
        <w:tblLayout w:type="fixed"/>
        <w:tblCellMar>
          <w:top w:w="0" w:type="dxa"/>
          <w:left w:w="0" w:type="dxa"/>
          <w:bottom w:w="0" w:type="dxa"/>
          <w:right w:w="0" w:type="dxa"/>
        </w:tblCellMar>
        <w:tblLook w:val="01E0"/>
      </w:tblPr>
      <w:tblGrid>
        <w:gridCol w:w="994"/>
        <w:gridCol w:w="1274"/>
        <w:gridCol w:w="853"/>
        <w:gridCol w:w="1558"/>
        <w:gridCol w:w="1560"/>
        <w:gridCol w:w="3329"/>
      </w:tblGrid>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 决议公告》</w:t>
            </w:r>
          </w:p>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披露网站：巨潮资讯网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p>
        </w:tc>
      </w:tr>
    </w:tbl>
    <w:p>
      <w:pPr>
        <w:spacing w:line="240" w:lineRule="auto" w:before="8"/>
        <w:rPr>
          <w:rFonts w:ascii="宋体" w:hAnsi="宋体" w:cs="宋体" w:eastAsia="宋体" w:hint="default"/>
          <w:sz w:val="19"/>
          <w:szCs w:val="19"/>
        </w:rPr>
      </w:pPr>
    </w:p>
    <w:p>
      <w:pPr>
        <w:pStyle w:val="Heading4"/>
        <w:spacing w:line="240" w:lineRule="auto" w:before="37"/>
        <w:ind w:left="232"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32" w:right="0"/>
        <w:jc w:val="left"/>
        <w:rPr>
          <w:b w:val="0"/>
          <w:bCs w:val="0"/>
        </w:rPr>
      </w:pPr>
      <w:r>
        <w:rPr/>
        <w:t>五、报告期内独立董事履行职责的情况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232"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843"/>
        <w:gridCol w:w="1325"/>
        <w:gridCol w:w="1325"/>
        <w:gridCol w:w="1322"/>
        <w:gridCol w:w="1325"/>
        <w:gridCol w:w="1044"/>
        <w:gridCol w:w="1702"/>
        <w:gridCol w:w="991"/>
      </w:tblGrid>
      <w:tr>
        <w:trPr>
          <w:trHeight w:val="403" w:hRule="exact"/>
        </w:trPr>
        <w:tc>
          <w:tcPr>
            <w:tcW w:w="987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8" w:right="142"/>
              <w:jc w:val="left"/>
              <w:rPr>
                <w:rFonts w:ascii="宋体" w:hAnsi="宋体" w:cs="宋体" w:eastAsia="宋体" w:hint="default"/>
                <w:sz w:val="18"/>
                <w:szCs w:val="18"/>
              </w:rPr>
            </w:pPr>
            <w:r>
              <w:rPr>
                <w:rFonts w:ascii="宋体" w:hAnsi="宋体" w:cs="宋体" w:eastAsia="宋体" w:hint="default"/>
                <w:sz w:val="18"/>
                <w:szCs w:val="18"/>
              </w:rPr>
              <w:t>独立董 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0" w:right="113"/>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6" w:right="116"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7" w:right="11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8" w:right="113"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156"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5"/>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131"/>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刘佩莲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邢良文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朱桂龙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left="232" w:right="7154"/>
        <w:jc w:val="left"/>
      </w:pPr>
      <w:r>
        <w:rPr/>
        <w:t>连续两次未亲自出席董事会的说明 无</w:t>
      </w:r>
    </w:p>
    <w:p>
      <w:pPr>
        <w:spacing w:line="240" w:lineRule="auto" w:before="10"/>
        <w:rPr>
          <w:rFonts w:ascii="宋体" w:hAnsi="宋体" w:cs="宋体" w:eastAsia="宋体" w:hint="default"/>
          <w:sz w:val="20"/>
          <w:szCs w:val="20"/>
        </w:rPr>
      </w:pPr>
    </w:p>
    <w:p>
      <w:pPr>
        <w:pStyle w:val="Heading4"/>
        <w:spacing w:line="240" w:lineRule="auto"/>
        <w:ind w:left="232"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232" w:right="0"/>
        <w:jc w:val="left"/>
      </w:pPr>
      <w:r>
        <w:rPr/>
        <w:t>独立董事对公司有关事项是否提出异议</w:t>
      </w:r>
    </w:p>
    <w:p>
      <w:pPr>
        <w:pStyle w:val="BodyText"/>
        <w:spacing w:line="340" w:lineRule="auto" w:before="115"/>
        <w:ind w:left="232" w:right="60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0"/>
        <w:rPr>
          <w:rFonts w:ascii="宋体" w:hAnsi="宋体" w:cs="宋体" w:eastAsia="宋体" w:hint="default"/>
          <w:sz w:val="21"/>
          <w:szCs w:val="21"/>
        </w:rPr>
      </w:pPr>
    </w:p>
    <w:p>
      <w:pPr>
        <w:pStyle w:val="Heading4"/>
        <w:spacing w:line="240" w:lineRule="auto"/>
        <w:ind w:left="232"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232" w:right="0"/>
        <w:jc w:val="left"/>
      </w:pPr>
      <w:r>
        <w:rPr/>
        <w:t>独立董事对公司有关建议是否被采纳</w:t>
      </w:r>
    </w:p>
    <w:p>
      <w:pPr>
        <w:pStyle w:val="BodyText"/>
        <w:spacing w:line="340" w:lineRule="auto" w:before="115"/>
        <w:ind w:left="232" w:right="5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left="232" w:right="228" w:firstLine="360"/>
        <w:jc w:val="both"/>
      </w:pPr>
      <w:r>
        <w:rPr>
          <w:spacing w:val="-2"/>
        </w:rPr>
        <w:t>公司独立董事根据《公司法》、《证券法》、《公司章程》和公司《独立董事工作制度》等法律法规的规定，关注公司</w:t>
      </w:r>
      <w:r>
        <w:rPr/>
        <w:t> </w:t>
      </w:r>
      <w:r>
        <w:rPr>
          <w:spacing w:val="-2"/>
        </w:rPr>
        <w:t>运作的规范性，独立履行职责，对公司的制度完善和日常经营决策等方面提出了许多宝贵的专业性意见，对报告期内公司发</w:t>
      </w:r>
      <w:r>
        <w:rPr>
          <w:spacing w:val="-63"/>
        </w:rPr>
        <w:t> </w:t>
      </w:r>
      <w:r>
        <w:rPr>
          <w:spacing w:val="-63"/>
        </w:rPr>
      </w:r>
      <w:r>
        <w:rPr>
          <w:spacing w:val="-2"/>
        </w:rPr>
        <w:t>生的募集资金存放和实际使用、关联方资金占用、会计核算变更、会计政策变更、利润分配、聘请年度报告审计机构、高管</w:t>
      </w:r>
      <w:r>
        <w:rPr>
          <w:spacing w:val="-63"/>
        </w:rPr>
        <w:t> </w:t>
      </w:r>
      <w:r>
        <w:rPr>
          <w:spacing w:val="-63"/>
        </w:rPr>
      </w:r>
      <w:r>
        <w:rPr>
          <w:spacing w:val="-2"/>
        </w:rPr>
        <w:t>薪酬、关联交易、对外担保、选举董事、计提资产减值、外汇套期保值、聘任高级管理人员等需要独立董事发表意见的事项</w:t>
      </w:r>
      <w:r>
        <w:rPr>
          <w:spacing w:val="-66"/>
        </w:rPr>
        <w:t> </w:t>
      </w:r>
      <w:r>
        <w:rPr>
          <w:spacing w:val="-66"/>
        </w:rPr>
      </w:r>
      <w:r>
        <w:rPr/>
        <w:t>出具了独立、公正的独立董事意见，为完善公司监督机制，维护公司和全体股东的合法权益发挥了应有的作用。</w:t>
      </w:r>
    </w:p>
    <w:p>
      <w:pPr>
        <w:spacing w:after="0" w:line="316" w:lineRule="auto"/>
        <w:jc w:val="both"/>
        <w:sectPr>
          <w:pgSz w:w="11910" w:h="16840"/>
          <w:pgMar w:header="880" w:footer="979" w:top="1100" w:bottom="1160" w:left="900" w:right="900"/>
        </w:sectPr>
      </w:pPr>
    </w:p>
    <w:p>
      <w:pPr>
        <w:spacing w:line="240" w:lineRule="auto" w:before="10"/>
        <w:rPr>
          <w:rFonts w:ascii="宋体" w:hAnsi="宋体" w:cs="宋体" w:eastAsia="宋体" w:hint="default"/>
          <w:sz w:val="19"/>
          <w:szCs w:val="19"/>
        </w:rPr>
      </w:pPr>
    </w:p>
    <w:p>
      <w:pPr>
        <w:pStyle w:val="Heading2"/>
        <w:spacing w:line="240" w:lineRule="auto" w:before="26"/>
        <w:ind w:right="87"/>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87"/>
        <w:jc w:val="left"/>
      </w:pPr>
      <w:r>
        <w:rPr>
          <w:rFonts w:ascii="Times New Roman" w:hAnsi="Times New Roman" w:cs="Times New Roman" w:eastAsia="Times New Roman" w:hint="default"/>
        </w:rPr>
        <w:t>1</w:t>
      </w:r>
      <w:r>
        <w:rPr/>
        <w:t>、审计委员会</w:t>
      </w:r>
    </w:p>
    <w:p>
      <w:pPr>
        <w:pStyle w:val="BodyText"/>
        <w:spacing w:line="314" w:lineRule="auto" w:before="101"/>
        <w:ind w:right="189" w:firstLine="360"/>
        <w:jc w:val="both"/>
      </w:pPr>
      <w:r>
        <w:rPr>
          <w:rFonts w:ascii="Times New Roman" w:hAnsi="Times New Roman" w:cs="Times New Roman" w:eastAsia="Times New Roman" w:hint="default"/>
        </w:rPr>
        <w:t>2017</w:t>
      </w:r>
      <w:r>
        <w:rPr/>
        <w:t>年，董事会审计委员会召开了</w:t>
      </w:r>
      <w:r>
        <w:rPr>
          <w:rFonts w:ascii="Times New Roman" w:hAnsi="Times New Roman" w:cs="Times New Roman" w:eastAsia="Times New Roman" w:hint="default"/>
        </w:rPr>
        <w:t>7</w:t>
      </w:r>
      <w:r>
        <w:rPr/>
        <w:t>次会议，严格按照《审计委员会工作细则》开展各项工作，对公司审计部提交的季 </w:t>
      </w:r>
      <w:r>
        <w:rPr>
          <w:spacing w:val="-2"/>
        </w:rPr>
        <w:t>度经营审计报告、季度及年度募集资金存放与使用情况的专项报告、年度内部控制自我评价报告、内部审计工作计划、外部</w:t>
      </w:r>
      <w:r>
        <w:rPr>
          <w:spacing w:val="-62"/>
        </w:rPr>
        <w:t> </w:t>
      </w:r>
      <w:r>
        <w:rPr>
          <w:spacing w:val="-62"/>
        </w:rPr>
      </w:r>
      <w:r>
        <w:rPr>
          <w:spacing w:val="-2"/>
        </w:rPr>
        <w:t>审计机构的工作总结报告、续聘会计师事务所等事项进行审议，对相关事项讨论后，形成决议提交公司董事会进行审议；对</w:t>
      </w:r>
      <w:r>
        <w:rPr>
          <w:spacing w:val="-66"/>
        </w:rPr>
        <w:t> </w:t>
      </w:r>
      <w:r>
        <w:rPr>
          <w:spacing w:val="-66"/>
        </w:rPr>
      </w:r>
      <w:r>
        <w:rPr>
          <w:spacing w:val="-2"/>
        </w:rPr>
        <w:t>内部控制的实施情况进行监督；严格按照《董事会审计委员会年报工作规程》对年审会计师完成审计工作情况及其执业质量</w:t>
      </w:r>
      <w:r>
        <w:rPr>
          <w:spacing w:val="-66"/>
        </w:rPr>
        <w:t> </w:t>
      </w:r>
      <w:r>
        <w:rPr>
          <w:spacing w:val="-66"/>
        </w:rPr>
      </w:r>
      <w:r>
        <w:rPr/>
        <w:t>进行全面客观的评价，提高年报的披露质量。</w:t>
      </w:r>
    </w:p>
    <w:p>
      <w:pPr>
        <w:pStyle w:val="BodyText"/>
        <w:spacing w:line="240" w:lineRule="auto" w:before="61"/>
        <w:ind w:left="513" w:right="87"/>
        <w:jc w:val="left"/>
      </w:pPr>
      <w:r>
        <w:rPr>
          <w:rFonts w:ascii="Times New Roman" w:hAnsi="Times New Roman" w:cs="Times New Roman" w:eastAsia="Times New Roman" w:hint="default"/>
        </w:rPr>
        <w:t>2</w:t>
      </w:r>
      <w:r>
        <w:rPr/>
        <w:t>、薪酬与考核委员会</w:t>
      </w:r>
    </w:p>
    <w:p>
      <w:pPr>
        <w:pStyle w:val="BodyText"/>
        <w:spacing w:line="300" w:lineRule="auto" w:before="103"/>
        <w:ind w:right="184" w:firstLine="360"/>
        <w:jc w:val="left"/>
      </w:pPr>
      <w:r>
        <w:rPr>
          <w:rFonts w:ascii="Times New Roman" w:hAnsi="Times New Roman" w:cs="Times New Roman" w:eastAsia="Times New Roman" w:hint="default"/>
        </w:rPr>
        <w:t>2017</w:t>
      </w:r>
      <w:r>
        <w:rPr/>
        <w:t>年，董事会薪酬与考核委员会召开了</w:t>
      </w:r>
      <w:r>
        <w:rPr>
          <w:rFonts w:ascii="Times New Roman" w:hAnsi="Times New Roman" w:cs="Times New Roman" w:eastAsia="Times New Roman" w:hint="default"/>
        </w:rPr>
        <w:t>1</w:t>
      </w:r>
      <w:r>
        <w:rPr/>
        <w:t>次会议，对公司高级管理人员进行考核，确定其</w:t>
      </w:r>
      <w:r>
        <w:rPr>
          <w:rFonts w:ascii="Times New Roman" w:hAnsi="Times New Roman" w:cs="Times New Roman" w:eastAsia="Times New Roman" w:hint="default"/>
        </w:rPr>
        <w:t>2016</w:t>
      </w:r>
      <w:r>
        <w:rPr/>
        <w:t>年薪酬及</w:t>
      </w:r>
      <w:r>
        <w:rPr>
          <w:rFonts w:ascii="Times New Roman" w:hAnsi="Times New Roman" w:cs="Times New Roman" w:eastAsia="Times New Roman" w:hint="default"/>
        </w:rPr>
        <w:t>2017</w:t>
      </w:r>
      <w:r>
        <w:rPr/>
        <w:t>年度考核 目标，并形成议案提交董事会审议。</w:t>
      </w:r>
    </w:p>
    <w:p>
      <w:pPr>
        <w:pStyle w:val="BodyText"/>
        <w:spacing w:line="240" w:lineRule="auto" w:before="70"/>
        <w:ind w:left="513" w:right="87"/>
        <w:jc w:val="left"/>
      </w:pPr>
      <w:r>
        <w:rPr>
          <w:rFonts w:ascii="Times New Roman" w:hAnsi="Times New Roman" w:cs="Times New Roman" w:eastAsia="Times New Roman" w:hint="default"/>
        </w:rPr>
        <w:t>3</w:t>
      </w:r>
      <w:r>
        <w:rPr/>
        <w:t>、提名委员会</w:t>
      </w:r>
    </w:p>
    <w:p>
      <w:pPr>
        <w:pStyle w:val="BodyText"/>
        <w:spacing w:line="314" w:lineRule="auto" w:before="103"/>
        <w:ind w:right="94" w:firstLine="360"/>
        <w:jc w:val="left"/>
      </w:pPr>
      <w:r>
        <w:rPr>
          <w:rFonts w:ascii="Times New Roman" w:hAnsi="Times New Roman" w:cs="Times New Roman" w:eastAsia="Times New Roman" w:hint="default"/>
        </w:rPr>
        <w:t>2017</w:t>
      </w:r>
      <w:r>
        <w:rPr/>
        <w:t>年，董事会提名委员会召开了</w:t>
      </w:r>
      <w:r>
        <w:rPr>
          <w:rFonts w:ascii="Times New Roman" w:hAnsi="Times New Roman" w:cs="Times New Roman" w:eastAsia="Times New Roman" w:hint="default"/>
        </w:rPr>
        <w:t>2</w:t>
      </w:r>
      <w:r>
        <w:rPr/>
        <w:t>次会议，其中：第四届董事会提名委员会第三次会议审议通过了《关于选举黄跃珍 </w:t>
      </w:r>
      <w:r>
        <w:rPr>
          <w:spacing w:val="-2"/>
        </w:rPr>
        <w:t>和陈春田为公司董事的议案》、《关于选举邢良文为公司独立董事的议案》，经控股股东无线电集团及公司董事会推荐，提</w:t>
      </w:r>
      <w:r>
        <w:rPr>
          <w:spacing w:val="-65"/>
        </w:rPr>
        <w:t> </w:t>
      </w:r>
      <w:r>
        <w:rPr>
          <w:spacing w:val="-65"/>
        </w:rPr>
      </w:r>
      <w:r>
        <w:rPr>
          <w:spacing w:val="-2"/>
        </w:rPr>
        <w:t>名黄跃珍和陈春田为公司非独立董事，提名邢良文为公司独立董事；第四届董事会提名委员会第四次会议审议通过了《关于</w:t>
      </w:r>
      <w:r>
        <w:rPr>
          <w:spacing w:val="-61"/>
        </w:rPr>
        <w:t> </w:t>
      </w:r>
      <w:r>
        <w:rPr>
          <w:spacing w:val="-61"/>
        </w:rPr>
      </w:r>
      <w:r>
        <w:rPr>
          <w:spacing w:val="-7"/>
        </w:rPr>
        <w:t>董事会换届及提名第五届董事会非独立董事候选人的议案》、《关于董事会换届及提名第五届董事会独立董事候选人的议案》，</w:t>
      </w:r>
      <w:r>
        <w:rPr>
          <w:spacing w:val="-50"/>
        </w:rPr>
        <w:t> </w:t>
      </w:r>
      <w:r>
        <w:rPr>
          <w:spacing w:val="-50"/>
        </w:rPr>
      </w:r>
      <w:r>
        <w:rPr>
          <w:spacing w:val="-2"/>
        </w:rPr>
        <w:t>经控股股东无线电集团及公司董事会推荐，提名杨海洲、黄跃珍、叶子瑜、杨文峰、罗攀峰、陈建良为公司第五届董事会非</w:t>
      </w:r>
      <w:r>
        <w:rPr>
          <w:spacing w:val="-67"/>
        </w:rPr>
        <w:t> </w:t>
      </w:r>
      <w:r>
        <w:rPr>
          <w:spacing w:val="-67"/>
        </w:rPr>
      </w:r>
      <w:r>
        <w:rPr/>
        <w:t>独立董事，提名朱桂龙、杨闰、邢良文为公司第五届董事会独立董事。提名委员会委员对上述人选从其职业、学历、职称、</w:t>
      </w:r>
      <w:r>
        <w:rPr/>
        <w:t> 详细的工作经历、全部兼职等情况切实进行了审查，审议通过上述提名，并形成议案提交董事会审议。</w:t>
      </w:r>
    </w:p>
    <w:p>
      <w:pPr>
        <w:pStyle w:val="BodyText"/>
        <w:spacing w:line="240" w:lineRule="auto" w:before="61"/>
        <w:ind w:left="513" w:right="87"/>
        <w:jc w:val="left"/>
      </w:pPr>
      <w:r>
        <w:rPr>
          <w:rFonts w:ascii="Times New Roman" w:hAnsi="Times New Roman" w:cs="Times New Roman" w:eastAsia="Times New Roman" w:hint="default"/>
        </w:rPr>
        <w:t>4</w:t>
      </w:r>
      <w:r>
        <w:rPr/>
        <w:t>、战略与投资委员会</w:t>
      </w:r>
    </w:p>
    <w:p>
      <w:pPr>
        <w:pStyle w:val="BodyText"/>
        <w:spacing w:line="300" w:lineRule="auto" w:before="101"/>
        <w:ind w:right="184" w:firstLine="360"/>
        <w:jc w:val="left"/>
      </w:pPr>
      <w:r>
        <w:rPr>
          <w:rFonts w:ascii="Times New Roman" w:hAnsi="Times New Roman" w:cs="Times New Roman" w:eastAsia="Times New Roman" w:hint="default"/>
        </w:rPr>
        <w:t>2017</w:t>
      </w:r>
      <w:r>
        <w:rPr/>
        <w:t>年，董事会战略与投资委员会共召开了</w:t>
      </w:r>
      <w:r>
        <w:rPr>
          <w:rFonts w:ascii="Times New Roman" w:hAnsi="Times New Roman" w:cs="Times New Roman" w:eastAsia="Times New Roman" w:hint="default"/>
        </w:rPr>
        <w:t>6</w:t>
      </w:r>
      <w:r>
        <w:rPr/>
        <w:t>次会议，就公司战略与投资事项，先后形成</w:t>
      </w:r>
      <w:r>
        <w:rPr>
          <w:rFonts w:ascii="Times New Roman" w:hAnsi="Times New Roman" w:cs="Times New Roman" w:eastAsia="Times New Roman" w:hint="default"/>
        </w:rPr>
        <w:t>27</w:t>
      </w:r>
      <w:r>
        <w:rPr/>
        <w:t>项议案，达到董事会审议标 准的议案均已提交董事会审议。</w:t>
      </w:r>
    </w:p>
    <w:p>
      <w:pPr>
        <w:spacing w:line="240" w:lineRule="auto" w:before="8"/>
        <w:rPr>
          <w:rFonts w:ascii="宋体" w:hAnsi="宋体" w:cs="宋体" w:eastAsia="宋体" w:hint="default"/>
          <w:sz w:val="21"/>
          <w:szCs w:val="21"/>
        </w:rPr>
      </w:pPr>
    </w:p>
    <w:p>
      <w:pPr>
        <w:pStyle w:val="Heading2"/>
        <w:spacing w:line="240" w:lineRule="auto"/>
        <w:ind w:right="87"/>
        <w:jc w:val="left"/>
        <w:rPr>
          <w:b w:val="0"/>
          <w:bCs w:val="0"/>
        </w:rPr>
      </w:pP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7"/>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87"/>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0" w:firstLine="360"/>
        <w:jc w:val="both"/>
      </w:pPr>
      <w:r>
        <w:rPr>
          <w:spacing w:val="-2"/>
        </w:rPr>
        <w:t>公司建立健全了高级管理人员绩效考评体系、薪酬制度以及《高管层年度业绩考核与薪酬管理办法》。公司高级管理人</w:t>
      </w:r>
      <w:r>
        <w:rPr/>
        <w:t> </w:t>
      </w:r>
      <w:r>
        <w:rPr>
          <w:spacing w:val="-2"/>
        </w:rPr>
        <w:t>员的工作绩效与其收入直接挂钩，每年年初，公司与高管层分别签订年度经营责任书，落实有关考核指标及相关事项。在年</w:t>
      </w:r>
      <w:r>
        <w:rPr>
          <w:spacing w:val="-64"/>
        </w:rPr>
        <w:t> </w:t>
      </w:r>
      <w:r>
        <w:rPr>
          <w:spacing w:val="-64"/>
        </w:rPr>
      </w:r>
      <w:r>
        <w:rPr>
          <w:spacing w:val="-2"/>
        </w:rPr>
        <w:t>度结束后，由董事会薪酬与考核委员会负责按量化考核指标，对高管责任目标完成情况进行考评，制定薪酬方案报公司董事</w:t>
      </w:r>
      <w:r>
        <w:rPr>
          <w:spacing w:val="-63"/>
        </w:rPr>
        <w:t> </w:t>
      </w:r>
      <w:r>
        <w:rPr>
          <w:spacing w:val="-63"/>
        </w:rPr>
      </w:r>
      <w:r>
        <w:rPr/>
        <w:t>会审批。</w:t>
      </w:r>
    </w:p>
    <w:p>
      <w:pPr>
        <w:spacing w:line="240" w:lineRule="auto" w:before="6"/>
        <w:rPr>
          <w:rFonts w:ascii="宋体" w:hAnsi="宋体" w:cs="宋体" w:eastAsia="宋体" w:hint="default"/>
          <w:sz w:val="20"/>
          <w:szCs w:val="20"/>
        </w:rPr>
      </w:pPr>
    </w:p>
    <w:p>
      <w:pPr>
        <w:pStyle w:val="Heading2"/>
        <w:spacing w:line="240" w:lineRule="auto"/>
        <w:ind w:right="87"/>
        <w:jc w:val="left"/>
        <w:rPr>
          <w:b w:val="0"/>
          <w:bCs w:val="0"/>
        </w:rPr>
      </w:pPr>
      <w:r>
        <w:rPr/>
        <w:t>九、内部控制评价报告</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8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8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80" w:footer="979" w:top="1100" w:bottom="1160" w:left="980" w:right="940"/>
        </w:sectPr>
      </w:pPr>
    </w:p>
    <w:p>
      <w:pPr>
        <w:spacing w:line="240" w:lineRule="auto" w:before="4"/>
        <w:rPr>
          <w:rFonts w:ascii="宋体" w:hAnsi="宋体" w:cs="宋体" w:eastAsia="宋体" w:hint="default"/>
          <w:sz w:val="21"/>
          <w:szCs w:val="21"/>
        </w:rPr>
      </w:pPr>
      <w:r>
        <w:rPr/>
        <w:pict>
          <v:shape style="position:absolute;margin-left:56.400002pt;margin-top:102.739983pt;width:479.3pt;height:655.3pt;mso-position-horizontal-relative:page;mso-position-vertical-relative:page;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年度内部控制自我评价报告》</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32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p>
                      <w:p>
                        <w:pPr>
                          <w:pStyle w:val="TableParagraph"/>
                          <w:spacing w:line="316" w:lineRule="auto" w:before="115"/>
                          <w:ind w:left="23" w:right="46" w:firstLine="360"/>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①公司董事、监事和高级管理人员的 舞弊行为；</w:t>
                        </w:r>
                      </w:p>
                      <w:p>
                        <w:pPr>
                          <w:pStyle w:val="TableParagraph"/>
                          <w:spacing w:line="240" w:lineRule="auto" w:before="59"/>
                          <w:ind w:left="383" w:right="0"/>
                          <w:jc w:val="left"/>
                          <w:rPr>
                            <w:rFonts w:ascii="宋体" w:hAnsi="宋体" w:cs="宋体" w:eastAsia="宋体" w:hint="default"/>
                            <w:sz w:val="18"/>
                            <w:szCs w:val="18"/>
                          </w:rPr>
                        </w:pPr>
                        <w:r>
                          <w:rPr>
                            <w:rFonts w:ascii="宋体" w:hAnsi="宋体" w:cs="宋体" w:eastAsia="宋体" w:hint="default"/>
                            <w:sz w:val="18"/>
                            <w:szCs w:val="18"/>
                          </w:rPr>
                          <w:t>②公司更正已公布的财务报告；</w:t>
                        </w:r>
                      </w:p>
                      <w:p>
                        <w:pPr>
                          <w:pStyle w:val="TableParagraph"/>
                          <w:spacing w:line="316" w:lineRule="auto" w:before="115"/>
                          <w:ind w:left="23" w:right="46" w:firstLine="360"/>
                          <w:jc w:val="left"/>
                          <w:rPr>
                            <w:rFonts w:ascii="宋体" w:hAnsi="宋体" w:cs="宋体" w:eastAsia="宋体" w:hint="default"/>
                            <w:sz w:val="18"/>
                            <w:szCs w:val="18"/>
                          </w:rPr>
                        </w:pPr>
                        <w:r>
                          <w:rPr>
                            <w:rFonts w:ascii="宋体" w:hAnsi="宋体" w:cs="宋体" w:eastAsia="宋体" w:hint="default"/>
                            <w:sz w:val="18"/>
                            <w:szCs w:val="18"/>
                          </w:rPr>
                          <w:t>③注册会计师发现的却未被公司内部 控制识别的当期财务报告中的重大错报；</w:t>
                        </w:r>
                      </w:p>
                      <w:p>
                        <w:pPr>
                          <w:pStyle w:val="TableParagraph"/>
                          <w:spacing w:line="316" w:lineRule="auto" w:before="59"/>
                          <w:ind w:left="23" w:right="46" w:firstLine="360"/>
                          <w:jc w:val="left"/>
                          <w:rPr>
                            <w:rFonts w:ascii="宋体" w:hAnsi="宋体" w:cs="宋体" w:eastAsia="宋体" w:hint="default"/>
                            <w:sz w:val="18"/>
                            <w:szCs w:val="18"/>
                          </w:rPr>
                        </w:pPr>
                        <w:r>
                          <w:rPr>
                            <w:rFonts w:ascii="宋体" w:hAnsi="宋体" w:cs="宋体" w:eastAsia="宋体" w:hint="default"/>
                            <w:sz w:val="18"/>
                            <w:szCs w:val="18"/>
                          </w:rPr>
                          <w:t>④审计委员会和审计部门对公司的对 外财务报告和财务报告内部控制监督无 效。</w:t>
                        </w:r>
                      </w:p>
                      <w:p>
                        <w:pPr>
                          <w:pStyle w:val="TableParagraph"/>
                          <w:spacing w:line="240" w:lineRule="auto" w:before="60"/>
                          <w:ind w:left="383" w:right="0"/>
                          <w:jc w:val="left"/>
                          <w:rPr>
                            <w:rFonts w:ascii="宋体" w:hAnsi="宋体" w:cs="宋体" w:eastAsia="宋体" w:hint="default"/>
                            <w:sz w:val="18"/>
                            <w:szCs w:val="18"/>
                          </w:rPr>
                        </w:pPr>
                        <w:r>
                          <w:rPr>
                            <w:rFonts w:ascii="宋体" w:hAnsi="宋体" w:cs="宋体" w:eastAsia="宋体" w:hint="default"/>
                            <w:sz w:val="18"/>
                            <w:szCs w:val="18"/>
                          </w:rPr>
                          <w:t>财务报告重要缺陷的迹象包括：</w:t>
                        </w:r>
                      </w:p>
                      <w:p>
                        <w:pPr>
                          <w:pStyle w:val="TableParagraph"/>
                          <w:spacing w:line="316" w:lineRule="auto" w:before="115"/>
                          <w:ind w:left="23" w:right="46" w:firstLine="360"/>
                          <w:jc w:val="left"/>
                          <w:rPr>
                            <w:rFonts w:ascii="宋体" w:hAnsi="宋体" w:cs="宋体" w:eastAsia="宋体" w:hint="default"/>
                            <w:sz w:val="18"/>
                            <w:szCs w:val="18"/>
                          </w:rPr>
                        </w:pPr>
                        <w:r>
                          <w:rPr>
                            <w:rFonts w:ascii="宋体" w:hAnsi="宋体" w:cs="宋体" w:eastAsia="宋体" w:hint="default"/>
                            <w:sz w:val="18"/>
                            <w:szCs w:val="18"/>
                          </w:rPr>
                          <w:t>①未依照公认会计准则选择和应用会 计政策；</w:t>
                        </w:r>
                      </w:p>
                      <w:p>
                        <w:pPr>
                          <w:pStyle w:val="TableParagraph"/>
                          <w:spacing w:line="240" w:lineRule="auto" w:before="59"/>
                          <w:ind w:left="383" w:right="0"/>
                          <w:jc w:val="left"/>
                          <w:rPr>
                            <w:rFonts w:ascii="宋体" w:hAnsi="宋体" w:cs="宋体" w:eastAsia="宋体" w:hint="default"/>
                            <w:sz w:val="18"/>
                            <w:szCs w:val="18"/>
                          </w:rPr>
                        </w:pPr>
                        <w:r>
                          <w:rPr>
                            <w:rFonts w:ascii="宋体" w:hAnsi="宋体" w:cs="宋体" w:eastAsia="宋体" w:hint="default"/>
                            <w:sz w:val="18"/>
                            <w:szCs w:val="18"/>
                          </w:rPr>
                          <w:t>②未建立反舞弊程序和控制措施；</w:t>
                        </w:r>
                      </w:p>
                      <w:p>
                        <w:pPr>
                          <w:pStyle w:val="TableParagraph"/>
                          <w:spacing w:line="316" w:lineRule="auto" w:before="117"/>
                          <w:ind w:left="23" w:right="46" w:firstLine="360"/>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 没有建立相应的控制机制或没有实施且没 有相应的补偿性控制；</w:t>
                        </w:r>
                      </w:p>
                      <w:p>
                        <w:pPr>
                          <w:pStyle w:val="TableParagraph"/>
                          <w:spacing w:line="316" w:lineRule="auto" w:before="57"/>
                          <w:ind w:left="23" w:right="46" w:firstLine="360"/>
                          <w:jc w:val="both"/>
                          <w:rPr>
                            <w:rFonts w:ascii="宋体" w:hAnsi="宋体" w:cs="宋体" w:eastAsia="宋体" w:hint="default"/>
                            <w:sz w:val="18"/>
                            <w:szCs w:val="18"/>
                          </w:rPr>
                        </w:pPr>
                        <w:r>
                          <w:rPr>
                            <w:rFonts w:ascii="宋体" w:hAnsi="宋体" w:cs="宋体" w:eastAsia="宋体" w:hint="default"/>
                            <w:sz w:val="18"/>
                            <w:szCs w:val="18"/>
                          </w:rPr>
                          <w:t>④对于期末财务报告过程的控制存在 一项或多项缺陷且不能合理保证编制的财 务报表达到真实、完整的目标。</w:t>
                        </w:r>
                      </w:p>
                      <w:p>
                        <w:pPr>
                          <w:pStyle w:val="TableParagraph"/>
                          <w:spacing w:line="316" w:lineRule="auto" w:before="60"/>
                          <w:ind w:left="23" w:right="46" w:firstLine="360"/>
                          <w:jc w:val="left"/>
                          <w:rPr>
                            <w:rFonts w:ascii="宋体" w:hAnsi="宋体" w:cs="宋体" w:eastAsia="宋体" w:hint="default"/>
                            <w:sz w:val="18"/>
                            <w:szCs w:val="18"/>
                          </w:rPr>
                        </w:pPr>
                        <w:r>
                          <w:rPr>
                            <w:rFonts w:ascii="宋体" w:hAnsi="宋体" w:cs="宋体" w:eastAsia="宋体" w:hint="default"/>
                            <w:sz w:val="18"/>
                            <w:szCs w:val="18"/>
                          </w:rPr>
                          <w:t>一般缺陷是指除上述重大缺陷、重要 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6" w:right="20" w:firstLine="36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 </w:t>
                        </w:r>
                        <w:r>
                          <w:rPr>
                            <w:rFonts w:ascii="宋体" w:hAnsi="宋体" w:cs="宋体" w:eastAsia="宋体" w:hint="default"/>
                            <w:spacing w:val="-4"/>
                            <w:sz w:val="18"/>
                            <w:szCs w:val="18"/>
                          </w:rPr>
                          <w:t>对业务流程有效性的影响程度、发生的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可能性作判定。</w:t>
                        </w:r>
                      </w:p>
                      <w:p>
                        <w:pPr>
                          <w:pStyle w:val="TableParagraph"/>
                          <w:spacing w:line="319" w:lineRule="auto" w:before="57"/>
                          <w:ind w:left="26" w:right="19" w:firstLine="360"/>
                          <w:jc w:val="both"/>
                          <w:rPr>
                            <w:rFonts w:ascii="宋体" w:hAnsi="宋体" w:cs="宋体" w:eastAsia="宋体" w:hint="default"/>
                            <w:sz w:val="18"/>
                            <w:szCs w:val="18"/>
                          </w:rPr>
                        </w:pPr>
                        <w:r>
                          <w:rPr>
                            <w:rFonts w:ascii="宋体" w:hAnsi="宋体" w:cs="宋体" w:eastAsia="宋体" w:hint="default"/>
                            <w:spacing w:val="-5"/>
                            <w:sz w:val="18"/>
                            <w:szCs w:val="18"/>
                          </w:rPr>
                          <w:t>①如果缺陷发生的可能性较小，会</w:t>
                        </w:r>
                        <w:r>
                          <w:rPr>
                            <w:rFonts w:ascii="宋体" w:hAnsi="宋体" w:cs="宋体" w:eastAsia="宋体" w:hint="default"/>
                            <w:sz w:val="18"/>
                            <w:szCs w:val="18"/>
                          </w:rPr>
                          <w:t> </w:t>
                        </w:r>
                        <w:r>
                          <w:rPr>
                            <w:rFonts w:ascii="宋体" w:hAnsi="宋体" w:cs="宋体" w:eastAsia="宋体" w:hint="default"/>
                            <w:spacing w:val="-4"/>
                            <w:sz w:val="18"/>
                            <w:szCs w:val="18"/>
                          </w:rPr>
                          <w:t>降低工作效率或效果、或加大效果的不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确定性、或使之偏离预期目标为一般缺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p>
                      <w:p>
                        <w:pPr>
                          <w:pStyle w:val="TableParagraph"/>
                          <w:spacing w:line="316" w:lineRule="auto" w:before="58"/>
                          <w:ind w:left="26" w:right="20" w:firstLine="360"/>
                          <w:jc w:val="both"/>
                          <w:rPr>
                            <w:rFonts w:ascii="宋体" w:hAnsi="宋体" w:cs="宋体" w:eastAsia="宋体" w:hint="default"/>
                            <w:sz w:val="18"/>
                            <w:szCs w:val="18"/>
                          </w:rPr>
                        </w:pPr>
                        <w:r>
                          <w:rPr>
                            <w:rFonts w:ascii="宋体" w:hAnsi="宋体" w:cs="宋体" w:eastAsia="宋体" w:hint="default"/>
                            <w:spacing w:val="-5"/>
                            <w:sz w:val="18"/>
                            <w:szCs w:val="18"/>
                          </w:rPr>
                          <w:t>②如果缺陷发生的可能性较高，会</w:t>
                        </w:r>
                        <w:r>
                          <w:rPr>
                            <w:rFonts w:ascii="宋体" w:hAnsi="宋体" w:cs="宋体" w:eastAsia="宋体" w:hint="default"/>
                            <w:sz w:val="18"/>
                            <w:szCs w:val="18"/>
                          </w:rPr>
                          <w:t> </w:t>
                        </w:r>
                        <w:r>
                          <w:rPr>
                            <w:rFonts w:ascii="宋体" w:hAnsi="宋体" w:cs="宋体" w:eastAsia="宋体" w:hint="default"/>
                            <w:spacing w:val="-4"/>
                            <w:sz w:val="18"/>
                            <w:szCs w:val="18"/>
                          </w:rPr>
                          <w:t>显著降低工作效率或效果、或显著加大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效果的不确定性、或使之显著偏离预期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目标为重要缺陷；</w:t>
                        </w:r>
                      </w:p>
                      <w:p>
                        <w:pPr>
                          <w:pStyle w:val="TableParagraph"/>
                          <w:spacing w:line="316" w:lineRule="auto" w:before="59"/>
                          <w:ind w:left="26" w:right="20" w:firstLine="360"/>
                          <w:jc w:val="both"/>
                          <w:rPr>
                            <w:rFonts w:ascii="宋体" w:hAnsi="宋体" w:cs="宋体" w:eastAsia="宋体" w:hint="default"/>
                            <w:sz w:val="18"/>
                            <w:szCs w:val="18"/>
                          </w:rPr>
                        </w:pPr>
                        <w:r>
                          <w:rPr>
                            <w:rFonts w:ascii="宋体" w:hAnsi="宋体" w:cs="宋体" w:eastAsia="宋体" w:hint="default"/>
                            <w:spacing w:val="-5"/>
                            <w:sz w:val="18"/>
                            <w:szCs w:val="18"/>
                          </w:rPr>
                          <w:t>③如果缺陷发生的可能性高，会严</w:t>
                        </w:r>
                        <w:r>
                          <w:rPr>
                            <w:rFonts w:ascii="宋体" w:hAnsi="宋体" w:cs="宋体" w:eastAsia="宋体" w:hint="default"/>
                            <w:sz w:val="18"/>
                            <w:szCs w:val="18"/>
                          </w:rPr>
                          <w:t> </w:t>
                        </w:r>
                        <w:r>
                          <w:rPr>
                            <w:rFonts w:ascii="宋体" w:hAnsi="宋体" w:cs="宋体" w:eastAsia="宋体" w:hint="default"/>
                            <w:spacing w:val="-4"/>
                            <w:sz w:val="18"/>
                            <w:szCs w:val="18"/>
                          </w:rPr>
                          <w:t>重降低工作效率或效果、或严重加大效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果的不确定性、或使之严重偏离预期目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标为重大缺陷。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332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31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51"/>
                          <w:ind w:left="23" w:right="46" w:firstLine="360"/>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 衡量指标。</w:t>
                        </w:r>
                      </w:p>
                      <w:p>
                        <w:pPr>
                          <w:pStyle w:val="TableParagraph"/>
                          <w:spacing w:line="316" w:lineRule="auto" w:before="57"/>
                          <w:ind w:left="23" w:right="46" w:firstLine="36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与利润表相关的，以营业收入指标衡量。</w:t>
                        </w:r>
                      </w:p>
                      <w:p>
                        <w:pPr>
                          <w:pStyle w:val="TableParagraph"/>
                          <w:spacing w:line="316" w:lineRule="auto" w:before="59"/>
                          <w:ind w:left="23" w:right="46"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能导致的财务报告错报金额小于营业收入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before="38"/>
                          <w:ind w:left="23" w:right="120" w:firstLine="360"/>
                          <w:jc w:val="both"/>
                          <w:rPr>
                            <w:rFonts w:ascii="宋体" w:hAnsi="宋体" w:cs="宋体" w:eastAsia="宋体" w:hint="default"/>
                            <w:sz w:val="18"/>
                            <w:szCs w:val="18"/>
                          </w:rPr>
                        </w:pPr>
                        <w:r>
                          <w:rPr>
                            <w:rFonts w:ascii="宋体" w:hAnsi="宋体" w:cs="宋体" w:eastAsia="宋体" w:hint="default"/>
                            <w:sz w:val="18"/>
                            <w:szCs w:val="18"/>
                          </w:rPr>
                          <w:t>②如果超过营业收入的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70"/>
                          <w:ind w:left="26" w:right="20" w:firstLine="360"/>
                          <w:jc w:val="left"/>
                          <w:rPr>
                            <w:rFonts w:ascii="宋体" w:hAnsi="宋体" w:cs="宋体" w:eastAsia="宋体" w:hint="default"/>
                            <w:sz w:val="18"/>
                            <w:szCs w:val="18"/>
                          </w:rPr>
                        </w:pPr>
                        <w:r>
                          <w:rPr>
                            <w:rFonts w:ascii="宋体" w:hAnsi="宋体" w:cs="宋体" w:eastAsia="宋体" w:hint="default"/>
                            <w:spacing w:val="-5"/>
                            <w:sz w:val="18"/>
                            <w:szCs w:val="18"/>
                          </w:rPr>
                          <w:t>定量标准以营业收入、资产总额作</w:t>
                        </w:r>
                        <w:r>
                          <w:rPr>
                            <w:rFonts w:ascii="宋体" w:hAnsi="宋体" w:cs="宋体" w:eastAsia="宋体" w:hint="default"/>
                            <w:sz w:val="18"/>
                            <w:szCs w:val="18"/>
                          </w:rPr>
                          <w:t> 为衡量指标。</w:t>
                        </w:r>
                      </w:p>
                      <w:p>
                        <w:pPr>
                          <w:pStyle w:val="TableParagraph"/>
                          <w:spacing w:line="316" w:lineRule="auto" w:before="59"/>
                          <w:ind w:left="26" w:right="20" w:firstLine="36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 </w:t>
                        </w:r>
                        <w:r>
                          <w:rPr>
                            <w:rFonts w:ascii="宋体" w:hAnsi="宋体" w:cs="宋体" w:eastAsia="宋体" w:hint="default"/>
                            <w:spacing w:val="-4"/>
                            <w:sz w:val="18"/>
                            <w:szCs w:val="18"/>
                          </w:rPr>
                          <w:t>损失与利润报表相关的，以营业收入指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标衡量。</w:t>
                        </w:r>
                      </w:p>
                      <w:p>
                        <w:pPr>
                          <w:pStyle w:val="TableParagraph"/>
                          <w:spacing w:line="319" w:lineRule="auto" w:before="59"/>
                          <w:ind w:left="26" w:right="110"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 陷可能导致的财务报告错报金额小于 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w:t>
                        </w:r>
                      </w:p>
                      <w:p>
                        <w:pPr>
                          <w:pStyle w:val="TableParagraph"/>
                          <w:spacing w:line="240" w:lineRule="auto" w:before="38"/>
                          <w:ind w:left="386" w:right="0"/>
                          <w:jc w:val="left"/>
                          <w:rPr>
                            <w:rFonts w:ascii="宋体" w:hAnsi="宋体" w:cs="宋体" w:eastAsia="宋体" w:hint="default"/>
                            <w:sz w:val="18"/>
                            <w:szCs w:val="18"/>
                          </w:rPr>
                        </w:pPr>
                        <w:r>
                          <w:rPr>
                            <w:rFonts w:ascii="宋体" w:hAnsi="宋体" w:cs="宋体" w:eastAsia="宋体" w:hint="default"/>
                            <w:sz w:val="18"/>
                            <w:szCs w:val="18"/>
                          </w:rPr>
                          <w:t>②如果超过营业收入的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31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4"/>
        <w:spacing w:line="240" w:lineRule="auto" w:before="37"/>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240" w:lineRule="auto"/>
        <w:ind w:left="0" w:right="158"/>
        <w:jc w:val="right"/>
      </w:pPr>
      <w:r>
        <w:rPr/>
        <w:t>；</w:t>
      </w:r>
    </w:p>
    <w:p>
      <w:pPr>
        <w:spacing w:after="0" w:line="240" w:lineRule="auto"/>
        <w:jc w:val="righ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0" w:right="158"/>
        <w:jc w:val="right"/>
      </w:pPr>
      <w:r>
        <w:rPr/>
        <w:pict>
          <v:shape style="position:absolute;margin-left:56.459999pt;margin-top:-129.628265pt;width:479.2pt;height:296.2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40"/>
                  </w:tblGrid>
                  <w:tr>
                    <w:trPr>
                      <w:trHeight w:val="43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14" w:space="0" w:color="FFFFFF"/>
                        </w:tcBorders>
                      </w:tcPr>
                      <w:p>
                        <w:pPr>
                          <w:pStyle w:val="TableParagraph"/>
                          <w:spacing w:line="300" w:lineRule="auto" w:before="11"/>
                          <w:ind w:left="24" w:right="19" w:firstLine="360"/>
                          <w:jc w:val="both"/>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，则认定为</w:t>
                        </w:r>
                        <w:r>
                          <w:rPr>
                            <w:rFonts w:ascii="宋体" w:hAnsi="宋体" w:cs="宋体" w:eastAsia="宋体" w:hint="default"/>
                            <w:sz w:val="18"/>
                            <w:szCs w:val="18"/>
                          </w:rPr>
                          <w:t> 重大缺陷。</w:t>
                        </w:r>
                      </w:p>
                      <w:p>
                        <w:pPr>
                          <w:pStyle w:val="TableParagraph"/>
                          <w:spacing w:line="316" w:lineRule="auto" w:before="72"/>
                          <w:ind w:left="24" w:right="46" w:firstLine="36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 </w:t>
                        </w:r>
                        <w:r>
                          <w:rPr>
                            <w:rFonts w:ascii="宋体" w:hAnsi="宋体" w:cs="宋体" w:eastAsia="宋体" w:hint="default"/>
                            <w:spacing w:val="-4"/>
                            <w:sz w:val="18"/>
                            <w:szCs w:val="18"/>
                          </w:rPr>
                          <w:t>与资产管理相关的，以资产总额指标衡量</w:t>
                        </w:r>
                      </w:p>
                      <w:p>
                        <w:pPr>
                          <w:pStyle w:val="TableParagraph"/>
                          <w:spacing w:line="316" w:lineRule="auto" w:before="57"/>
                          <w:ind w:left="24" w:right="46"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能导致的财务报告错报金额小于资产总额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before="40"/>
                          <w:ind w:left="24" w:right="165" w:firstLine="360"/>
                          <w:jc w:val="left"/>
                          <w:rPr>
                            <w:rFonts w:ascii="宋体" w:hAnsi="宋体" w:cs="宋体" w:eastAsia="宋体" w:hint="default"/>
                            <w:sz w:val="18"/>
                            <w:szCs w:val="18"/>
                          </w:rPr>
                        </w:pPr>
                        <w:r>
                          <w:rPr>
                            <w:rFonts w:ascii="宋体" w:hAnsi="宋体" w:cs="宋体" w:eastAsia="宋体" w:hint="default"/>
                            <w:sz w:val="18"/>
                            <w:szCs w:val="18"/>
                          </w:rPr>
                          <w:t>②如果超过资产总额的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53"/>
                          <w:ind w:left="24" w:right="19" w:firstLine="360"/>
                          <w:jc w:val="both"/>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40"/>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，则认定为重</w:t>
                        </w:r>
                        <w:r>
                          <w:rPr>
                            <w:rFonts w:ascii="宋体" w:hAnsi="宋体" w:cs="宋体" w:eastAsia="宋体" w:hint="default"/>
                            <w:sz w:val="18"/>
                            <w:szCs w:val="18"/>
                          </w:rPr>
                          <w:t> 大缺陷。</w:t>
                        </w:r>
                      </w:p>
                    </w:tc>
                    <w:tc>
                      <w:tcPr>
                        <w:tcW w:w="3040"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103"/>
                          <w:ind w:left="-1" w:right="29" w:firstLine="360"/>
                          <w:jc w:val="both"/>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定为重大缺陷。</w:t>
                        </w:r>
                      </w:p>
                      <w:p>
                        <w:pPr>
                          <w:pStyle w:val="TableParagraph"/>
                          <w:tabs>
                            <w:tab w:pos="359" w:val="left" w:leader="none"/>
                          </w:tabs>
                          <w:spacing w:line="312" w:lineRule="auto" w:before="30"/>
                          <w:ind w:left="-1" w:right="20" w:hanging="147"/>
                          <w:jc w:val="left"/>
                          <w:rPr>
                            <w:rFonts w:ascii="宋体" w:hAnsi="宋体" w:cs="宋体" w:eastAsia="宋体" w:hint="default"/>
                            <w:sz w:val="18"/>
                            <w:szCs w:val="18"/>
                          </w:rPr>
                        </w:pPr>
                        <w:r>
                          <w:rPr>
                            <w:rFonts w:ascii="宋体" w:hAnsi="宋体" w:cs="宋体" w:eastAsia="宋体" w:hint="default"/>
                            <w:position w:val="4"/>
                            <w:sz w:val="18"/>
                            <w:szCs w:val="18"/>
                          </w:rPr>
                          <w:t>。</w:t>
                          <w:tab/>
                        </w:r>
                        <w:r>
                          <w:rPr>
                            <w:rFonts w:ascii="宋体" w:hAnsi="宋体" w:cs="宋体" w:eastAsia="宋体" w:hint="default"/>
                            <w:sz w:val="18"/>
                            <w:szCs w:val="18"/>
                          </w:rPr>
                          <w:t>内部控制缺陷可能导致或导致的</w:t>
                        </w:r>
                        <w:r>
                          <w:rPr>
                            <w:rFonts w:ascii="宋体" w:hAnsi="宋体" w:cs="宋体" w:eastAsia="宋体" w:hint="default"/>
                            <w:sz w:val="18"/>
                            <w:szCs w:val="18"/>
                          </w:rPr>
                          <w:t> </w:t>
                        </w:r>
                        <w:r>
                          <w:rPr>
                            <w:rFonts w:ascii="宋体" w:hAnsi="宋体" w:cs="宋体" w:eastAsia="宋体" w:hint="default"/>
                            <w:spacing w:val="-4"/>
                            <w:sz w:val="18"/>
                            <w:szCs w:val="18"/>
                          </w:rPr>
                          <w:t>损失与资产管理相关的，以资产总额指</w:t>
                        </w:r>
                        <w:r>
                          <w:rPr>
                            <w:rFonts w:ascii="宋体" w:hAnsi="宋体" w:cs="宋体" w:eastAsia="宋体" w:hint="default"/>
                            <w:sz w:val="18"/>
                            <w:szCs w:val="18"/>
                          </w:rPr>
                          <w:t> 标衡量。</w:t>
                        </w:r>
                      </w:p>
                      <w:p>
                        <w:pPr>
                          <w:pStyle w:val="TableParagraph"/>
                          <w:spacing w:line="316" w:lineRule="auto" w:before="63"/>
                          <w:ind w:left="-1" w:right="110"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 陷可能导致的财务报告错报金额小于 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w:t>
                        </w:r>
                      </w:p>
                      <w:p>
                        <w:pPr>
                          <w:pStyle w:val="TableParagraph"/>
                          <w:spacing w:line="300" w:lineRule="auto" w:before="40"/>
                          <w:ind w:left="-1" w:right="74" w:firstLine="360"/>
                          <w:jc w:val="both"/>
                          <w:rPr>
                            <w:rFonts w:ascii="宋体" w:hAnsi="宋体" w:cs="宋体" w:eastAsia="宋体" w:hint="default"/>
                            <w:sz w:val="18"/>
                            <w:szCs w:val="18"/>
                          </w:rPr>
                        </w:pPr>
                        <w:r>
                          <w:rPr>
                            <w:rFonts w:ascii="宋体" w:hAnsi="宋体" w:cs="宋体" w:eastAsia="宋体" w:hint="default"/>
                            <w:sz w:val="18"/>
                            <w:szCs w:val="18"/>
                          </w:rPr>
                          <w:t>②如果超过资产总额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51"/>
                          <w:ind w:left="-1" w:right="29" w:firstLine="360"/>
                          <w:jc w:val="both"/>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为重大缺陷。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3"/>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上的《内部控制鉴证报告》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11"/>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8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70"/>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87"/>
        <w:jc w:val="left"/>
        <w:rPr>
          <w:b w:val="0"/>
          <w:bCs w:val="0"/>
        </w:rPr>
      </w:pPr>
      <w:r>
        <w:rPr/>
        <w:t>一、</w:t>
      </w:r>
      <w:r>
        <w:rPr>
          <w:spacing w:val="-92"/>
        </w:rPr>
        <w:t> </w:t>
      </w:r>
      <w:r>
        <w:rPr/>
        <w:t>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ZC10144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bl>
    <w:p>
      <w:pPr>
        <w:pStyle w:val="Heading5"/>
        <w:spacing w:line="240" w:lineRule="auto" w:before="49"/>
        <w:ind w:left="3429" w:right="3470"/>
        <w:jc w:val="center"/>
        <w:rPr>
          <w:b w:val="0"/>
          <w:bCs w:val="0"/>
        </w:rPr>
      </w:pPr>
      <w:r>
        <w:rPr/>
        <w:t>审计报告</w:t>
      </w:r>
      <w:r>
        <w:rPr>
          <w:b w:val="0"/>
          <w:bCs w:val="0"/>
        </w:rPr>
      </w:r>
    </w:p>
    <w:p>
      <w:pPr>
        <w:spacing w:line="240" w:lineRule="auto" w:before="1"/>
        <w:rPr>
          <w:rFonts w:ascii="宋体" w:hAnsi="宋体" w:cs="宋体" w:eastAsia="宋体" w:hint="default"/>
          <w:b/>
          <w:bCs/>
          <w:sz w:val="15"/>
          <w:szCs w:val="15"/>
        </w:rPr>
      </w:pPr>
    </w:p>
    <w:p>
      <w:pPr>
        <w:pStyle w:val="Heading5"/>
        <w:spacing w:line="240" w:lineRule="auto" w:before="44"/>
        <w:ind w:right="87"/>
        <w:jc w:val="left"/>
        <w:rPr>
          <w:b w:val="0"/>
          <w:bCs w:val="0"/>
        </w:rPr>
      </w:pPr>
      <w:r>
        <w:rPr/>
        <w:t>广州广电运通金融电子股份有限公司全体股东：</w:t>
      </w:r>
      <w:r>
        <w:rPr>
          <w:b w:val="0"/>
          <w:bCs w:val="0"/>
        </w:rPr>
      </w:r>
    </w:p>
    <w:p>
      <w:pPr>
        <w:spacing w:line="240" w:lineRule="auto" w:before="7"/>
        <w:rPr>
          <w:rFonts w:ascii="宋体" w:hAnsi="宋体" w:cs="宋体" w:eastAsia="宋体" w:hint="default"/>
          <w:b/>
          <w:bCs/>
          <w:sz w:val="15"/>
          <w:szCs w:val="15"/>
        </w:rPr>
      </w:pPr>
    </w:p>
    <w:p>
      <w:pPr>
        <w:pStyle w:val="Heading5"/>
        <w:spacing w:line="240" w:lineRule="auto"/>
        <w:ind w:right="87"/>
        <w:jc w:val="left"/>
        <w:rPr>
          <w:b w:val="0"/>
          <w:bCs w:val="0"/>
        </w:rPr>
      </w:pPr>
      <w:r>
        <w:rPr/>
        <w:t>一、</w:t>
      </w:r>
      <w:r>
        <w:rPr>
          <w:spacing w:val="-34"/>
        </w:rPr>
        <w:t> </w:t>
      </w:r>
      <w:r>
        <w:rPr/>
        <w:t>审计意见</w:t>
      </w:r>
      <w:r>
        <w:rPr>
          <w:b w:val="0"/>
          <w:bCs w:val="0"/>
        </w:rPr>
      </w:r>
    </w:p>
    <w:p>
      <w:pPr>
        <w:pStyle w:val="BodyText"/>
        <w:spacing w:line="268" w:lineRule="auto" w:before="43"/>
        <w:ind w:right="188" w:firstLine="360"/>
        <w:jc w:val="both"/>
      </w:pPr>
      <w:r>
        <w:rPr/>
        <w:t>我们审计了广州广电运通金融电子股份有限公司（以下简称广电运通）财务报表，包括</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 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年度的合并及母公司利润表、合并及母公司现金流量表、合并及母公司股东权益变动表以及相关财 务报表附注。</w:t>
      </w:r>
    </w:p>
    <w:p>
      <w:pPr>
        <w:pStyle w:val="BodyText"/>
        <w:spacing w:line="240" w:lineRule="auto" w:before="64"/>
        <w:ind w:left="513" w:right="87"/>
        <w:jc w:val="left"/>
      </w:pPr>
      <w:r>
        <w:rPr/>
        <w:t>我们认为，后附的财务报表在所有重大方面按照企业会计准则的规定编制，公允反映了广电运通</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p>
    <w:p>
      <w:pPr>
        <w:pStyle w:val="BodyText"/>
        <w:spacing w:line="240" w:lineRule="auto" w:before="29"/>
        <w:ind w:right="87"/>
        <w:jc w:val="left"/>
      </w:pPr>
      <w:r>
        <w:rPr/>
        <w:t>合并及母公司财务状况以及</w:t>
      </w:r>
      <w:r>
        <w:rPr>
          <w:spacing w:val="-46"/>
        </w:rPr>
        <w:t> </w:t>
      </w:r>
      <w:r>
        <w:rPr>
          <w:rFonts w:ascii="Times New Roman" w:hAnsi="Times New Roman" w:cs="Times New Roman" w:eastAsia="Times New Roman" w:hint="default"/>
        </w:rPr>
        <w:t>2017 </w:t>
      </w:r>
      <w:r>
        <w:rPr/>
        <w:t>年度的合并及母公司经营成果和现金流量。</w:t>
      </w:r>
    </w:p>
    <w:p>
      <w:pPr>
        <w:spacing w:line="240" w:lineRule="auto" w:before="0"/>
        <w:rPr>
          <w:rFonts w:ascii="宋体" w:hAnsi="宋体" w:cs="宋体" w:eastAsia="宋体" w:hint="default"/>
          <w:sz w:val="18"/>
          <w:szCs w:val="18"/>
        </w:rPr>
      </w:pPr>
    </w:p>
    <w:p>
      <w:pPr>
        <w:pStyle w:val="BodyText"/>
        <w:spacing w:line="280" w:lineRule="auto"/>
        <w:ind w:left="513" w:right="87" w:hanging="361"/>
        <w:jc w:val="left"/>
      </w:pPr>
      <w:r>
        <w:rPr>
          <w:rFonts w:ascii="宋体" w:hAnsi="宋体" w:cs="宋体" w:eastAsia="宋体" w:hint="default"/>
          <w:b/>
          <w:bCs/>
        </w:rPr>
        <w:t>二、</w:t>
      </w:r>
      <w:r>
        <w:rPr>
          <w:rFonts w:ascii="宋体" w:hAnsi="宋体" w:cs="宋体" w:eastAsia="宋体" w:hint="default"/>
          <w:b/>
          <w:bCs/>
          <w:spacing w:val="-33"/>
        </w:rPr>
        <w:t> </w:t>
      </w:r>
      <w:r>
        <w:rPr>
          <w:rFonts w:ascii="宋体" w:hAnsi="宋体" w:cs="宋体" w:eastAsia="宋体" w:hint="default"/>
          <w:b/>
          <w:bCs/>
        </w:rPr>
        <w:t>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283" w:lineRule="auto" w:before="14"/>
        <w:ind w:right="87"/>
        <w:jc w:val="left"/>
      </w:pPr>
      <w:r>
        <w:rPr>
          <w:spacing w:val="-2"/>
        </w:rPr>
        <w:t>步阐述了我们在这些准则下的责任。按照中国注册会计师职业道德守则，我们独立于广电运通，并履行了职业道德方面的其</w:t>
      </w:r>
      <w:r>
        <w:rPr>
          <w:spacing w:val="-63"/>
        </w:rPr>
        <w:t> </w:t>
      </w:r>
      <w:r>
        <w:rPr>
          <w:spacing w:val="-63"/>
        </w:rPr>
      </w:r>
      <w:r>
        <w:rPr/>
        <w:t>他责任。我们相信，我们获取的审计证据是充分、适当的，为发表审计意见提供了基础。</w:t>
      </w:r>
    </w:p>
    <w:p>
      <w:pPr>
        <w:spacing w:line="240" w:lineRule="auto" w:before="7"/>
        <w:rPr>
          <w:rFonts w:ascii="宋体" w:hAnsi="宋体" w:cs="宋体" w:eastAsia="宋体" w:hint="default"/>
          <w:sz w:val="16"/>
          <w:szCs w:val="16"/>
        </w:rPr>
      </w:pPr>
    </w:p>
    <w:p>
      <w:pPr>
        <w:pStyle w:val="BodyText"/>
        <w:spacing w:line="283" w:lineRule="auto"/>
        <w:ind w:left="513" w:right="87" w:hanging="361"/>
        <w:jc w:val="left"/>
      </w:pPr>
      <w:r>
        <w:rPr>
          <w:rFonts w:ascii="宋体" w:hAnsi="宋体" w:cs="宋体" w:eastAsia="宋体" w:hint="default"/>
          <w:b/>
          <w:bCs/>
        </w:rPr>
        <w:t>三、</w:t>
      </w:r>
      <w:r>
        <w:rPr>
          <w:rFonts w:ascii="宋体" w:hAnsi="宋体" w:cs="宋体" w:eastAsia="宋体" w:hint="default"/>
          <w:b/>
          <w:bCs/>
          <w:spacing w:val="-33"/>
        </w:rPr>
        <w:t> </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0"/>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83"/>
        <w:ind w:left="513" w:right="87"/>
        <w:jc w:val="left"/>
      </w:pPr>
      <w:r>
        <w:rPr>
          <w:rFonts w:ascii="Times New Roman" w:hAnsi="Times New Roman" w:cs="Times New Roman" w:eastAsia="Times New Roman" w:hint="default"/>
        </w:rPr>
        <w:t>1</w:t>
      </w:r>
      <w:r>
        <w:rPr/>
        <w:t>）事项描述</w:t>
      </w:r>
    </w:p>
    <w:p>
      <w:pPr>
        <w:pStyle w:val="BodyText"/>
        <w:spacing w:line="278" w:lineRule="auto" w:before="72"/>
        <w:ind w:right="191" w:firstLine="360"/>
        <w:jc w:val="both"/>
      </w:pPr>
      <w:r>
        <w:rPr/>
        <w:t>截止</w:t>
      </w:r>
      <w:r>
        <w:rPr>
          <w:spacing w:val="-47"/>
        </w:rPr>
        <w:t> </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日，广电运通商誉余额</w:t>
      </w:r>
      <w:r>
        <w:rPr>
          <w:spacing w:val="-46"/>
        </w:rPr>
        <w:t> </w:t>
      </w:r>
      <w:r>
        <w:rPr>
          <w:rFonts w:ascii="Times New Roman" w:hAnsi="Times New Roman" w:cs="Times New Roman" w:eastAsia="Times New Roman" w:hint="default"/>
        </w:rPr>
        <w:t>56,330 </w:t>
      </w:r>
      <w:r>
        <w:rPr/>
        <w:t>万元，减值准备余额</w:t>
      </w:r>
      <w:r>
        <w:rPr>
          <w:spacing w:val="-47"/>
        </w:rPr>
        <w:t> </w:t>
      </w:r>
      <w:r>
        <w:rPr>
          <w:rFonts w:ascii="Times New Roman" w:hAnsi="Times New Roman" w:cs="Times New Roman" w:eastAsia="Times New Roman" w:hint="default"/>
        </w:rPr>
        <w:t>3,268</w:t>
      </w:r>
      <w:r>
        <w:rPr>
          <w:rFonts w:ascii="Times New Roman" w:hAnsi="Times New Roman" w:cs="Times New Roman" w:eastAsia="Times New Roman" w:hint="default"/>
          <w:spacing w:val="-1"/>
        </w:rPr>
        <w:t> </w:t>
      </w:r>
      <w:r>
        <w:rPr/>
        <w:t>万元。由于商誉余额较大，且原始金额 </w:t>
      </w:r>
      <w:r>
        <w:rPr>
          <w:spacing w:val="-2"/>
        </w:rPr>
        <w:t>是基于标的公司未来盈利能力评估确定的，标的公司盈利能力的评估涉及管理层的重大判断，因此我们将商誉减值作为关键</w:t>
      </w:r>
      <w:r>
        <w:rPr>
          <w:spacing w:val="-64"/>
        </w:rPr>
        <w:t> </w:t>
      </w:r>
      <w:r>
        <w:rPr>
          <w:spacing w:val="-64"/>
        </w:rPr>
      </w:r>
      <w:r>
        <w:rPr/>
        <w:t>事项。</w:t>
      </w:r>
    </w:p>
    <w:p>
      <w:pPr>
        <w:pStyle w:val="BodyText"/>
        <w:spacing w:line="240" w:lineRule="auto" w:before="57"/>
        <w:ind w:left="513" w:right="87"/>
        <w:jc w:val="left"/>
      </w:pPr>
      <w:r>
        <w:rPr>
          <w:rFonts w:ascii="Times New Roman" w:hAnsi="Times New Roman" w:cs="Times New Roman" w:eastAsia="Times New Roman" w:hint="default"/>
        </w:rPr>
        <w:t>2</w:t>
      </w:r>
      <w:r>
        <w:rPr/>
        <w:t>）审计应对</w:t>
      </w:r>
    </w:p>
    <w:p>
      <w:pPr>
        <w:pStyle w:val="BodyText"/>
        <w:spacing w:line="240" w:lineRule="auto" w:before="70"/>
        <w:ind w:left="424" w:right="0"/>
        <w:jc w:val="left"/>
      </w:pPr>
      <w:r>
        <w:rPr/>
        <w:t>（</w:t>
      </w:r>
      <w:r>
        <w:rPr>
          <w:rFonts w:ascii="Times New Roman" w:hAnsi="Times New Roman" w:cs="Times New Roman" w:eastAsia="Times New Roman" w:hint="default"/>
          <w:spacing w:val="1"/>
        </w:rPr>
        <w:t>1</w:t>
      </w:r>
      <w:r>
        <w:rPr>
          <w:spacing w:val="-87"/>
        </w:rPr>
        <w:t>）</w:t>
      </w:r>
      <w:r>
        <w:rPr/>
        <w:t>分析管理层对商誉所属资产组认定和进行商誉减值测试时采用的关键假设和方法</w:t>
      </w:r>
      <w:r>
        <w:rPr>
          <w:spacing w:val="-87"/>
        </w:rPr>
        <w:t>，</w:t>
      </w:r>
      <w:r>
        <w:rPr/>
        <w:t>检查相关的假设和方法的合理性。</w:t>
      </w:r>
    </w:p>
    <w:p>
      <w:pPr>
        <w:pStyle w:val="BodyText"/>
        <w:spacing w:line="240" w:lineRule="auto" w:before="70"/>
        <w:ind w:left="424" w:right="87"/>
        <w:jc w:val="left"/>
      </w:pPr>
      <w:r>
        <w:rPr/>
        <w:t>（</w:t>
      </w:r>
      <w:r>
        <w:rPr>
          <w:rFonts w:ascii="Times New Roman" w:hAnsi="Times New Roman" w:cs="Times New Roman" w:eastAsia="Times New Roman" w:hint="default"/>
        </w:rPr>
        <w:t>2</w:t>
      </w:r>
      <w:r>
        <w:rPr/>
        <w:t>）复核管理层编制的商誉所属资产组可收回余额计算表。</w:t>
      </w:r>
    </w:p>
    <w:p>
      <w:pPr>
        <w:pStyle w:val="BodyText"/>
        <w:spacing w:line="240" w:lineRule="auto" w:before="72"/>
        <w:ind w:left="424" w:right="87"/>
        <w:jc w:val="left"/>
      </w:pPr>
      <w:r>
        <w:rPr/>
        <w:t>（</w:t>
      </w:r>
      <w:r>
        <w:rPr>
          <w:rFonts w:ascii="Times New Roman" w:hAnsi="Times New Roman" w:cs="Times New Roman" w:eastAsia="Times New Roman" w:hint="default"/>
        </w:rPr>
        <w:t>3</w:t>
      </w:r>
      <w:r>
        <w:rPr/>
        <w:t>）比较商誉所属资产组的账面价值与可收回金额的差异，确认是否存在商誉减值的情况。</w:t>
      </w:r>
    </w:p>
    <w:p>
      <w:pPr>
        <w:spacing w:line="240" w:lineRule="auto" w:before="11"/>
        <w:rPr>
          <w:rFonts w:ascii="宋体" w:hAnsi="宋体" w:cs="宋体" w:eastAsia="宋体" w:hint="default"/>
          <w:sz w:val="17"/>
          <w:szCs w:val="17"/>
        </w:rPr>
      </w:pPr>
    </w:p>
    <w:p>
      <w:pPr>
        <w:pStyle w:val="Heading5"/>
        <w:spacing w:line="240" w:lineRule="auto"/>
        <w:ind w:right="87"/>
        <w:jc w:val="left"/>
        <w:rPr>
          <w:b w:val="0"/>
          <w:bCs w:val="0"/>
        </w:rPr>
      </w:pPr>
      <w:r>
        <w:rPr/>
        <w:t>四、</w:t>
      </w:r>
      <w:r>
        <w:rPr>
          <w:spacing w:val="-34"/>
        </w:rPr>
        <w:t> </w:t>
      </w:r>
      <w:r>
        <w:rPr/>
        <w:t>其他信息</w:t>
      </w:r>
      <w:r>
        <w:rPr>
          <w:b w:val="0"/>
          <w:bCs w:val="0"/>
        </w:rPr>
      </w:r>
    </w:p>
    <w:p>
      <w:pPr>
        <w:pStyle w:val="BodyText"/>
        <w:spacing w:line="283" w:lineRule="auto" w:before="43"/>
        <w:ind w:right="178" w:firstLine="360"/>
        <w:jc w:val="left"/>
      </w:pPr>
      <w:r>
        <w:rPr/>
        <w:t>广电运通管理层（以下简称管理层）对其他信息负责。其他信息包括广电运通</w:t>
      </w:r>
      <w:r>
        <w:rPr>
          <w:spacing w:val="-42"/>
        </w:rPr>
        <w:t> </w:t>
      </w:r>
      <w:r>
        <w:rPr>
          <w:rFonts w:ascii="宋体" w:hAnsi="宋体" w:cs="宋体" w:eastAsia="宋体" w:hint="default"/>
        </w:rPr>
        <w:t>2017</w:t>
      </w:r>
      <w:r>
        <w:rPr>
          <w:rFonts w:ascii="宋体" w:hAnsi="宋体" w:cs="宋体" w:eastAsia="宋体" w:hint="default"/>
          <w:spacing w:val="-42"/>
        </w:rPr>
        <w:t> </w:t>
      </w:r>
      <w:r>
        <w:rPr/>
        <w:t>年年度报告中涵盖的信息，但不包 括财务报表和我们的审计报告。</w:t>
      </w:r>
    </w:p>
    <w:p>
      <w:pPr>
        <w:pStyle w:val="BodyText"/>
        <w:spacing w:line="326" w:lineRule="auto" w:before="53"/>
        <w:ind w:left="513" w:right="87"/>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16" w:lineRule="exact"/>
        <w:ind w:right="87"/>
        <w:jc w:val="left"/>
      </w:pPr>
      <w:r>
        <w:rPr/>
        <w:t>程中了解到的情况存在重大不一致或者似乎存在重大错报。</w:t>
      </w:r>
    </w:p>
    <w:p>
      <w:pPr>
        <w:pStyle w:val="BodyText"/>
        <w:spacing w:line="240" w:lineRule="auto" w:before="83"/>
        <w:ind w:left="513" w:right="0"/>
        <w:jc w:val="left"/>
      </w:pPr>
      <w:r>
        <w:rPr/>
        <w:t>基于我们已执行的工作，如果我们确定其他信息存在重大错报，我们应当报告该事实。在这方面，我们无任何事项需要</w:t>
      </w:r>
    </w:p>
    <w:p>
      <w:pPr>
        <w:spacing w:after="0" w:line="240" w:lineRule="auto"/>
        <w:jc w:val="left"/>
        <w:sectPr>
          <w:pgSz w:w="11910" w:h="16840"/>
          <w:pgMar w:header="880" w:footer="979" w:top="1100" w:bottom="1160" w:left="980" w:right="940"/>
        </w:sectPr>
      </w:pPr>
    </w:p>
    <w:p>
      <w:pPr>
        <w:spacing w:line="240" w:lineRule="auto" w:before="1"/>
        <w:rPr>
          <w:rFonts w:ascii="宋体" w:hAnsi="宋体" w:cs="宋体" w:eastAsia="宋体" w:hint="default"/>
          <w:sz w:val="19"/>
          <w:szCs w:val="19"/>
        </w:rPr>
      </w:pPr>
    </w:p>
    <w:p>
      <w:pPr>
        <w:pStyle w:val="BodyText"/>
        <w:spacing w:line="240" w:lineRule="auto" w:before="44"/>
        <w:ind w:right="87"/>
        <w:jc w:val="left"/>
      </w:pPr>
      <w:r>
        <w:rPr/>
        <w:t>报告。</w:t>
      </w:r>
    </w:p>
    <w:p>
      <w:pPr>
        <w:spacing w:line="240" w:lineRule="auto" w:before="12"/>
        <w:rPr>
          <w:rFonts w:ascii="宋体" w:hAnsi="宋体" w:cs="宋体" w:eastAsia="宋体" w:hint="default"/>
          <w:sz w:val="18"/>
          <w:szCs w:val="18"/>
        </w:rPr>
      </w:pPr>
    </w:p>
    <w:p>
      <w:pPr>
        <w:spacing w:line="283" w:lineRule="auto" w:before="0"/>
        <w:ind w:left="513" w:right="87" w:hanging="361"/>
        <w:jc w:val="left"/>
        <w:rPr>
          <w:rFonts w:ascii="宋体" w:hAnsi="宋体" w:cs="宋体" w:eastAsia="宋体" w:hint="default"/>
          <w:sz w:val="18"/>
          <w:szCs w:val="18"/>
        </w:rPr>
      </w:pPr>
      <w:r>
        <w:rPr>
          <w:rFonts w:ascii="宋体" w:hAnsi="宋体" w:cs="宋体" w:eastAsia="宋体" w:hint="default"/>
          <w:b/>
          <w:bCs/>
          <w:sz w:val="18"/>
          <w:szCs w:val="18"/>
        </w:rPr>
        <w:t>五、</w:t>
      </w:r>
      <w:r>
        <w:rPr>
          <w:rFonts w:ascii="宋体" w:hAnsi="宋体" w:cs="宋体" w:eastAsia="宋体" w:hint="default"/>
          <w:b/>
          <w:bCs/>
          <w:spacing w:val="-33"/>
          <w:sz w:val="18"/>
          <w:szCs w:val="18"/>
        </w:rPr>
        <w:t> </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28" w:lineRule="auto" w:before="10"/>
        <w:ind w:left="513" w:right="87" w:hanging="361"/>
        <w:jc w:val="left"/>
      </w:pPr>
      <w:r>
        <w:rPr/>
        <w:t>务报表不存在由于舞弊或错误导致的重大错报。 </w:t>
      </w:r>
      <w:r>
        <w:rPr>
          <w:spacing w:val="-2"/>
        </w:rPr>
        <w:t>在编制财务报表时，管理层负责评估广电运通的持续经营能力，并运用持续经营假设，除非计划进行清算、终止运营或</w:t>
      </w:r>
    </w:p>
    <w:p>
      <w:pPr>
        <w:pStyle w:val="BodyText"/>
        <w:spacing w:line="214" w:lineRule="exact"/>
        <w:ind w:right="87"/>
        <w:jc w:val="left"/>
      </w:pPr>
      <w:r>
        <w:rPr/>
        <w:t>别无其他现实的选择。</w:t>
      </w:r>
    </w:p>
    <w:p>
      <w:pPr>
        <w:pStyle w:val="BodyText"/>
        <w:spacing w:line="240" w:lineRule="auto" w:before="83"/>
        <w:ind w:left="513" w:right="87"/>
        <w:jc w:val="left"/>
      </w:pPr>
      <w:r>
        <w:rPr/>
        <w:t>治理层负责监督广电运通的财务报告过程。</w:t>
      </w:r>
    </w:p>
    <w:p>
      <w:pPr>
        <w:spacing w:line="240" w:lineRule="auto" w:before="11"/>
        <w:rPr>
          <w:rFonts w:ascii="宋体" w:hAnsi="宋体" w:cs="宋体" w:eastAsia="宋体" w:hint="default"/>
          <w:sz w:val="18"/>
          <w:szCs w:val="18"/>
        </w:rPr>
      </w:pPr>
    </w:p>
    <w:p>
      <w:pPr>
        <w:spacing w:line="283" w:lineRule="auto" w:before="0"/>
        <w:ind w:left="513" w:right="87" w:hanging="361"/>
        <w:jc w:val="left"/>
        <w:rPr>
          <w:rFonts w:ascii="宋体" w:hAnsi="宋体" w:cs="宋体" w:eastAsia="宋体" w:hint="default"/>
          <w:sz w:val="18"/>
          <w:szCs w:val="18"/>
        </w:rPr>
      </w:pPr>
      <w:r>
        <w:rPr>
          <w:rFonts w:ascii="宋体" w:hAnsi="宋体" w:cs="宋体" w:eastAsia="宋体" w:hint="default"/>
          <w:b/>
          <w:bCs/>
          <w:sz w:val="18"/>
          <w:szCs w:val="18"/>
        </w:rPr>
        <w:t>六、</w:t>
      </w:r>
      <w:r>
        <w:rPr>
          <w:rFonts w:ascii="宋体" w:hAnsi="宋体" w:cs="宋体" w:eastAsia="宋体" w:hint="default"/>
          <w:b/>
          <w:bCs/>
          <w:spacing w:val="-33"/>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85" w:lineRule="auto" w:before="10"/>
        <w:ind w:right="189"/>
        <w:jc w:val="both"/>
      </w:pP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49"/>
        <w:ind w:left="513" w:right="87"/>
        <w:jc w:val="left"/>
      </w:pPr>
      <w:r>
        <w:rPr/>
        <w:t>在按照审计准则执行审计工作的过程中，我们运用职业判断，并保持职业怀疑。同时，我们也执行以下工作：</w:t>
      </w:r>
    </w:p>
    <w:p>
      <w:pPr>
        <w:pStyle w:val="BodyText"/>
        <w:spacing w:line="285" w:lineRule="auto" w:before="86"/>
        <w:ind w:right="192" w:firstLine="271"/>
        <w:jc w:val="both"/>
      </w:pPr>
      <w:r>
        <w:rPr>
          <w:spacing w:val="-2"/>
        </w:rPr>
        <w:t>（</w:t>
      </w:r>
      <w:r>
        <w:rPr>
          <w:rFonts w:ascii="宋体" w:hAnsi="宋体" w:cs="宋体" w:eastAsia="宋体" w:hint="default"/>
          <w:spacing w:val="-2"/>
        </w:rPr>
        <w:t>1</w:t>
      </w:r>
      <w:r>
        <w:rPr>
          <w:spacing w:val="-2"/>
        </w:rPr>
        <w:t>）识别和评估由于舞弊或错误导致的财务报表重大错报风险，设计和实施审计程序以应对这些风险，并获取充分、适</w:t>
      </w:r>
      <w:r>
        <w:rPr/>
        <w:t>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49"/>
        <w:ind w:left="424" w:right="87"/>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86"/>
        <w:ind w:left="424" w:right="87"/>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85" w:lineRule="auto" w:before="83"/>
        <w:ind w:right="189" w:firstLine="271"/>
        <w:jc w:val="both"/>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）对管理层使用持续经营假设的恰当性得出结论。同时，根据获取的审计证据，就可能导致对广电运通持续经营能力</w:t>
      </w:r>
      <w:r>
        <w:rPr/>
        <w:t>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2"/>
        </w:rPr>
        <w:t> </w:t>
      </w:r>
      <w:r>
        <w:rPr>
          <w:spacing w:val="-62"/>
        </w:rPr>
      </w:r>
      <w:r>
        <w:rPr/>
        <w:t>截至审计报告日可获得的信息。然而，未来的事项或情况可能导致广电运通不能持续经营。</w:t>
      </w:r>
    </w:p>
    <w:p>
      <w:pPr>
        <w:pStyle w:val="BodyText"/>
        <w:spacing w:line="240" w:lineRule="auto" w:before="52"/>
        <w:ind w:left="424" w:right="87"/>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285" w:lineRule="auto" w:before="83"/>
        <w:ind w:right="87" w:firstLine="271"/>
        <w:jc w:val="left"/>
      </w:pPr>
      <w:r>
        <w:rPr>
          <w:spacing w:val="-4"/>
        </w:rPr>
        <w:t>（</w:t>
      </w:r>
      <w:r>
        <w:rPr>
          <w:rFonts w:ascii="宋体" w:hAnsi="宋体" w:cs="宋体" w:eastAsia="宋体" w:hint="default"/>
          <w:spacing w:val="-4"/>
        </w:rPr>
        <w:t>6</w:t>
      </w:r>
      <w:r>
        <w:rPr>
          <w:spacing w:val="-4"/>
        </w:rPr>
        <w:t>）就广电运通中实体或业务活动的财务信息获取充分、适当的审计证据，以对财务报表发表审计意见。我们负责指导、</w:t>
      </w:r>
      <w:r>
        <w:rPr/>
        <w:t> 监督和执行集团审计，并对审计意见承担全部责任。</w:t>
      </w:r>
    </w:p>
    <w:p>
      <w:pPr>
        <w:pStyle w:val="BodyText"/>
        <w:spacing w:line="285" w:lineRule="auto" w:before="49"/>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28" w:lineRule="auto" w:before="49"/>
        <w:ind w:left="513" w:right="87"/>
        <w:jc w:val="left"/>
      </w:pPr>
      <w:r>
        <w:rPr/>
        <w:t>我们还就已遵守与独立性相关的职业道德要求向治理层提供声明。 </w:t>
      </w:r>
      <w:r>
        <w:rPr>
          <w:spacing w:val="-2"/>
        </w:rPr>
        <w:t>从与治理层沟通过的事项中，我们确定哪些事项对本期财务报表审计最为重要，因而构成关键审计事项。我们在审计报</w:t>
      </w:r>
    </w:p>
    <w:p>
      <w:pPr>
        <w:pStyle w:val="BodyText"/>
        <w:spacing w:line="212" w:lineRule="exact"/>
        <w:ind w:right="0"/>
        <w:jc w:val="left"/>
      </w:pPr>
      <w:r>
        <w:rPr/>
        <w:t>告中描述这些事项，除非法律法规禁止公开披露这些事项，或在极少数情形下，如果合理预期在审计报告中沟通某事项造成</w:t>
      </w:r>
    </w:p>
    <w:p>
      <w:pPr>
        <w:pStyle w:val="BodyText"/>
        <w:spacing w:line="240" w:lineRule="auto" w:before="45"/>
        <w:ind w:right="87"/>
        <w:jc w:val="left"/>
      </w:pP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5"/>
        <w:tabs>
          <w:tab w:pos="6084" w:val="left" w:leader="none"/>
        </w:tabs>
        <w:spacing w:line="240" w:lineRule="auto"/>
        <w:ind w:left="330" w:right="87"/>
        <w:jc w:val="left"/>
        <w:rPr>
          <w:b w:val="0"/>
          <w:bCs w:val="0"/>
        </w:rPr>
      </w:pPr>
      <w:r>
        <w:rPr>
          <w:w w:val="95"/>
        </w:rPr>
        <w:t>立信会计师事务所</w:t>
        <w:tab/>
      </w:r>
      <w:r>
        <w:rPr/>
        <w:t>中国注册会计师：王建民（项目合伙人）</w:t>
      </w:r>
      <w:r>
        <w:rPr>
          <w:b w:val="0"/>
          <w:bCs w:val="0"/>
        </w:rPr>
      </w:r>
    </w:p>
    <w:p>
      <w:pPr>
        <w:spacing w:line="240" w:lineRule="auto" w:before="7"/>
        <w:rPr>
          <w:rFonts w:ascii="宋体" w:hAnsi="宋体" w:cs="宋体" w:eastAsia="宋体" w:hint="default"/>
          <w:b/>
          <w:bCs/>
          <w:sz w:val="15"/>
          <w:szCs w:val="15"/>
        </w:rPr>
      </w:pPr>
    </w:p>
    <w:p>
      <w:pPr>
        <w:pStyle w:val="Heading5"/>
        <w:spacing w:line="240" w:lineRule="auto"/>
        <w:ind w:left="330" w:right="87"/>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3"/>
          <w:szCs w:val="13"/>
        </w:rPr>
      </w:pPr>
    </w:p>
    <w:p>
      <w:pPr>
        <w:pStyle w:val="Heading5"/>
        <w:spacing w:line="240" w:lineRule="auto"/>
        <w:ind w:left="6084" w:right="87"/>
        <w:jc w:val="left"/>
        <w:rPr>
          <w:b w:val="0"/>
          <w:bCs w:val="0"/>
        </w:rPr>
      </w:pPr>
      <w:r>
        <w:rPr/>
        <w:t>中国注册会计师：滕海军</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3"/>
          <w:szCs w:val="13"/>
        </w:rPr>
      </w:pPr>
    </w:p>
    <w:p>
      <w:pPr>
        <w:pStyle w:val="Heading5"/>
        <w:tabs>
          <w:tab w:pos="6110" w:val="left" w:leader="none"/>
        </w:tabs>
        <w:spacing w:line="240" w:lineRule="auto"/>
        <w:ind w:left="873" w:right="87"/>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29</w:t>
      </w:r>
      <w:r>
        <w:rPr>
          <w:rFonts w:ascii="宋体" w:hAnsi="宋体" w:cs="宋体" w:eastAsia="宋体" w:hint="default"/>
          <w:spacing w:val="-46"/>
        </w:rPr>
        <w:t> </w:t>
      </w:r>
      <w:r>
        <w:rPr/>
        <w:t>日</w:t>
      </w:r>
      <w:r>
        <w:rPr>
          <w:b w:val="0"/>
          <w:bCs w:val="0"/>
        </w:rPr>
      </w:r>
    </w:p>
    <w:p>
      <w:pPr>
        <w:spacing w:after="0" w:line="240" w:lineRule="auto"/>
        <w:jc w:val="left"/>
        <w:sectPr>
          <w:pgSz w:w="11910" w:h="16840"/>
          <w:pgMar w:header="880" w:footer="979" w:top="1100" w:bottom="1160" w:left="980" w:right="94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rFonts w:ascii="Times New Roman" w:hAnsi="Times New Roman" w:cs="Times New Roman" w:eastAsia="Times New Roman" w:hint="default"/>
          <w:sz w:val="18"/>
          <w:szCs w:val="18"/>
        </w:rPr>
        <w:t>1</w:t>
      </w:r>
      <w:r>
        <w:rPr/>
        <w:t>、合并资产负债表</w:t>
      </w:r>
      <w:r>
        <w:rPr>
          <w:b w:val="0"/>
          <w:bCs w:val="0"/>
        </w:rPr>
      </w:r>
    </w:p>
    <w:p>
      <w:pPr>
        <w:spacing w:line="240" w:lineRule="auto" w:before="1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9" w:top="1100" w:bottom="1160" w:left="980" w:right="980"/>
        </w:sectPr>
      </w:pPr>
    </w:p>
    <w:p>
      <w:pPr>
        <w:pStyle w:val="BodyText"/>
        <w:spacing w:line="240" w:lineRule="auto" w:before="44"/>
        <w:ind w:right="-20"/>
        <w:jc w:val="left"/>
      </w:pPr>
      <w:r>
        <w:rPr/>
        <w:t>编制单位：广州广电运通金融电子股份有限公司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980"/>
          <w:cols w:num="3" w:equalWidth="0">
            <w:col w:w="3933" w:space="143"/>
            <w:col w:w="1642" w:space="3202"/>
            <w:col w:w="103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3,701,348,844.63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3,210,657,015.15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12,628,058.00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20,801,156.20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800,262,574.88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756,917,857.48</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16,769,749.29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23,560,347.36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194,917.81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95,552,618.54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86,492,878.97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1,934,947,764.68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1,926,647,371.07</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2,407,598,407.00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2,122,633,203.69</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8,969,108,017.02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8,147,904,747.73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1,133,532,039.09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2,035,722,660.32</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686,770,039.84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101,781,074.43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50,979,540.02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42,324,860.94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966,316,457.46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745,038,026.33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57,356,821.81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131,516,587.75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145,695,740.23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112,635,660.24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530,623,513.21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403,433,837.24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19,294,062.77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23,462,703.90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98,128,201.26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75,837,478.92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33,415,580.45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86,894,625.29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3,722,111,996.14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3,758,647,515.36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12,691,220,013.16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11,906,552,263.09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35,870,110.14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3,871,592.79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69,445,798.97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109,755,548.59</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437,761,073.18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508,322,676.22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1,724,794,733.66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1,462,439,570.89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430,545,663.44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367,281,213.52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170,362,392.24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237,778,371.15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908,067.08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283,067.08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220,310,348.32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234,386,112.02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3,089,998,187.03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2,924,118,152.26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6,745,945.87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70,117,348.52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77,337,001.56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46,865,352.43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28,503,372.08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116,982,700.95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112,586,319.51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3,206,980,887.98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3,036,704,471.77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2,428,885,725.00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1,619,257,150.00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2,298,125,819.56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3,107,754,394.56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-92,846,447.41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129,360,130.26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615,079,483.51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538,883,556.66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3,641,664,705.24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2,980,301,309.66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8,890,909,285.90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8,375,556,541.14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593,329,839.28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494,291,250.18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9,484,239,125.18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8,869,847,791.32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12,691,220,013.16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11,906,552,263.09</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before="44"/>
        <w:ind w:left="0" w:right="243"/>
        <w:jc w:val="right"/>
      </w:pPr>
      <w:r>
        <w:rPr/>
        <w:t>法定代表人：黄跃珍</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rFonts w:ascii="Times New Roman" w:hAnsi="Times New Roman" w:cs="Times New Roman" w:eastAsia="Times New Roman" w:hint="default"/>
          <w:sz w:val="18"/>
          <w:szCs w:val="18"/>
        </w:rPr>
        <w:t>2</w:t>
      </w:r>
      <w:r>
        <w:rPr/>
        <w:t>、母公司资产负债表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1,980,103,849.94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1,318,766,085.49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6,879,770.00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11,295,400.00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535,245,100.26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575,902,648.68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1,504,842.49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9,917,331.66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100,884,240.05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162,042,647.70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1,756,238,208.93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1,803,636,814.19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510,213,811.60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432,413,789.88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4,891,069,823.27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4,313,974,717.60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1,110,176,715.44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2,012,767,336.67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4,376,197,375.91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3,660,299,402.91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334,539,832.03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348,853,803.61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22,036,839.62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11,020,722.02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21,192,818.24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22,366,744.42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50,248,456.78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38,398,143.60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5,914,392,038.02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6,093,706,153.23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10,805,461,861.29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10,407,680,870.83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69,304,645.45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104,225,876.62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593,134,733.66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684,999,598.81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1,519,044,607.69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1,252,355,565.69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128,860,000.00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153,752,000.00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76,465,231.24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173,683,760.82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95,757,747.98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113,287,913.88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2,482,566,966.02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2,482,304,715.82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44,321,995.82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50,062,123.14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39,375,000.00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21,921,890.04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83,696,995.82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71,984,013.18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2,566,263,961.84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2,554,288,729.00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2,428,885,725.00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1,619,257,150.00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2,304,533,814.30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3,114,162,389.30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-90,003,752.37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124,224,043.55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615,079,483.51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538,883,556.66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2,980,702,629.01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2,456,865,002.32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8,239,197,899.45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7,853,392,141.83</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10,805,461,861.29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10,407,680,870.83</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before="44"/>
        <w:ind w:left="0" w:right="243"/>
        <w:jc w:val="right"/>
      </w:pPr>
      <w:r>
        <w:rPr/>
        <w:t>法定代表人：黄跃珍</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4"/>
        <w:spacing w:line="240" w:lineRule="auto" w:before="124"/>
        <w:ind w:right="0"/>
        <w:jc w:val="left"/>
        <w:rPr>
          <w:b w:val="0"/>
          <w:bCs w:val="0"/>
        </w:rPr>
      </w:pPr>
      <w:r>
        <w:rPr>
          <w:rFonts w:ascii="Times New Roman" w:hAnsi="Times New Roman" w:cs="Times New Roman" w:eastAsia="Times New Roman" w:hint="default"/>
          <w:sz w:val="18"/>
          <w:szCs w:val="18"/>
        </w:rPr>
        <w:t>3</w:t>
      </w:r>
      <w:r>
        <w:rPr/>
        <w:t>、合并利润表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0"/>
        <w:gridCol w:w="2197"/>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4,383,577,016.09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4,423,649,958.72</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4,383,577,016.09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4,423,649,958.72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3,916,352,659.30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3,654,722,722.48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2,550,465,336.40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2,344,816,589.43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3"/>
        <w:gridCol w:w="2408"/>
        <w:gridCol w:w="2197"/>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39,258,542.14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48,392,646.04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627,834,007.98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699,626,934.91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634,536,432.83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567,789,328.47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-10,779,321.56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-20,282,416.08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75,037,661.51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14,379,639.71</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510,951,235.98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52,556,423.80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15,680,637.10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2,890,456.63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1,747,844.72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359,982.53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151,339,485.14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1,131,262,922.63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821,843,642.57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3,192,685.53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185,773,595.04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12,457,517.49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5,126,318.77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1,121,998,090.67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1,002,490,918.84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157,998,190.63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110,835,468.76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963,999,900.04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891,655,450.08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963,999,900.04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891,655,450.08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899,485,037.43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843,972,144.65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64,514,862.61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47,683,305.43</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-222,206,577.67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127,924,518.39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-222,206,577.67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127,924,518.39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-222,206,577.67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127,924,518.39</w:t>
            </w: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-214,227,795.92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124,224,043.55</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0"/>
        <w:gridCol w:w="2197"/>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-7,978,781.75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3,700,474.84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741,793,322.37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1,019,579,968.47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677,278,459.76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971,896,663.04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64,514,862.61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47,683,305.43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0.36</w:t>
            </w:r>
          </w:p>
        </w:tc>
      </w:tr>
    </w:tbl>
    <w:p>
      <w:pPr>
        <w:pStyle w:val="BodyText"/>
        <w:tabs>
          <w:tab w:pos="3578" w:val="left" w:leader="none"/>
          <w:tab w:pos="7721" w:val="left" w:leader="none"/>
        </w:tabs>
        <w:spacing w:line="597" w:lineRule="auto" w:before="51"/>
        <w:ind w:right="243"/>
        <w:jc w:val="both"/>
        <w:rPr>
          <w:rFonts w:ascii="宋体" w:hAnsi="宋体" w:cs="宋体" w:eastAsia="宋体" w:hint="default"/>
          <w:sz w:val="20"/>
          <w:szCs w:val="20"/>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法定代表人：黄跃珍</w:t>
        <w:tab/>
      </w:r>
      <w:r>
        <w:rPr>
          <w:spacing w:val="-1"/>
        </w:rPr>
        <w:t>主管会计工作负责人：蒋春晨</w:t>
        <w:tab/>
      </w:r>
      <w:r>
        <w:rPr/>
        <w:t>会计机构负责人：惠小绒</w:t>
      </w:r>
      <w:r>
        <w:rPr/>
        <w:t> </w:t>
      </w:r>
      <w:r>
        <w:rPr>
          <w:rFonts w:ascii="Times New Roman" w:hAnsi="Times New Roman" w:cs="Times New Roman" w:eastAsia="Times New Roman" w:hint="default"/>
          <w:b/>
          <w:bCs/>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79"/>
        <w:gridCol w:w="2199"/>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2,159,432,615.55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2,954,424,147.27</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1,309,587,282.48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1,593,517,008.88</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15,352,036.00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26,241,840.15</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441,929,159.89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588,474,821.59</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355,607,565.19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372,166,090.76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6,627,959.50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-24,940,017.78</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34,099,488.70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14,339,698.00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17"/>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704,953,180.64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186,803,436.26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96"/>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20,319,644.69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2,389,514.63</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500,335.91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184,566.63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107,696,567.96</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809,379,208.30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571,612,708.56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545,030.21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156,917,272.87</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8,600,716.59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2,508,392.53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801,323,521.92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726,021,588.90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39,364,253.38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36,923,041.14</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761,959,268.54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689,098,547.76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81"/>
        <w:gridCol w:w="2279"/>
        <w:gridCol w:w="2199"/>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761,959,268.54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689,098,547.76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-214,227,795.92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124,224,043.55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-214,227,795.92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124,224,043.55</w:t>
            </w:r>
          </w:p>
        </w:tc>
      </w:tr>
      <w:tr>
        <w:trPr>
          <w:trHeight w:val="715"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-214,227,795.92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124,224,043.55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547,731,472.62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813,322,591.31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BodyText"/>
        <w:tabs>
          <w:tab w:pos="3425" w:val="left" w:leader="none"/>
          <w:tab w:pos="7568" w:val="left" w:leader="none"/>
        </w:tabs>
        <w:spacing w:line="240" w:lineRule="auto" w:before="44"/>
        <w:ind w:left="0" w:right="243"/>
        <w:jc w:val="right"/>
      </w:pPr>
      <w:r>
        <w:rPr/>
        <w:t>法定代表人：黄跃珍</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rFonts w:ascii="Times New Roman" w:hAnsi="Times New Roman" w:cs="Times New Roman" w:eastAsia="Times New Roman" w:hint="default"/>
          <w:sz w:val="18"/>
          <w:szCs w:val="18"/>
        </w:rPr>
        <w:t>5</w:t>
      </w:r>
      <w:r>
        <w:rPr/>
        <w:t>、合并现金流量表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9"/>
        <w:gridCol w:w="2139"/>
        <w:gridCol w:w="1771"/>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4,991,616,768.90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4,742,640,004.58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649"/>
        <w:gridCol w:w="2139"/>
        <w:gridCol w:w="1771"/>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109,933,345.09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149,748,470.98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268,015,630.66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422,010,035.52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5,369,565,744.65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5,314,398,511.08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1,783,038,408.69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1,501,670,889.58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1,758,097,418.84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1,355,817,535.03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461,990,330.00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417,132,999.95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693,989,453.77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927,936,258.77</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4,697,115,611.30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4,202,557,683.33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672,450,133.35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1,111,840,827.75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9,695,939,505.01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5,927,134,520.82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235,083,625.72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54,519,185.47</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8,449,551.54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705,781.38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1,196,436.16</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9,939,472,682.27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5,983,555,923.83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175,668,915.67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178,109,423.65</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9,631,610,322.16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9,088,381,250.11</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128,106,522.49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14,040,604.72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9,935,385,760.32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9,280,531,278.48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4,086,921.95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-3,296,975,354.65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24,970,000.00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3,129,449,924.01</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12,589,400.00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180,944,790.10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255,860,952.79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671"/>
        <w:gridCol w:w="2127"/>
        <w:gridCol w:w="1771"/>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205,914,790.10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3,385,310,876.80</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155,692,218.62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261,513,701.56</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214,303,443.42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233,540,450.32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50,209,500.00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16,580,000.00</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369,995,662.04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495,054,151.88</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-164,080,871.94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2,890,256,724.92</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-16,395,835.43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9,299,490.87</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496,060,347.93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714,421,688.89</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3,205,127,343.18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2,490,705,654.29</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3,701,187,691.11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3,205,127,343.18</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before="44"/>
        <w:ind w:left="0" w:right="243"/>
        <w:jc w:val="right"/>
      </w:pPr>
      <w:r>
        <w:rPr/>
        <w:t>法定代表人：黄跃珍</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rFonts w:ascii="Times New Roman" w:hAnsi="Times New Roman" w:cs="Times New Roman" w:eastAsia="Times New Roman" w:hint="default"/>
          <w:sz w:val="18"/>
          <w:szCs w:val="18"/>
        </w:rPr>
        <w:t>6</w:t>
      </w:r>
      <w:r>
        <w:rPr/>
        <w:t>、母公司现金流量表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0"/>
        <w:gridCol w:w="2199"/>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2,583,195,388.59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3,078,343,229.56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97,207,160.03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143,627,464.29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211,560,174.32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272,152,620.22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2,891,962,722.94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3,494,123,314.07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1,595,304,070.16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1,322,718,196.86</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422,165,401.34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466,099,078.73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199,137,589.49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228,692,661.49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365,616,381.35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552,859,828.77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2,582,223,442.34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2,570,369,765.85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309,739,280.60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923,753,548.22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3,001,129,505.01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3,708,600,000.00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424,284,099.12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204,410,205.14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2,990,375.99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17,730.00</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420"/>
        <w:gridCol w:w="2199"/>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3,428,403,980.12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3,913,027,935.14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39,476,751.64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45,379,858.24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2,863,870,322.16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7,820,872,250.11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166,530,612.00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2,903,347,073.80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8,032,782,720.35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525,056,906.32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-4,119,754,785.21</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3,116,860,524.01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3,366,860,524.01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161,925,715.00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216,807,203.40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161,925,715.00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466,807,203.40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-161,925,715.00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2,900,053,320.61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-11,532,707.47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7,186,399.35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661,337,764.45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-288,761,517.03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1,318,766,085.49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1,607,527,602.52</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1,980,103,849.94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1,318,766,085.49</w:t>
            </w:r>
          </w:p>
        </w:tc>
      </w:tr>
    </w:tbl>
    <w:p>
      <w:pPr>
        <w:spacing w:line="240" w:lineRule="auto" w:before="4"/>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法定代表人：黄跃珍</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4"/>
        <w:spacing w:line="240" w:lineRule="auto" w:before="123"/>
        <w:ind w:right="0"/>
        <w:jc w:val="left"/>
        <w:rPr>
          <w:b w:val="0"/>
          <w:bCs w:val="0"/>
        </w:rPr>
      </w:pPr>
      <w:r>
        <w:rPr>
          <w:rFonts w:ascii="Times New Roman" w:hAnsi="Times New Roman" w:cs="Times New Roman" w:eastAsia="Times New Roman" w:hint="default"/>
          <w:sz w:val="18"/>
          <w:szCs w:val="18"/>
        </w:rPr>
        <w:t>7</w:t>
      </w:r>
      <w:r>
        <w:rPr/>
        <w:t>、合并所有者权益变动表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688"/>
        <w:gridCol w:w="569"/>
        <w:gridCol w:w="425"/>
        <w:gridCol w:w="473"/>
        <w:gridCol w:w="802"/>
        <w:gridCol w:w="569"/>
        <w:gridCol w:w="708"/>
        <w:gridCol w:w="581"/>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6" w:hRule="exact"/>
        </w:trPr>
        <w:tc>
          <w:tcPr>
            <w:tcW w:w="1438" w:type="dxa"/>
            <w:vMerge/>
            <w:tcBorders>
              <w:left w:val="single" w:sz="4" w:space="0" w:color="000000"/>
              <w:right w:val="single" w:sz="4" w:space="0" w:color="000000"/>
            </w:tcBorders>
            <w:shd w:val="clear" w:color="auto" w:fill="D2D2D2"/>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8" w:type="dxa"/>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49"/>
              <w:ind w:left="1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67"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2" w:type="dxa"/>
            <w:vMerge w:val="restart"/>
            <w:tcBorders>
              <w:top w:val="single" w:sz="4" w:space="0" w:color="000000"/>
              <w:left w:val="single" w:sz="4" w:space="0" w:color="000000"/>
              <w:right w:val="single" w:sz="4" w:space="0" w:color="000000"/>
            </w:tcBorders>
            <w:shd w:val="clear" w:color="auto" w:fill="D9D9D9"/>
          </w:tcPr>
          <w:p>
            <w:pPr>
              <w:pStyle w:val="TableParagraph"/>
              <w:spacing w:line="314" w:lineRule="auto" w:before="49"/>
              <w:ind w:left="307" w:right="122"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9"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49"/>
              <w:ind w:left="189"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708"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49"/>
              <w:ind w:left="167"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1" w:type="dxa"/>
            <w:vMerge w:val="restart"/>
            <w:tcBorders>
              <w:top w:val="single" w:sz="4" w:space="0" w:color="000000"/>
              <w:left w:val="single" w:sz="4" w:space="0" w:color="000000"/>
              <w:right w:val="single" w:sz="4" w:space="0" w:color="000000"/>
            </w:tcBorders>
            <w:shd w:val="clear" w:color="auto" w:fill="D9D9D9"/>
          </w:tcPr>
          <w:p>
            <w:pPr>
              <w:pStyle w:val="TableParagraph"/>
              <w:spacing w:line="314" w:lineRule="auto" w:before="49"/>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9D9D9"/>
          </w:tcPr>
          <w:p>
            <w:pPr>
              <w:pStyle w:val="TableParagraph"/>
              <w:spacing w:line="314" w:lineRule="auto" w:before="49"/>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49"/>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10" w:space="0" w:color="D2D2D2"/>
            </w:tcBorders>
            <w:shd w:val="clear" w:color="auto" w:fill="D9D9D9"/>
          </w:tcPr>
          <w:p>
            <w:pPr>
              <w:pStyle w:val="TableParagraph"/>
              <w:spacing w:line="316" w:lineRule="auto" w:before="49"/>
              <w:ind w:left="146" w:right="140"/>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63"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8" w:type="dxa"/>
            <w:vMerge/>
            <w:tcBorders>
              <w:left w:val="single" w:sz="10" w:space="0" w:color="D2D2D2"/>
              <w:right w:val="single" w:sz="4" w:space="0" w:color="000000"/>
            </w:tcBorders>
            <w:shd w:val="clear" w:color="auto" w:fill="D9D9D9"/>
          </w:tcPr>
          <w:p>
            <w:pPr/>
          </w:p>
        </w:tc>
        <w:tc>
          <w:tcPr>
            <w:tcW w:w="1467" w:type="dxa"/>
            <w:gridSpan w:val="3"/>
            <w:vMerge/>
            <w:tcBorders>
              <w:left w:val="single" w:sz="4" w:space="0" w:color="000000"/>
              <w:bottom w:val="single" w:sz="4" w:space="0" w:color="000000"/>
              <w:right w:val="single" w:sz="4" w:space="0" w:color="000000"/>
            </w:tcBorders>
            <w:shd w:val="clear" w:color="auto" w:fill="D9D9D9"/>
          </w:tcPr>
          <w:p>
            <w:pPr/>
          </w:p>
        </w:tc>
        <w:tc>
          <w:tcPr>
            <w:tcW w:w="802" w:type="dxa"/>
            <w:vMerge/>
            <w:tcBorders>
              <w:left w:val="single" w:sz="4" w:space="0" w:color="000000"/>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708" w:type="dxa"/>
            <w:vMerge/>
            <w:tcBorders>
              <w:left w:val="single" w:sz="4" w:space="0" w:color="000000"/>
              <w:right w:val="single" w:sz="4" w:space="0" w:color="000000"/>
            </w:tcBorders>
            <w:shd w:val="clear" w:color="auto" w:fill="D9D9D9"/>
          </w:tcPr>
          <w:p>
            <w:pPr/>
          </w:p>
        </w:tc>
        <w:tc>
          <w:tcPr>
            <w:tcW w:w="581"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10" w:space="0" w:color="D2D2D2"/>
            </w:tcBorders>
            <w:shd w:val="clear" w:color="auto" w:fill="D9D9D9"/>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4"/>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0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8" w:type="dxa"/>
            <w:vMerge/>
            <w:tcBorders>
              <w:left w:val="single" w:sz="10" w:space="0" w:color="D2D2D2"/>
              <w:right w:val="single" w:sz="4" w:space="0" w:color="000000"/>
            </w:tcBorders>
            <w:shd w:val="clear" w:color="auto" w:fill="D9D9D9"/>
          </w:tcPr>
          <w:p>
            <w:pPr/>
          </w:p>
        </w:tc>
        <w:tc>
          <w:tcPr>
            <w:tcW w:w="569"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189"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73"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141" w:right="139"/>
              <w:jc w:val="left"/>
              <w:rPr>
                <w:rFonts w:ascii="宋体" w:hAnsi="宋体" w:cs="宋体" w:eastAsia="宋体" w:hint="default"/>
                <w:sz w:val="18"/>
                <w:szCs w:val="18"/>
              </w:rPr>
            </w:pPr>
            <w:r>
              <w:rPr>
                <w:rFonts w:ascii="宋体" w:hAnsi="宋体" w:cs="宋体" w:eastAsia="宋体" w:hint="default"/>
                <w:sz w:val="18"/>
                <w:szCs w:val="18"/>
              </w:rPr>
              <w:t>其 他</w:t>
            </w:r>
          </w:p>
        </w:tc>
        <w:tc>
          <w:tcPr>
            <w:tcW w:w="802" w:type="dxa"/>
            <w:vMerge/>
            <w:tcBorders>
              <w:left w:val="single" w:sz="4" w:space="0" w:color="000000"/>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708" w:type="dxa"/>
            <w:vMerge/>
            <w:tcBorders>
              <w:left w:val="single" w:sz="4" w:space="0" w:color="000000"/>
              <w:right w:val="single" w:sz="4" w:space="0" w:color="000000"/>
            </w:tcBorders>
            <w:shd w:val="clear" w:color="auto" w:fill="D9D9D9"/>
          </w:tcPr>
          <w:p>
            <w:pPr/>
          </w:p>
        </w:tc>
        <w:tc>
          <w:tcPr>
            <w:tcW w:w="581"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10" w:space="0" w:color="D2D2D2"/>
            </w:tcBorders>
            <w:shd w:val="clear" w:color="auto" w:fill="D9D9D9"/>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358"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688" w:type="dxa"/>
            <w:vMerge/>
            <w:tcBorders>
              <w:left w:val="single" w:sz="10" w:space="0" w:color="D2D2D2"/>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425" w:type="dxa"/>
            <w:vMerge/>
            <w:tcBorders>
              <w:left w:val="single" w:sz="4" w:space="0" w:color="000000"/>
              <w:right w:val="single" w:sz="4" w:space="0" w:color="000000"/>
            </w:tcBorders>
            <w:shd w:val="clear" w:color="auto" w:fill="D9D9D9"/>
          </w:tcPr>
          <w:p>
            <w:pPr/>
          </w:p>
        </w:tc>
        <w:tc>
          <w:tcPr>
            <w:tcW w:w="473" w:type="dxa"/>
            <w:vMerge/>
            <w:tcBorders>
              <w:left w:val="single" w:sz="4" w:space="0" w:color="000000"/>
              <w:right w:val="single" w:sz="4" w:space="0" w:color="000000"/>
            </w:tcBorders>
            <w:shd w:val="clear" w:color="auto" w:fill="D9D9D9"/>
          </w:tcPr>
          <w:p>
            <w:pPr/>
          </w:p>
        </w:tc>
        <w:tc>
          <w:tcPr>
            <w:tcW w:w="802" w:type="dxa"/>
            <w:vMerge/>
            <w:tcBorders>
              <w:left w:val="single" w:sz="4" w:space="0" w:color="000000"/>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708" w:type="dxa"/>
            <w:vMerge/>
            <w:tcBorders>
              <w:left w:val="single" w:sz="4" w:space="0" w:color="000000"/>
              <w:right w:val="single" w:sz="4" w:space="0" w:color="000000"/>
            </w:tcBorders>
            <w:shd w:val="clear" w:color="auto" w:fill="D9D9D9"/>
          </w:tcPr>
          <w:p>
            <w:pPr/>
          </w:p>
        </w:tc>
        <w:tc>
          <w:tcPr>
            <w:tcW w:w="581"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10" w:space="0" w:color="D2D2D2"/>
            </w:tcBorders>
            <w:shd w:val="clear" w:color="auto" w:fill="D9D9D9"/>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688" w:type="dxa"/>
            <w:vMerge/>
            <w:tcBorders>
              <w:left w:val="single" w:sz="10" w:space="0" w:color="D2D2D2"/>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425" w:type="dxa"/>
            <w:vMerge/>
            <w:tcBorders>
              <w:left w:val="single" w:sz="4" w:space="0" w:color="000000"/>
              <w:right w:val="single" w:sz="4" w:space="0" w:color="000000"/>
            </w:tcBorders>
            <w:shd w:val="clear" w:color="auto" w:fill="D9D9D9"/>
          </w:tcPr>
          <w:p>
            <w:pPr/>
          </w:p>
        </w:tc>
        <w:tc>
          <w:tcPr>
            <w:tcW w:w="473" w:type="dxa"/>
            <w:vMerge/>
            <w:tcBorders>
              <w:left w:val="single" w:sz="4" w:space="0" w:color="000000"/>
              <w:right w:val="single" w:sz="4" w:space="0" w:color="000000"/>
            </w:tcBorders>
            <w:shd w:val="clear" w:color="auto" w:fill="D9D9D9"/>
          </w:tcPr>
          <w:p>
            <w:pPr/>
          </w:p>
        </w:tc>
        <w:tc>
          <w:tcPr>
            <w:tcW w:w="802" w:type="dxa"/>
            <w:vMerge/>
            <w:tcBorders>
              <w:left w:val="single" w:sz="4" w:space="0" w:color="000000"/>
              <w:right w:val="single" w:sz="4" w:space="0" w:color="000000"/>
            </w:tcBorders>
            <w:shd w:val="clear" w:color="auto" w:fill="D9D9D9"/>
          </w:tcPr>
          <w:p>
            <w:pPr/>
          </w:p>
        </w:tc>
        <w:tc>
          <w:tcPr>
            <w:tcW w:w="569" w:type="dxa"/>
            <w:vMerge/>
            <w:tcBorders>
              <w:left w:val="single" w:sz="4" w:space="0" w:color="000000"/>
              <w:right w:val="single" w:sz="4" w:space="0" w:color="000000"/>
            </w:tcBorders>
            <w:shd w:val="clear" w:color="auto" w:fill="D9D9D9"/>
          </w:tcPr>
          <w:p>
            <w:pPr/>
          </w:p>
        </w:tc>
        <w:tc>
          <w:tcPr>
            <w:tcW w:w="708" w:type="dxa"/>
            <w:vMerge/>
            <w:tcBorders>
              <w:left w:val="single" w:sz="4" w:space="0" w:color="000000"/>
              <w:right w:val="single" w:sz="4" w:space="0" w:color="000000"/>
            </w:tcBorders>
            <w:shd w:val="clear" w:color="auto" w:fill="D9D9D9"/>
          </w:tcPr>
          <w:p>
            <w:pPr/>
          </w:p>
        </w:tc>
        <w:tc>
          <w:tcPr>
            <w:tcW w:w="581"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4" w:space="0" w:color="000000"/>
            </w:tcBorders>
            <w:shd w:val="clear" w:color="auto" w:fill="D9D9D9"/>
          </w:tcPr>
          <w:p>
            <w:pPr/>
          </w:p>
        </w:tc>
        <w:tc>
          <w:tcPr>
            <w:tcW w:w="665" w:type="dxa"/>
            <w:vMerge/>
            <w:tcBorders>
              <w:left w:val="single" w:sz="4" w:space="0" w:color="000000"/>
              <w:right w:val="single" w:sz="10" w:space="0" w:color="D2D2D2"/>
            </w:tcBorders>
            <w:shd w:val="clear" w:color="auto" w:fill="D9D9D9"/>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40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8" w:type="dxa"/>
            <w:vMerge/>
            <w:tcBorders>
              <w:left w:val="single" w:sz="10" w:space="0" w:color="D2D2D2"/>
              <w:bottom w:val="single" w:sz="4" w:space="0" w:color="000000"/>
              <w:right w:val="single" w:sz="4" w:space="0" w:color="000000"/>
            </w:tcBorders>
            <w:shd w:val="clear" w:color="auto" w:fill="D9D9D9"/>
          </w:tcPr>
          <w:p>
            <w:pPr/>
          </w:p>
        </w:tc>
        <w:tc>
          <w:tcPr>
            <w:tcW w:w="569" w:type="dxa"/>
            <w:vMerge/>
            <w:tcBorders>
              <w:left w:val="single" w:sz="4" w:space="0" w:color="000000"/>
              <w:bottom w:val="single" w:sz="4" w:space="0" w:color="000000"/>
              <w:right w:val="single" w:sz="4" w:space="0" w:color="000000"/>
            </w:tcBorders>
            <w:shd w:val="clear" w:color="auto" w:fill="D9D9D9"/>
          </w:tcPr>
          <w:p>
            <w:pPr/>
          </w:p>
        </w:tc>
        <w:tc>
          <w:tcPr>
            <w:tcW w:w="425" w:type="dxa"/>
            <w:vMerge/>
            <w:tcBorders>
              <w:left w:val="single" w:sz="4" w:space="0" w:color="000000"/>
              <w:bottom w:val="single" w:sz="4" w:space="0" w:color="000000"/>
              <w:right w:val="single" w:sz="4" w:space="0" w:color="000000"/>
            </w:tcBorders>
            <w:shd w:val="clear" w:color="auto" w:fill="D9D9D9"/>
          </w:tcPr>
          <w:p>
            <w:pPr/>
          </w:p>
        </w:tc>
        <w:tc>
          <w:tcPr>
            <w:tcW w:w="473" w:type="dxa"/>
            <w:vMerge/>
            <w:tcBorders>
              <w:left w:val="single" w:sz="4" w:space="0" w:color="000000"/>
              <w:bottom w:val="single" w:sz="4" w:space="0" w:color="000000"/>
              <w:right w:val="single" w:sz="4" w:space="0" w:color="000000"/>
            </w:tcBorders>
            <w:shd w:val="clear" w:color="auto" w:fill="D9D9D9"/>
          </w:tcPr>
          <w:p>
            <w:pPr/>
          </w:p>
        </w:tc>
        <w:tc>
          <w:tcPr>
            <w:tcW w:w="802" w:type="dxa"/>
            <w:vMerge/>
            <w:tcBorders>
              <w:left w:val="single" w:sz="4" w:space="0" w:color="000000"/>
              <w:bottom w:val="single" w:sz="4" w:space="0" w:color="000000"/>
              <w:right w:val="single" w:sz="4" w:space="0" w:color="000000"/>
            </w:tcBorders>
            <w:shd w:val="clear" w:color="auto" w:fill="D9D9D9"/>
          </w:tcPr>
          <w:p>
            <w:pPr/>
          </w:p>
        </w:tc>
        <w:tc>
          <w:tcPr>
            <w:tcW w:w="569" w:type="dxa"/>
            <w:vMerge/>
            <w:tcBorders>
              <w:left w:val="single" w:sz="4" w:space="0" w:color="000000"/>
              <w:bottom w:val="single" w:sz="4" w:space="0" w:color="000000"/>
              <w:right w:val="single" w:sz="4" w:space="0" w:color="000000"/>
            </w:tcBorders>
            <w:shd w:val="clear" w:color="auto" w:fill="D9D9D9"/>
          </w:tcPr>
          <w:p>
            <w:pPr/>
          </w:p>
        </w:tc>
        <w:tc>
          <w:tcPr>
            <w:tcW w:w="708" w:type="dxa"/>
            <w:vMerge/>
            <w:tcBorders>
              <w:left w:val="single" w:sz="4" w:space="0" w:color="000000"/>
              <w:bottom w:val="single" w:sz="4" w:space="0" w:color="000000"/>
              <w:right w:val="single" w:sz="4" w:space="0" w:color="000000"/>
            </w:tcBorders>
            <w:shd w:val="clear" w:color="auto" w:fill="D9D9D9"/>
          </w:tcPr>
          <w:p>
            <w:pPr/>
          </w:p>
        </w:tc>
        <w:tc>
          <w:tcPr>
            <w:tcW w:w="581" w:type="dxa"/>
            <w:vMerge/>
            <w:tcBorders>
              <w:left w:val="single" w:sz="4" w:space="0" w:color="000000"/>
              <w:bottom w:val="single" w:sz="4" w:space="0" w:color="000000"/>
              <w:right w:val="single" w:sz="4" w:space="0" w:color="000000"/>
            </w:tcBorders>
            <w:shd w:val="clear" w:color="auto" w:fill="D9D9D9"/>
          </w:tcPr>
          <w:p>
            <w:pPr/>
          </w:p>
        </w:tc>
        <w:tc>
          <w:tcPr>
            <w:tcW w:w="665" w:type="dxa"/>
            <w:vMerge/>
            <w:tcBorders>
              <w:left w:val="single" w:sz="4" w:space="0" w:color="000000"/>
              <w:bottom w:val="single" w:sz="4" w:space="0" w:color="000000"/>
              <w:right w:val="single" w:sz="4" w:space="0" w:color="000000"/>
            </w:tcBorders>
            <w:shd w:val="clear" w:color="auto" w:fill="D9D9D9"/>
          </w:tcPr>
          <w:p>
            <w:pPr/>
          </w:p>
        </w:tc>
        <w:tc>
          <w:tcPr>
            <w:tcW w:w="665" w:type="dxa"/>
            <w:vMerge/>
            <w:tcBorders>
              <w:left w:val="single" w:sz="4" w:space="0" w:color="000000"/>
              <w:bottom w:val="single" w:sz="4" w:space="0" w:color="000000"/>
              <w:right w:val="single" w:sz="4" w:space="0" w:color="000000"/>
            </w:tcBorders>
            <w:shd w:val="clear" w:color="auto" w:fill="D9D9D9"/>
          </w:tcPr>
          <w:p>
            <w:pPr/>
          </w:p>
        </w:tc>
        <w:tc>
          <w:tcPr>
            <w:tcW w:w="665" w:type="dxa"/>
            <w:vMerge/>
            <w:tcBorders>
              <w:left w:val="single" w:sz="4" w:space="0" w:color="000000"/>
              <w:bottom w:val="single" w:sz="4" w:space="0" w:color="000000"/>
              <w:right w:val="single" w:sz="10" w:space="0" w:color="D2D2D2"/>
            </w:tcBorders>
            <w:shd w:val="clear" w:color="auto" w:fill="D9D9D9"/>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38"/>
        <w:gridCol w:w="689"/>
        <w:gridCol w:w="569"/>
        <w:gridCol w:w="425"/>
        <w:gridCol w:w="473"/>
        <w:gridCol w:w="802"/>
        <w:gridCol w:w="569"/>
        <w:gridCol w:w="708"/>
        <w:gridCol w:w="581"/>
        <w:gridCol w:w="665"/>
        <w:gridCol w:w="665"/>
        <w:gridCol w:w="665"/>
        <w:gridCol w:w="665"/>
        <w:gridCol w:w="660"/>
      </w:tblGrid>
      <w:tr>
        <w:trPr>
          <w:trHeight w:val="133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257,1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3,107,7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54,394.</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56</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129,3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60,13</w:t>
            </w:r>
          </w:p>
          <w:p>
            <w:pPr>
              <w:pStyle w:val="TableParagraph"/>
              <w:spacing w:line="240" w:lineRule="auto" w:before="105"/>
              <w:ind w:left="281" w:right="0"/>
              <w:jc w:val="left"/>
              <w:rPr>
                <w:rFonts w:ascii="Times New Roman" w:hAnsi="Times New Roman" w:cs="Times New Roman" w:eastAsia="Times New Roman" w:hint="default"/>
                <w:sz w:val="18"/>
                <w:szCs w:val="18"/>
              </w:rPr>
            </w:pPr>
            <w:r>
              <w:rPr>
                <w:rFonts w:ascii="Times New Roman"/>
                <w:sz w:val="18"/>
              </w:rPr>
              <w:t>0.26</w:t>
            </w: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538,8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83,55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2,980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494,2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91,25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8,869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,847,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791.3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257,1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3,107,7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54,394.</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56</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129,3</w:t>
            </w:r>
          </w:p>
          <w:p>
            <w:pPr>
              <w:pStyle w:val="TableParagraph"/>
              <w:spacing w:line="240" w:lineRule="auto" w:before="102"/>
              <w:ind w:left="189" w:right="0"/>
              <w:jc w:val="left"/>
              <w:rPr>
                <w:rFonts w:ascii="Times New Roman" w:hAnsi="Times New Roman" w:cs="Times New Roman" w:eastAsia="Times New Roman" w:hint="default"/>
                <w:sz w:val="18"/>
                <w:szCs w:val="18"/>
              </w:rPr>
            </w:pPr>
            <w:r>
              <w:rPr>
                <w:rFonts w:ascii="Times New Roman"/>
                <w:sz w:val="18"/>
              </w:rPr>
              <w:t>60,13</w:t>
            </w:r>
          </w:p>
          <w:p>
            <w:pPr>
              <w:pStyle w:val="TableParagraph"/>
              <w:spacing w:line="240" w:lineRule="auto" w:before="105"/>
              <w:ind w:left="281" w:right="0"/>
              <w:jc w:val="left"/>
              <w:rPr>
                <w:rFonts w:ascii="Times New Roman" w:hAnsi="Times New Roman" w:cs="Times New Roman" w:eastAsia="Times New Roman" w:hint="default"/>
                <w:sz w:val="18"/>
                <w:szCs w:val="18"/>
              </w:rPr>
            </w:pPr>
            <w:r>
              <w:rPr>
                <w:rFonts w:ascii="Times New Roman"/>
                <w:sz w:val="18"/>
              </w:rPr>
              <w:t>0.26</w:t>
            </w: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538,8</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83,55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2,980</w:t>
            </w:r>
          </w:p>
          <w:p>
            <w:pPr>
              <w:pStyle w:val="TableParagraph"/>
              <w:spacing w:line="240" w:lineRule="auto" w:before="102"/>
              <w:ind w:left="192"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494,2</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91,25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8,869</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,847,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791.3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809,6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28,57</w:t>
            </w:r>
          </w:p>
          <w:p>
            <w:pPr>
              <w:pStyle w:val="TableParagraph"/>
              <w:spacing w:line="240" w:lineRule="auto" w:before="105"/>
              <w:ind w:left="263" w:right="0"/>
              <w:jc w:val="left"/>
              <w:rPr>
                <w:rFonts w:ascii="Times New Roman" w:hAnsi="Times New Roman" w:cs="Times New Roman" w:eastAsia="Times New Roman" w:hint="default"/>
                <w:sz w:val="18"/>
                <w:szCs w:val="18"/>
              </w:rPr>
            </w:pPr>
            <w:r>
              <w:rPr>
                <w:rFonts w:ascii="Times New Roman"/>
                <w:sz w:val="18"/>
              </w:rPr>
              <w:t>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-809,62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8,575.0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-222,2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06,57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7.67</w:t>
            </w: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76,19</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5,926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661,3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63,39</w:t>
            </w:r>
          </w:p>
          <w:p>
            <w:pPr>
              <w:pStyle w:val="TableParagraph"/>
              <w:spacing w:line="240" w:lineRule="auto" w:before="105"/>
              <w:ind w:left="238" w:right="0"/>
              <w:jc w:val="left"/>
              <w:rPr>
                <w:rFonts w:ascii="Times New Roman" w:hAnsi="Times New Roman" w:cs="Times New Roman" w:eastAsia="Times New Roman" w:hint="default"/>
                <w:sz w:val="18"/>
                <w:szCs w:val="18"/>
              </w:rPr>
            </w:pPr>
            <w:r>
              <w:rPr>
                <w:rFonts w:ascii="Times New Roman"/>
                <w:sz w:val="18"/>
              </w:rPr>
              <w:t>5.58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99,03</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8,589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614,3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91,33</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3.86</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center"/>
              <w:rPr>
                <w:rFonts w:ascii="Times New Roman" w:hAnsi="Times New Roman" w:cs="Times New Roman" w:eastAsia="Times New Roman" w:hint="default"/>
                <w:sz w:val="18"/>
                <w:szCs w:val="18"/>
              </w:rPr>
            </w:pPr>
            <w:r>
              <w:rPr>
                <w:rFonts w:ascii="Times New Roman"/>
                <w:sz w:val="18"/>
              </w:rPr>
              <w:t>-222,2</w:t>
            </w:r>
          </w:p>
          <w:p>
            <w:pPr>
              <w:pStyle w:val="TableParagraph"/>
              <w:spacing w:line="240" w:lineRule="auto" w:before="102"/>
              <w:ind w:left="189" w:right="0"/>
              <w:jc w:val="left"/>
              <w:rPr>
                <w:rFonts w:ascii="Times New Roman" w:hAnsi="Times New Roman" w:cs="Times New Roman" w:eastAsia="Times New Roman" w:hint="default"/>
                <w:sz w:val="18"/>
                <w:szCs w:val="18"/>
              </w:rPr>
            </w:pPr>
            <w:r>
              <w:rPr>
                <w:rFonts w:ascii="Times New Roman"/>
                <w:sz w:val="18"/>
              </w:rPr>
              <w:t>06,57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7.67</w:t>
            </w: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6" w:right="0"/>
              <w:jc w:val="left"/>
              <w:rPr>
                <w:rFonts w:ascii="Times New Roman" w:hAnsi="Times New Roman" w:cs="Times New Roman" w:eastAsia="Times New Roman" w:hint="default"/>
                <w:sz w:val="18"/>
                <w:szCs w:val="18"/>
              </w:rPr>
            </w:pPr>
            <w:r>
              <w:rPr>
                <w:rFonts w:ascii="Times New Roman"/>
                <w:sz w:val="18"/>
              </w:rPr>
              <w:t>899,4</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85,03</w:t>
            </w:r>
          </w:p>
          <w:p>
            <w:pPr>
              <w:pStyle w:val="TableParagraph"/>
              <w:spacing w:line="240" w:lineRule="auto" w:before="105"/>
              <w:ind w:left="238" w:right="0"/>
              <w:jc w:val="left"/>
              <w:rPr>
                <w:rFonts w:ascii="Times New Roman" w:hAnsi="Times New Roman" w:cs="Times New Roman" w:eastAsia="Times New Roman" w:hint="default"/>
                <w:sz w:val="18"/>
                <w:szCs w:val="18"/>
              </w:rPr>
            </w:pPr>
            <w:r>
              <w:rPr>
                <w:rFonts w:ascii="Times New Roman"/>
                <w:sz w:val="18"/>
              </w:rPr>
              <w:t>7.43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 w:right="0"/>
              <w:jc w:val="center"/>
              <w:rPr>
                <w:rFonts w:ascii="Times New Roman" w:hAnsi="Times New Roman" w:cs="Times New Roman" w:eastAsia="Times New Roman" w:hint="default"/>
                <w:sz w:val="18"/>
                <w:szCs w:val="18"/>
              </w:rPr>
            </w:pPr>
            <w:r>
              <w:rPr>
                <w:rFonts w:ascii="Times New Roman"/>
                <w:sz w:val="18"/>
              </w:rPr>
              <w:t>64,51</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4,862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 w:right="0"/>
              <w:jc w:val="left"/>
              <w:rPr>
                <w:rFonts w:ascii="Times New Roman" w:hAnsi="Times New Roman" w:cs="Times New Roman" w:eastAsia="Times New Roman" w:hint="default"/>
                <w:sz w:val="18"/>
                <w:szCs w:val="18"/>
              </w:rPr>
            </w:pPr>
            <w:r>
              <w:rPr>
                <w:rFonts w:ascii="Times New Roman"/>
                <w:sz w:val="18"/>
              </w:rPr>
              <w:t>741,7</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93,32</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2.37</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87,40</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8,226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87,40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8,226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.49</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24,97</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24,97</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62,43</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8,226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62,43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8,226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.49</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76,19</w:t>
            </w:r>
          </w:p>
          <w:p>
            <w:pPr>
              <w:pStyle w:val="TableParagraph"/>
              <w:spacing w:line="240" w:lineRule="auto" w:before="103"/>
              <w:ind w:left="43" w:right="0"/>
              <w:jc w:val="center"/>
              <w:rPr>
                <w:rFonts w:ascii="Times New Roman" w:hAnsi="Times New Roman" w:cs="Times New Roman" w:eastAsia="Times New Roman" w:hint="default"/>
                <w:sz w:val="18"/>
                <w:szCs w:val="18"/>
              </w:rPr>
            </w:pPr>
            <w:r>
              <w:rPr>
                <w:rFonts w:ascii="Times New Roman"/>
                <w:sz w:val="18"/>
              </w:rPr>
              <w:t>5,926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8" w:right="0"/>
              <w:jc w:val="left"/>
              <w:rPr>
                <w:rFonts w:ascii="Times New Roman" w:hAnsi="Times New Roman" w:cs="Times New Roman" w:eastAsia="Times New Roman" w:hint="default"/>
                <w:sz w:val="18"/>
                <w:szCs w:val="18"/>
              </w:rPr>
            </w:pPr>
            <w:r>
              <w:rPr>
                <w:rFonts w:ascii="Times New Roman"/>
                <w:sz w:val="18"/>
              </w:rPr>
              <w:t>-238,</w:t>
            </w:r>
          </w:p>
          <w:p>
            <w:pPr>
              <w:pStyle w:val="TableParagraph"/>
              <w:spacing w:line="240" w:lineRule="auto" w:before="103"/>
              <w:ind w:left="146" w:right="0"/>
              <w:jc w:val="left"/>
              <w:rPr>
                <w:rFonts w:ascii="Times New Roman" w:hAnsi="Times New Roman" w:cs="Times New Roman" w:eastAsia="Times New Roman" w:hint="default"/>
                <w:sz w:val="18"/>
                <w:szCs w:val="18"/>
              </w:rPr>
            </w:pPr>
            <w:r>
              <w:rPr>
                <w:rFonts w:ascii="Times New Roman"/>
                <w:sz w:val="18"/>
              </w:rPr>
              <w:t>121,6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41.85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3"/>
              <w:ind w:left="146" w:right="0"/>
              <w:jc w:val="left"/>
              <w:rPr>
                <w:rFonts w:ascii="Times New Roman" w:hAnsi="Times New Roman" w:cs="Times New Roman" w:eastAsia="Times New Roman" w:hint="default"/>
                <w:sz w:val="18"/>
                <w:szCs w:val="18"/>
              </w:rPr>
            </w:pPr>
            <w:r>
              <w:rPr>
                <w:rFonts w:ascii="Times New Roman"/>
                <w:sz w:val="18"/>
              </w:rPr>
              <w:t>84,50</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3"/>
              <w:ind w:left="141" w:right="0"/>
              <w:jc w:val="left"/>
              <w:rPr>
                <w:rFonts w:ascii="Times New Roman" w:hAnsi="Times New Roman" w:cs="Times New Roman" w:eastAsia="Times New Roman" w:hint="default"/>
                <w:sz w:val="18"/>
                <w:szCs w:val="18"/>
              </w:rPr>
            </w:pPr>
            <w:r>
              <w:rPr>
                <w:rFonts w:ascii="Times New Roman"/>
                <w:sz w:val="18"/>
              </w:rPr>
              <w:t>810,2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38"/>
        <w:gridCol w:w="689"/>
        <w:gridCol w:w="569"/>
        <w:gridCol w:w="425"/>
        <w:gridCol w:w="473"/>
        <w:gridCol w:w="802"/>
        <w:gridCol w:w="569"/>
        <w:gridCol w:w="708"/>
        <w:gridCol w:w="581"/>
        <w:gridCol w:w="665"/>
        <w:gridCol w:w="665"/>
        <w:gridCol w:w="665"/>
        <w:gridCol w:w="665"/>
        <w:gridCol w:w="660"/>
      </w:tblGrid>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76,19</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5,926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-76,1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95,92</w:t>
            </w:r>
          </w:p>
          <w:p>
            <w:pPr>
              <w:pStyle w:val="TableParagraph"/>
              <w:spacing w:line="240" w:lineRule="auto" w:before="105"/>
              <w:ind w:left="238" w:right="0"/>
              <w:jc w:val="left"/>
              <w:rPr>
                <w:rFonts w:ascii="Times New Roman" w:hAnsi="Times New Roman" w:cs="Times New Roman" w:eastAsia="Times New Roman" w:hint="default"/>
                <w:sz w:val="18"/>
                <w:szCs w:val="18"/>
              </w:rPr>
            </w:pPr>
            <w:r>
              <w:rPr>
                <w:rFonts w:ascii="Times New Roman"/>
                <w:sz w:val="18"/>
              </w:rPr>
              <w:t>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925,7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84,50</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810,2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809,6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28,57</w:t>
            </w:r>
          </w:p>
          <w:p>
            <w:pPr>
              <w:pStyle w:val="TableParagraph"/>
              <w:spacing w:line="240" w:lineRule="auto" w:before="105"/>
              <w:ind w:left="263" w:right="0"/>
              <w:jc w:val="left"/>
              <w:rPr>
                <w:rFonts w:ascii="Times New Roman" w:hAnsi="Times New Roman" w:cs="Times New Roman" w:eastAsia="Times New Roman" w:hint="default"/>
                <w:sz w:val="18"/>
                <w:szCs w:val="18"/>
              </w:rPr>
            </w:pPr>
            <w:r>
              <w:rPr>
                <w:rFonts w:ascii="Times New Roman"/>
                <w:sz w:val="18"/>
              </w:rPr>
              <w:t>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-809,62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8,575.0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809,6</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28,57</w:t>
            </w:r>
          </w:p>
          <w:p>
            <w:pPr>
              <w:pStyle w:val="TableParagraph"/>
              <w:spacing w:line="240" w:lineRule="auto" w:before="105"/>
              <w:ind w:left="263" w:right="0"/>
              <w:jc w:val="left"/>
              <w:rPr>
                <w:rFonts w:ascii="Times New Roman" w:hAnsi="Times New Roman" w:cs="Times New Roman" w:eastAsia="Times New Roman" w:hint="default"/>
                <w:sz w:val="18"/>
                <w:szCs w:val="18"/>
              </w:rPr>
            </w:pPr>
            <w:r>
              <w:rPr>
                <w:rFonts w:ascii="Times New Roman"/>
                <w:sz w:val="18"/>
              </w:rPr>
              <w:t>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-809,62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8,575.0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885,7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2,298,1</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25,819.</w:t>
            </w:r>
          </w:p>
          <w:p>
            <w:pPr>
              <w:pStyle w:val="TableParagraph"/>
              <w:spacing w:line="240" w:lineRule="auto" w:before="105"/>
              <w:ind w:left="511" w:right="0"/>
              <w:jc w:val="left"/>
              <w:rPr>
                <w:rFonts w:ascii="Times New Roman" w:hAnsi="Times New Roman" w:cs="Times New Roman" w:eastAsia="Times New Roman" w:hint="default"/>
                <w:sz w:val="18"/>
                <w:szCs w:val="18"/>
              </w:rPr>
            </w:pPr>
            <w:r>
              <w:rPr>
                <w:rFonts w:ascii="Times New Roman"/>
                <w:sz w:val="18"/>
              </w:rPr>
              <w:t>56</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-92,84</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6,447.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w:t>
            </w:r>
          </w:p>
        </w:tc>
        <w:tc>
          <w:tcPr>
            <w:tcW w:w="5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615,0</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79,48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3.51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3,641</w:t>
            </w:r>
          </w:p>
          <w:p>
            <w:pPr>
              <w:pStyle w:val="TableParagraph"/>
              <w:spacing w:line="240" w:lineRule="auto" w:before="102"/>
              <w:ind w:left="192" w:right="0"/>
              <w:jc w:val="left"/>
              <w:rPr>
                <w:rFonts w:ascii="Times New Roman" w:hAnsi="Times New Roman" w:cs="Times New Roman" w:eastAsia="Times New Roman" w:hint="default"/>
                <w:sz w:val="18"/>
                <w:szCs w:val="18"/>
              </w:rPr>
            </w:pPr>
            <w:r>
              <w:rPr>
                <w:rFonts w:ascii="Times New Roman"/>
                <w:sz w:val="18"/>
              </w:rPr>
              <w:t>,664,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593,3</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29,83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9,484</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Times New Roman" w:hAnsi="Times New Roman" w:cs="Times New Roman" w:eastAsia="Times New Roman" w:hint="default"/>
          <w:sz w:val="23"/>
          <w:szCs w:val="23"/>
        </w:rPr>
      </w:pPr>
    </w:p>
    <w:p>
      <w:pPr>
        <w:pStyle w:val="BodyText"/>
        <w:tabs>
          <w:tab w:pos="3578" w:val="left" w:leader="none"/>
          <w:tab w:pos="7721" w:val="left" w:leader="none"/>
        </w:tabs>
        <w:spacing w:line="360" w:lineRule="auto" w:before="44"/>
        <w:ind w:right="243"/>
        <w:jc w:val="left"/>
      </w:pPr>
      <w:r>
        <w:rPr/>
        <w:t>法定代表人：黄跃珍</w:t>
        <w:tab/>
      </w:r>
      <w:r>
        <w:rPr>
          <w:spacing w:val="-1"/>
        </w:rPr>
        <w:t>主管会计工作负责人：蒋春晨</w:t>
        <w:tab/>
      </w:r>
      <w:r>
        <w:rPr/>
        <w:t>会计机构负责人：惠小绒</w:t>
      </w:r>
      <w:r>
        <w:rPr/>
        <w:t> 上期金额</w:t>
      </w:r>
    </w:p>
    <w:p>
      <w:pPr>
        <w:pStyle w:val="BodyText"/>
        <w:spacing w:line="240" w:lineRule="auto" w:before="2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8"/>
          <w:pgSz w:w="11910" w:h="16840"/>
          <w:pgMar w:footer="979" w:header="8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896,68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180,967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,133.03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1,435,6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469,973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,701.88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92,356.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253,256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,792.24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10,362.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896,68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180,967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,133.03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1,435,6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469,973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,701.88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2,960,8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92,356.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253,256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,792.24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10,362.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722,57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127,924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,518.39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854.78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19,408,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953.47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241,034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,457.94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11</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127,924</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,518.39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843,972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,144.65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47,683,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305.43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79,968.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182,82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208,411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,152.51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18,414.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182,82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09,764.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-27,209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,387.31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20,377.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-5,922,5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235,620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,539.82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229,698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,036.45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68,909,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854.78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-284,81</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0,808.1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-15,060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68,909,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854.78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-68,909,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854.78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979" w:header="880" w:top="1100" w:bottom="1160" w:left="980" w:right="98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0,953.4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-15,060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539,75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-539,75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2,383.0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539,75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-539,75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2,383.0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257,15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54,394.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129,360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,130.26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538,883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,556.66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01,309.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494,291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,250.18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2"/>
        <w:rPr>
          <w:rFonts w:ascii="Times New Roman" w:hAnsi="Times New Roman" w:cs="Times New Roman" w:eastAsia="Times New Roman" w:hint="default"/>
          <w:sz w:val="23"/>
          <w:szCs w:val="23"/>
        </w:rPr>
      </w:pPr>
    </w:p>
    <w:p>
      <w:pPr>
        <w:pStyle w:val="BodyText"/>
        <w:tabs>
          <w:tab w:pos="3578" w:val="left" w:leader="none"/>
          <w:tab w:pos="7721" w:val="left" w:leader="none"/>
        </w:tabs>
        <w:spacing w:line="240" w:lineRule="auto" w:before="44"/>
        <w:ind w:right="0"/>
        <w:jc w:val="left"/>
      </w:pPr>
      <w:r>
        <w:rPr/>
        <w:t>法定代表人：黄跃珍</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4"/>
        <w:spacing w:line="240" w:lineRule="auto" w:before="124"/>
        <w:ind w:right="0"/>
        <w:jc w:val="left"/>
        <w:rPr>
          <w:b w:val="0"/>
          <w:bCs w:val="0"/>
        </w:rPr>
      </w:pPr>
      <w:r>
        <w:rPr>
          <w:rFonts w:ascii="Times New Roman" w:hAnsi="Times New Roman" w:cs="Times New Roman" w:eastAsia="Times New Roman" w:hint="default"/>
          <w:sz w:val="18"/>
          <w:szCs w:val="18"/>
        </w:rPr>
        <w:t>8</w:t>
      </w:r>
      <w:r>
        <w:rPr/>
        <w:t>、母公司所有者权益变动表</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398"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4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1,619,25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7,150.00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3,114,162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,389.30</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43.55</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538,883,5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56.66</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pacing w:val="-1"/>
                <w:sz w:val="18"/>
              </w:rPr>
              <w:t>2,456,8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65,002.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7,853,392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,141.83</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1,619,25</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7,150.00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3,114,162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,389.30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538,883,5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65,002.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7,853,392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,141.83</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575.00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-214,227,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795.92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523,837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385,805,7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57.62</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-214,227,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795.92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761,959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547,731,4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72.62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1,641.8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-161,925,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715.00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-76,195,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926.85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5,715.0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-161,925,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715.00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575.00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575.00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2,428,88</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5,725.00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2,304,533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,814.30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-90,003,7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52.37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615,079,4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83.51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02,629.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8,239,197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,899.45</w:t>
            </w:r>
          </w:p>
        </w:tc>
      </w:tr>
    </w:tbl>
    <w:p>
      <w:pPr>
        <w:spacing w:line="240" w:lineRule="auto" w:before="2"/>
        <w:rPr>
          <w:rFonts w:ascii="Times New Roman" w:hAnsi="Times New Roman" w:cs="Times New Roman" w:eastAsia="Times New Roman" w:hint="default"/>
          <w:sz w:val="23"/>
          <w:szCs w:val="23"/>
        </w:rPr>
      </w:pPr>
    </w:p>
    <w:p>
      <w:pPr>
        <w:pStyle w:val="BodyText"/>
        <w:tabs>
          <w:tab w:pos="3578" w:val="left" w:leader="none"/>
          <w:tab w:pos="7721" w:val="left" w:leader="none"/>
        </w:tabs>
        <w:spacing w:line="360" w:lineRule="auto" w:before="44"/>
        <w:ind w:right="242"/>
        <w:jc w:val="left"/>
      </w:pPr>
      <w:r>
        <w:rPr/>
        <w:t>法定代表人：黄跃珍</w:t>
        <w:tab/>
      </w:r>
      <w:r>
        <w:rPr>
          <w:spacing w:val="-1"/>
        </w:rPr>
        <w:t>主管会计工作负责人：蒋春晨</w:t>
        <w:tab/>
      </w:r>
      <w:r>
        <w:rPr/>
        <w:t>会计机构负责人：惠小绒</w:t>
      </w:r>
      <w:r>
        <w:rPr/>
        <w:t> 上期金额</w:t>
      </w:r>
    </w:p>
    <w:p>
      <w:pPr>
        <w:pStyle w:val="BodyText"/>
        <w:spacing w:line="240" w:lineRule="auto" w:before="25"/>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896,684,</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767.00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181,452,6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24.40</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469,973,7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01.88</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2,592,3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29,645.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4,140,440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,739.02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896,684,</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767.00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181,452,6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24.40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469,973,7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01.88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29,645.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4,140,440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,739.02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722,572,</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383.00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2,932,709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68,909,85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4,643.4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3,712,951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,402.81</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689,098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,547.76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813,322,5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91.31</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182,820,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2,932,709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3,115,529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,764.90</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182,820,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2,932,709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,764.90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3,115,529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,764.90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68,909,85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4.78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0,808.1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-215,900,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953.40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68,909,85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-68,909,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854.78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97"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0,953.4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-215,900,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953.40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539,752,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383.00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-539,75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2,383.0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539,752,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383.00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-539,75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2,383.0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1,619,25</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7,150.00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3,114,162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,389.30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538,883,5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65,002.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7,853,392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,141.83</w:t>
            </w:r>
          </w:p>
        </w:tc>
      </w:tr>
    </w:tbl>
    <w:p>
      <w:pPr>
        <w:spacing w:line="240" w:lineRule="auto" w:before="4"/>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both"/>
      </w:pPr>
      <w:r>
        <w:rPr/>
        <w:t>法定代表人：黄跃珍</w:t>
        <w:tab/>
      </w:r>
      <w:r>
        <w:rPr>
          <w:spacing w:val="-1"/>
        </w:rPr>
        <w:t>主管会计工作负责人：蒋春晨</w:t>
        <w:tab/>
      </w:r>
      <w:r>
        <w:rPr/>
        <w:t>会计机构负责人：惠小绒</w:t>
      </w:r>
    </w:p>
    <w:p>
      <w:pPr>
        <w:pStyle w:val="Heading2"/>
        <w:spacing w:line="240" w:lineRule="auto" w:before="143"/>
        <w:ind w:right="0"/>
        <w:jc w:val="both"/>
        <w:rPr>
          <w:b w:val="0"/>
          <w:bCs w:val="0"/>
        </w:rPr>
      </w:pPr>
      <w:r>
        <w:rPr/>
        <w:t>三、公司基本情况</w:t>
      </w:r>
      <w:r>
        <w:rPr>
          <w:b w:val="0"/>
          <w:bCs w:val="0"/>
        </w:rPr>
      </w:r>
    </w:p>
    <w:p>
      <w:pPr>
        <w:pStyle w:val="Heading3"/>
        <w:spacing w:line="338" w:lineRule="auto" w:before="102"/>
        <w:ind w:left="578" w:right="0"/>
        <w:jc w:val="left"/>
      </w:pPr>
      <w:r>
        <w:rPr>
          <w:rFonts w:ascii="宋体" w:hAnsi="宋体" w:cs="宋体" w:eastAsia="宋体" w:hint="default"/>
          <w:b/>
          <w:bCs/>
        </w:rPr>
        <w:t>1</w:t>
      </w:r>
      <w:r>
        <w:rPr>
          <w:rFonts w:ascii="宋体" w:hAnsi="宋体" w:cs="宋体" w:eastAsia="宋体" w:hint="default"/>
          <w:b/>
          <w:bCs/>
        </w:rPr>
        <w:t>、公司概况</w:t>
      </w:r>
      <w:r>
        <w:rPr>
          <w:rFonts w:ascii="宋体" w:hAnsi="宋体" w:cs="宋体" w:eastAsia="宋体" w:hint="default"/>
          <w:b/>
          <w:bCs/>
          <w:w w:val="100"/>
        </w:rPr>
        <w:t> </w:t>
      </w:r>
      <w:r>
        <w:rPr>
          <w:spacing w:val="-2"/>
        </w:rPr>
        <w:t>广州广电运通金融电子股份有限公司</w:t>
      </w:r>
      <w:r>
        <w:rPr>
          <w:rFonts w:ascii="宋体" w:hAnsi="宋体" w:cs="宋体" w:eastAsia="宋体" w:hint="default"/>
          <w:spacing w:val="-2"/>
        </w:rPr>
        <w:t>(</w:t>
      </w:r>
      <w:r>
        <w:rPr>
          <w:spacing w:val="-2"/>
        </w:rPr>
        <w:t>以下简称“本公司或公司”</w:t>
      </w:r>
      <w:r>
        <w:rPr>
          <w:rFonts w:ascii="宋体" w:hAnsi="宋体" w:cs="宋体" w:eastAsia="宋体" w:hint="default"/>
          <w:spacing w:val="-2"/>
        </w:rPr>
        <w:t>)</w:t>
      </w:r>
      <w:r>
        <w:rPr>
          <w:spacing w:val="-2"/>
        </w:rPr>
        <w:t>前身系广州广电运通金融电子有限</w:t>
      </w:r>
    </w:p>
    <w:p>
      <w:pPr>
        <w:pStyle w:val="Heading3"/>
        <w:spacing w:line="408" w:lineRule="auto" w:before="107"/>
        <w:ind w:right="146"/>
        <w:jc w:val="both"/>
      </w:pPr>
      <w:r>
        <w:rPr/>
        <w:t>公司，成立于</w:t>
      </w: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8</w:t>
      </w:r>
      <w:r>
        <w:rPr/>
        <w:t>日，</w:t>
      </w:r>
      <w:r>
        <w:rPr>
          <w:rFonts w:ascii="宋体" w:hAnsi="宋体" w:cs="宋体" w:eastAsia="宋体" w:hint="default"/>
        </w:rPr>
        <w:t>2005</w:t>
      </w:r>
      <w:r>
        <w:rPr/>
        <w:t>年</w:t>
      </w:r>
      <w:r>
        <w:rPr>
          <w:rFonts w:ascii="宋体" w:hAnsi="宋体" w:cs="宋体" w:eastAsia="宋体" w:hint="default"/>
        </w:rPr>
        <w:t>10</w:t>
      </w:r>
      <w:r>
        <w:rPr/>
        <w:t>月经广州市人民政府办公厅穗府办函</w:t>
      </w:r>
      <w:r>
        <w:rPr>
          <w:rFonts w:ascii="宋体" w:hAnsi="宋体" w:cs="宋体" w:eastAsia="宋体" w:hint="default"/>
        </w:rPr>
        <w:t>[2005]161</w:t>
      </w:r>
      <w:r>
        <w:rPr/>
        <w:t>号文批准，广州市</w:t>
      </w:r>
      <w:r>
        <w:rPr>
          <w:spacing w:val="-29"/>
        </w:rPr>
        <w:t> </w:t>
      </w:r>
      <w:r>
        <w:rPr>
          <w:spacing w:val="-29"/>
        </w:rPr>
      </w:r>
      <w:r>
        <w:rPr/>
        <w:t>经济贸易委员会穗经贸函</w:t>
      </w:r>
      <w:r>
        <w:rPr>
          <w:rFonts w:ascii="宋体" w:hAnsi="宋体" w:cs="宋体" w:eastAsia="宋体" w:hint="default"/>
        </w:rPr>
        <w:t>[2005]492</w:t>
      </w:r>
      <w:r>
        <w:rPr/>
        <w:t>号文批复，由广州无线电集团有限公司、深圳市德通投资有限公司、</w:t>
      </w:r>
      <w:r>
        <w:rPr>
          <w:spacing w:val="-26"/>
        </w:rPr>
        <w:t> </w:t>
      </w:r>
      <w:r>
        <w:rPr>
          <w:spacing w:val="-26"/>
        </w:rPr>
      </w:r>
      <w:r>
        <w:rPr>
          <w:spacing w:val="-2"/>
        </w:rPr>
        <w:t>盈富泰克创业投资有限公司、梅州敬基金属制品有限公司、广州藤川科技有限公司作为发起人，以发起设</w:t>
      </w:r>
    </w:p>
    <w:p>
      <w:pPr>
        <w:spacing w:after="0" w:line="408" w:lineRule="auto"/>
        <w:jc w:val="both"/>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08" w:lineRule="auto" w:before="36"/>
        <w:ind w:right="148"/>
        <w:jc w:val="both"/>
      </w:pPr>
      <w:r>
        <w:rPr>
          <w:spacing w:val="2"/>
        </w:rPr>
        <w:t>立方式将广州广电运通金融电子有限公司整体变更为广州广电运通金融电子股份有限公司。注册资本为</w:t>
      </w:r>
      <w:r>
        <w:rPr>
          <w:spacing w:val="-30"/>
        </w:rPr>
        <w:t> </w:t>
      </w:r>
      <w:r>
        <w:rPr>
          <w:spacing w:val="-30"/>
        </w:rPr>
      </w:r>
      <w:r>
        <w:rPr>
          <w:rFonts w:ascii="宋体" w:hAnsi="宋体" w:cs="宋体" w:eastAsia="宋体" w:hint="default"/>
          <w:spacing w:val="-2"/>
        </w:rPr>
        <w:t>106,559,010.00</w:t>
      </w:r>
      <w:r>
        <w:rPr>
          <w:spacing w:val="-2"/>
        </w:rPr>
        <w:t>元，于</w:t>
      </w:r>
      <w:r>
        <w:rPr>
          <w:rFonts w:ascii="宋体" w:hAnsi="宋体" w:cs="宋体" w:eastAsia="宋体" w:hint="default"/>
          <w:spacing w:val="-2"/>
        </w:rPr>
        <w:t>2005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日取得广州市工商行政管理局核发的变更后的企业法人营业执照，注</w:t>
      </w:r>
      <w:r>
        <w:rPr>
          <w:spacing w:val="-27"/>
        </w:rPr>
        <w:t> </w:t>
      </w:r>
      <w:r>
        <w:rPr>
          <w:spacing w:val="-27"/>
        </w:rPr>
      </w:r>
      <w:r>
        <w:rPr/>
        <w:t>册号为：</w:t>
      </w:r>
      <w:r>
        <w:rPr>
          <w:rFonts w:ascii="宋体" w:hAnsi="宋体" w:cs="宋体" w:eastAsia="宋体" w:hint="default"/>
        </w:rPr>
        <w:t>4401011103795</w:t>
      </w:r>
      <w:r>
        <w:rPr/>
        <w:t>。</w:t>
      </w:r>
    </w:p>
    <w:p>
      <w:pPr>
        <w:pStyle w:val="Heading3"/>
        <w:spacing w:line="408" w:lineRule="auto" w:before="46"/>
        <w:ind w:right="146" w:firstLine="425"/>
        <w:jc w:val="both"/>
      </w:pPr>
      <w:r>
        <w:rPr>
          <w:rFonts w:ascii="宋体" w:hAnsi="宋体" w:cs="宋体" w:eastAsia="宋体" w:hint="default"/>
        </w:rPr>
        <w:t>2006</w:t>
      </w:r>
      <w:r>
        <w:rPr/>
        <w:t>年</w:t>
      </w:r>
      <w:r>
        <w:rPr>
          <w:rFonts w:ascii="宋体" w:hAnsi="宋体" w:cs="宋体" w:eastAsia="宋体" w:hint="default"/>
        </w:rPr>
        <w:t>12</w:t>
      </w:r>
      <w:r>
        <w:rPr/>
        <w:t>月，经本公司股东大会审议通过，股东盈富泰克创业投资有限公司将持有本公司</w:t>
      </w:r>
      <w:r>
        <w:rPr>
          <w:rFonts w:ascii="宋体" w:hAnsi="宋体" w:cs="宋体" w:eastAsia="宋体" w:hint="default"/>
        </w:rPr>
        <w:t>10.657%</w:t>
      </w:r>
      <w:r>
        <w:rPr/>
        <w:t>股</w:t>
      </w:r>
      <w:r>
        <w:rPr>
          <w:w w:val="100"/>
        </w:rPr>
        <w:t> </w:t>
      </w:r>
      <w:r>
        <w:rPr/>
        <w:t>权中的</w:t>
      </w:r>
      <w:r>
        <w:rPr>
          <w:rFonts w:ascii="宋体" w:hAnsi="宋体" w:cs="宋体" w:eastAsia="宋体" w:hint="default"/>
        </w:rPr>
        <w:t>5.026%</w:t>
      </w:r>
      <w:r>
        <w:rPr/>
        <w:t>转让给股东广州无线电集团有限公司，股东深圳市德通投资有限公司将持有本公司</w:t>
      </w:r>
      <w:r>
        <w:rPr>
          <w:rFonts w:ascii="宋体" w:hAnsi="宋体" w:cs="宋体" w:eastAsia="宋体" w:hint="default"/>
        </w:rPr>
        <w:t>17.762%</w:t>
      </w:r>
      <w:r>
        <w:rPr>
          <w:rFonts w:ascii="宋体" w:hAnsi="宋体" w:cs="宋体" w:eastAsia="宋体" w:hint="default"/>
          <w:spacing w:val="-26"/>
        </w:rPr>
        <w:t> </w:t>
      </w:r>
      <w:r>
        <w:rPr>
          <w:rFonts w:ascii="宋体" w:hAnsi="宋体" w:cs="宋体" w:eastAsia="宋体" w:hint="default"/>
          <w:spacing w:val="-26"/>
        </w:rPr>
      </w:r>
      <w:r>
        <w:rPr/>
        <w:t>的股权全部转让给自然人股东叶子瑜等</w:t>
      </w:r>
      <w:r>
        <w:rPr>
          <w:rFonts w:ascii="宋体" w:hAnsi="宋体" w:cs="宋体" w:eastAsia="宋体" w:hint="default"/>
        </w:rPr>
        <w:t>48</w:t>
      </w:r>
      <w:r>
        <w:rPr/>
        <w:t>人。</w:t>
      </w:r>
    </w:p>
    <w:p>
      <w:pPr>
        <w:pStyle w:val="Heading3"/>
        <w:spacing w:line="408" w:lineRule="auto" w:before="46"/>
        <w:ind w:right="149" w:firstLine="425"/>
        <w:jc w:val="both"/>
      </w:pPr>
      <w:r>
        <w:rPr/>
        <w:t>经中国证券监督管理委员会证监发行字</w:t>
      </w:r>
      <w:r>
        <w:rPr>
          <w:rFonts w:ascii="宋体" w:hAnsi="宋体" w:cs="宋体" w:eastAsia="宋体" w:hint="default"/>
        </w:rPr>
        <w:t>[2007]188</w:t>
      </w:r>
      <w:r>
        <w:rPr/>
        <w:t>号《关于核准广州广电运通金融电子股份有限公司</w:t>
      </w:r>
      <w:r>
        <w:rPr>
          <w:w w:val="100"/>
        </w:rPr>
        <w:t> </w:t>
      </w:r>
      <w:r>
        <w:rPr/>
        <w:t>首次公开发行股票的通知》核准，本公司获准向社会公开发行人民币普通股（</w:t>
      </w:r>
      <w:r>
        <w:rPr>
          <w:rFonts w:ascii="宋体" w:hAnsi="宋体" w:cs="宋体" w:eastAsia="宋体" w:hint="default"/>
        </w:rPr>
        <w:t>A</w:t>
      </w:r>
      <w:r>
        <w:rPr/>
        <w:t>股）</w:t>
      </w:r>
      <w:r>
        <w:rPr>
          <w:rFonts w:ascii="宋体" w:hAnsi="宋体" w:cs="宋体" w:eastAsia="宋体" w:hint="default"/>
        </w:rPr>
        <w:t>3600</w:t>
      </w:r>
      <w:r>
        <w:rPr/>
        <w:t>万股。并于</w:t>
      </w:r>
      <w:r>
        <w:rPr>
          <w:rFonts w:ascii="宋体" w:hAnsi="宋体" w:cs="宋体" w:eastAsia="宋体" w:hint="default"/>
        </w:rPr>
        <w:t>2007</w:t>
      </w:r>
      <w:r>
        <w:rPr>
          <w:rFonts w:ascii="宋体" w:hAnsi="宋体" w:cs="宋体" w:eastAsia="宋体" w:hint="default"/>
          <w:spacing w:val="-28"/>
        </w:rPr>
        <w:t> </w:t>
      </w:r>
      <w:r>
        <w:rPr>
          <w:rFonts w:ascii="宋体" w:hAnsi="宋体" w:cs="宋体" w:eastAsia="宋体" w:hint="default"/>
          <w:spacing w:val="-28"/>
        </w:rPr>
      </w:r>
      <w:r>
        <w:rPr/>
        <w:t>年</w:t>
      </w:r>
      <w:r>
        <w:rPr>
          <w:spacing w:val="-77"/>
        </w:rPr>
        <w:t> </w:t>
      </w:r>
      <w:r>
        <w:rPr>
          <w:rFonts w:ascii="宋体" w:hAnsi="宋体" w:cs="宋体" w:eastAsia="宋体" w:hint="default"/>
        </w:rPr>
        <w:t>8</w:t>
      </w:r>
      <w:r>
        <w:rPr>
          <w:rFonts w:ascii="宋体" w:hAnsi="宋体" w:cs="宋体" w:eastAsia="宋体" w:hint="default"/>
          <w:spacing w:val="-77"/>
        </w:rPr>
        <w:t> </w:t>
      </w:r>
      <w:r>
        <w:rPr/>
        <w:t>月</w:t>
      </w:r>
      <w:r>
        <w:rPr>
          <w:spacing w:val="-79"/>
        </w:rPr>
        <w:t> </w:t>
      </w:r>
      <w:r>
        <w:rPr>
          <w:rFonts w:ascii="宋体" w:hAnsi="宋体" w:cs="宋体" w:eastAsia="宋体" w:hint="default"/>
        </w:rPr>
        <w:t>13</w:t>
      </w:r>
      <w:r>
        <w:rPr>
          <w:rFonts w:ascii="宋体" w:hAnsi="宋体" w:cs="宋体" w:eastAsia="宋体" w:hint="default"/>
          <w:spacing w:val="-77"/>
        </w:rPr>
        <w:t> </w:t>
      </w:r>
      <w:r>
        <w:rPr>
          <w:spacing w:val="11"/>
        </w:rPr>
        <w:t>日在</w:t>
      </w:r>
      <w:r>
        <w:rPr>
          <w:spacing w:val="-77"/>
        </w:rPr>
        <w:t> </w:t>
      </w:r>
      <w:r>
        <w:rPr>
          <w:spacing w:val="11"/>
        </w:rPr>
        <w:t>深圳</w:t>
      </w:r>
      <w:r>
        <w:rPr>
          <w:spacing w:val="-77"/>
        </w:rPr>
        <w:t> </w:t>
      </w:r>
      <w:r>
        <w:rPr>
          <w:spacing w:val="14"/>
        </w:rPr>
        <w:t>证券交</w:t>
      </w:r>
      <w:r>
        <w:rPr>
          <w:spacing w:val="-77"/>
        </w:rPr>
        <w:t> </w:t>
      </w:r>
      <w:r>
        <w:rPr>
          <w:spacing w:val="11"/>
        </w:rPr>
        <w:t>易所</w:t>
      </w:r>
      <w:r>
        <w:rPr>
          <w:spacing w:val="-77"/>
        </w:rPr>
        <w:t> </w:t>
      </w:r>
      <w:r>
        <w:rPr>
          <w:spacing w:val="11"/>
        </w:rPr>
        <w:t>挂牌</w:t>
      </w:r>
      <w:r>
        <w:rPr>
          <w:spacing w:val="-77"/>
        </w:rPr>
        <w:t> </w:t>
      </w:r>
      <w:r>
        <w:rPr>
          <w:spacing w:val="11"/>
        </w:rPr>
        <w:t>交易</w:t>
      </w:r>
      <w:r>
        <w:rPr>
          <w:spacing w:val="-77"/>
        </w:rPr>
        <w:t> </w:t>
      </w:r>
      <w:r>
        <w:rPr/>
        <w:t>，</w:t>
      </w:r>
      <w:r>
        <w:rPr>
          <w:spacing w:val="-80"/>
        </w:rPr>
        <w:t> </w:t>
      </w:r>
      <w:r>
        <w:rPr/>
        <w:t>发</w:t>
      </w:r>
      <w:r>
        <w:rPr>
          <w:spacing w:val="-77"/>
        </w:rPr>
        <w:t> </w:t>
      </w:r>
      <w:r>
        <w:rPr>
          <w:spacing w:val="11"/>
        </w:rPr>
        <w:t>行上</w:t>
      </w:r>
      <w:r>
        <w:rPr>
          <w:spacing w:val="-77"/>
        </w:rPr>
        <w:t> </w:t>
      </w:r>
      <w:r>
        <w:rPr>
          <w:spacing w:val="11"/>
        </w:rPr>
        <w:t>市后</w:t>
      </w:r>
      <w:r>
        <w:rPr>
          <w:spacing w:val="-77"/>
        </w:rPr>
        <w:t> </w:t>
      </w:r>
      <w:r>
        <w:rPr>
          <w:spacing w:val="11"/>
        </w:rPr>
        <w:t>注册</w:t>
      </w:r>
      <w:r>
        <w:rPr>
          <w:spacing w:val="-77"/>
        </w:rPr>
        <w:t> </w:t>
      </w:r>
      <w:r>
        <w:rPr>
          <w:spacing w:val="11"/>
        </w:rPr>
        <w:t>资本</w:t>
      </w:r>
      <w:r>
        <w:rPr>
          <w:spacing w:val="-77"/>
        </w:rPr>
        <w:t> </w:t>
      </w:r>
      <w:r>
        <w:rPr>
          <w:spacing w:val="11"/>
        </w:rPr>
        <w:t>由人</w:t>
      </w:r>
      <w:r>
        <w:rPr>
          <w:spacing w:val="-77"/>
        </w:rPr>
        <w:t> </w:t>
      </w:r>
      <w:r>
        <w:rPr>
          <w:spacing w:val="11"/>
        </w:rPr>
        <w:t>民币</w:t>
      </w:r>
      <w:r>
        <w:rPr>
          <w:spacing w:val="-71"/>
        </w:rPr>
        <w:t> </w:t>
      </w:r>
      <w:r>
        <w:rPr>
          <w:rFonts w:ascii="宋体" w:hAnsi="宋体" w:cs="宋体" w:eastAsia="宋体" w:hint="default"/>
        </w:rPr>
        <w:t>106,559,010.00</w:t>
      </w:r>
      <w:r>
        <w:rPr>
          <w:rFonts w:ascii="宋体" w:hAnsi="宋体" w:cs="宋体" w:eastAsia="宋体" w:hint="default"/>
          <w:spacing w:val="-77"/>
        </w:rPr>
        <w:t> </w:t>
      </w:r>
      <w:r>
        <w:rPr>
          <w:spacing w:val="11"/>
        </w:rPr>
        <w:t>元增</w:t>
      </w:r>
      <w:r>
        <w:rPr>
          <w:spacing w:val="-77"/>
        </w:rPr>
        <w:t> </w:t>
      </w:r>
      <w:r>
        <w:rPr>
          <w:spacing w:val="11"/>
        </w:rPr>
        <w:t>加至</w:t>
      </w:r>
      <w:r>
        <w:rPr>
          <w:spacing w:val="-103"/>
        </w:rPr>
        <w:t> </w:t>
      </w:r>
      <w:r>
        <w:rPr>
          <w:spacing w:val="-103"/>
        </w:rPr>
      </w:r>
      <w:r>
        <w:rPr>
          <w:rFonts w:ascii="宋体" w:hAnsi="宋体" w:cs="宋体" w:eastAsia="宋体" w:hint="default"/>
        </w:rPr>
        <w:t>142,559,010.00</w:t>
      </w:r>
      <w:r>
        <w:rPr/>
        <w:t>元。证券简称为“广电运通”，证券代码为“</w:t>
      </w:r>
      <w:r>
        <w:rPr>
          <w:rFonts w:ascii="宋体" w:hAnsi="宋体" w:cs="宋体" w:eastAsia="宋体" w:hint="default"/>
        </w:rPr>
        <w:t>002152</w:t>
      </w:r>
      <w:r>
        <w:rPr/>
        <w:t>”，所属行业为通用设备制造业。</w:t>
      </w:r>
    </w:p>
    <w:p>
      <w:pPr>
        <w:pStyle w:val="Heading3"/>
        <w:spacing w:line="408" w:lineRule="auto" w:before="46"/>
        <w:ind w:right="151" w:firstLine="425"/>
        <w:jc w:val="both"/>
      </w:pPr>
      <w:r>
        <w:rPr/>
        <w:t>经本公司第一届董事会第十五次会议、</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18</w:t>
      </w:r>
      <w:r>
        <w:rPr/>
        <w:t>日股东大会决议通过，本公司以</w:t>
      </w:r>
      <w:r>
        <w:rPr>
          <w:rFonts w:ascii="宋体" w:hAnsi="宋体" w:cs="宋体" w:eastAsia="宋体" w:hint="default"/>
        </w:rPr>
        <w:t>2007</w:t>
      </w:r>
      <w:r>
        <w:rPr/>
        <w:t>年末总股本</w:t>
      </w:r>
      <w:r>
        <w:rPr>
          <w:w w:val="100"/>
        </w:rPr>
        <w:t> </w:t>
      </w:r>
      <w:r>
        <w:rPr/>
        <w:t>为基数，以资本公积向全体股东每</w:t>
      </w:r>
      <w:r>
        <w:rPr>
          <w:rFonts w:ascii="宋体" w:hAnsi="宋体" w:cs="宋体" w:eastAsia="宋体" w:hint="default"/>
        </w:rPr>
        <w:t>10</w:t>
      </w:r>
      <w:r>
        <w:rPr/>
        <w:t>股转增</w:t>
      </w:r>
      <w:r>
        <w:rPr>
          <w:rFonts w:ascii="宋体" w:hAnsi="宋体" w:cs="宋体" w:eastAsia="宋体" w:hint="default"/>
        </w:rPr>
        <w:t>10</w:t>
      </w:r>
      <w:r>
        <w:rPr/>
        <w:t>股股本。</w:t>
      </w:r>
    </w:p>
    <w:p>
      <w:pPr>
        <w:pStyle w:val="Heading3"/>
        <w:spacing w:line="386" w:lineRule="auto" w:before="46"/>
        <w:ind w:right="151" w:firstLine="425"/>
        <w:jc w:val="both"/>
      </w:pPr>
      <w:r>
        <w:rPr/>
        <w:t>经本公司第二届董事会第二次会议、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日股东大会决议通过，本公司以</w:t>
      </w:r>
      <w:r>
        <w:rPr>
          <w:rFonts w:ascii="Times New Roman" w:hAnsi="Times New Roman" w:cs="Times New Roman" w:eastAsia="Times New Roman" w:hint="default"/>
        </w:rPr>
        <w:t>2008</w:t>
      </w:r>
      <w:r>
        <w:rPr/>
        <w:t>年末总股本为</w:t>
      </w:r>
      <w:r>
        <w:rPr>
          <w:w w:val="100"/>
        </w:rPr>
        <w:t> </w:t>
      </w:r>
      <w:r>
        <w:rPr/>
        <w:t>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股股本。</w:t>
      </w:r>
    </w:p>
    <w:p>
      <w:pPr>
        <w:pStyle w:val="Heading3"/>
        <w:spacing w:line="386" w:lineRule="auto" w:before="36"/>
        <w:ind w:right="151" w:firstLine="425"/>
        <w:jc w:val="both"/>
      </w:pPr>
      <w:r>
        <w:rPr/>
        <w:t>经本公司第二届董事会第十二次会议、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日股东大会决议通过，本公司以</w:t>
      </w:r>
      <w:r>
        <w:rPr>
          <w:rFonts w:ascii="Times New Roman" w:hAnsi="Times New Roman" w:cs="Times New Roman" w:eastAsia="Times New Roman" w:hint="default"/>
        </w:rPr>
        <w:t>2010</w:t>
      </w:r>
      <w:r>
        <w:rPr/>
        <w:t>年末总股本</w:t>
      </w:r>
      <w:r>
        <w:rPr>
          <w:w w:val="100"/>
        </w:rPr>
        <w:t> </w:t>
      </w:r>
      <w:r>
        <w:rPr/>
        <w:t>为基数，以未分配利润向全体股东每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股红股。</w:t>
      </w:r>
    </w:p>
    <w:p>
      <w:pPr>
        <w:pStyle w:val="Heading3"/>
        <w:spacing w:line="386" w:lineRule="auto" w:before="35"/>
        <w:ind w:right="151" w:firstLine="425"/>
        <w:jc w:val="both"/>
      </w:pPr>
      <w:r>
        <w:rPr/>
        <w:t>经本公司第三届董事会第二次会议、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日股东大会决议通过，本公司以</w:t>
      </w:r>
      <w:r>
        <w:rPr>
          <w:rFonts w:ascii="Times New Roman" w:hAnsi="Times New Roman" w:cs="Times New Roman" w:eastAsia="Times New Roman" w:hint="default"/>
        </w:rPr>
        <w:t>2011</w:t>
      </w:r>
      <w:r>
        <w:rPr/>
        <w:t>年末总股本为</w:t>
      </w:r>
      <w:r>
        <w:rPr>
          <w:w w:val="100"/>
        </w:rPr>
        <w:t> </w:t>
      </w:r>
      <w:r>
        <w:rPr/>
        <w:t>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股股本。</w:t>
      </w:r>
    </w:p>
    <w:p>
      <w:pPr>
        <w:pStyle w:val="Heading3"/>
        <w:spacing w:line="386" w:lineRule="auto" w:before="35"/>
        <w:ind w:right="151" w:firstLine="425"/>
        <w:jc w:val="both"/>
      </w:pPr>
      <w:r>
        <w:rPr/>
        <w:t>经本公司第三届董事会第十次会议、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日股东大会决议通过，本公司以</w:t>
      </w:r>
      <w:r>
        <w:rPr>
          <w:rFonts w:ascii="Times New Roman" w:hAnsi="Times New Roman" w:cs="Times New Roman" w:eastAsia="Times New Roman" w:hint="default"/>
        </w:rPr>
        <w:t>2012</w:t>
      </w:r>
      <w:r>
        <w:rPr/>
        <w:t>年末总股本为</w:t>
      </w:r>
      <w:r>
        <w:rPr>
          <w:w w:val="100"/>
        </w:rPr>
        <w:t> </w:t>
      </w:r>
      <w:r>
        <w:rPr/>
        <w:t>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w:t>
      </w:r>
    </w:p>
    <w:p>
      <w:pPr>
        <w:pStyle w:val="Heading3"/>
        <w:spacing w:line="386" w:lineRule="auto" w:before="35"/>
        <w:ind w:right="151" w:firstLine="425"/>
        <w:jc w:val="both"/>
      </w:pPr>
      <w:r>
        <w:rPr/>
        <w:t>经本公司第三届董事会第十八次会议、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日股东大会决议通过，本公司以</w:t>
      </w:r>
      <w:r>
        <w:rPr>
          <w:rFonts w:ascii="Times New Roman" w:hAnsi="Times New Roman" w:cs="Times New Roman" w:eastAsia="Times New Roman" w:hint="default"/>
        </w:rPr>
        <w:t>2013</w:t>
      </w:r>
      <w:r>
        <w:rPr/>
        <w:t>年末总股本</w:t>
      </w:r>
      <w:r>
        <w:rPr>
          <w:w w:val="100"/>
        </w:rPr>
        <w:t> </w:t>
      </w:r>
      <w:r>
        <w:rPr/>
        <w:t>为基数，以未分配利润向全体股东每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w:t>
      </w:r>
    </w:p>
    <w:p>
      <w:pPr>
        <w:pStyle w:val="Heading3"/>
        <w:spacing w:line="240" w:lineRule="auto" w:before="35"/>
        <w:ind w:left="578" w:right="0"/>
        <w:jc w:val="left"/>
      </w:pPr>
      <w:r>
        <w:rPr/>
        <w:t>经中国证券监督管理委员会《关于核准广州广电运通金融电子股份有限公司非公开发行股票的批复》</w:t>
      </w:r>
    </w:p>
    <w:p>
      <w:pPr>
        <w:spacing w:line="240" w:lineRule="auto" w:before="10"/>
        <w:rPr>
          <w:rFonts w:ascii="宋体" w:hAnsi="宋体" w:cs="宋体" w:eastAsia="宋体" w:hint="default"/>
          <w:sz w:val="14"/>
          <w:szCs w:val="14"/>
        </w:rPr>
      </w:pPr>
    </w:p>
    <w:p>
      <w:pPr>
        <w:pStyle w:val="Heading3"/>
        <w:spacing w:line="386" w:lineRule="auto"/>
        <w:ind w:right="132"/>
        <w:jc w:val="both"/>
      </w:pPr>
      <w:r>
        <w:rPr>
          <w:spacing w:val="-3"/>
        </w:rPr>
        <w:t>（证监许可【</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3135</w:t>
      </w:r>
      <w:r>
        <w:rPr>
          <w:spacing w:val="-3"/>
        </w:rPr>
        <w:t>号）核准，公司非公开发行</w:t>
      </w:r>
      <w:r>
        <w:rPr>
          <w:rFonts w:ascii="Times New Roman" w:hAnsi="Times New Roman" w:cs="Times New Roman" w:eastAsia="Times New Roman" w:hint="default"/>
          <w:spacing w:val="-3"/>
        </w:rPr>
        <w:t>182</w:t>
      </w:r>
      <w:r>
        <w:rPr>
          <w:rFonts w:ascii="宋体" w:hAnsi="宋体" w:cs="宋体" w:eastAsia="宋体" w:hint="default"/>
          <w:spacing w:val="-3"/>
        </w:rPr>
        <w:t>,</w:t>
      </w:r>
      <w:r>
        <w:rPr>
          <w:rFonts w:ascii="Times New Roman" w:hAnsi="Times New Roman" w:cs="Times New Roman" w:eastAsia="Times New Roman" w:hint="default"/>
          <w:spacing w:val="-3"/>
        </w:rPr>
        <w:t>820</w:t>
      </w:r>
      <w:r>
        <w:rPr>
          <w:rFonts w:ascii="宋体" w:hAnsi="宋体" w:cs="宋体" w:eastAsia="宋体" w:hint="default"/>
          <w:spacing w:val="-3"/>
        </w:rPr>
        <w:t>,</w:t>
      </w:r>
      <w:r>
        <w:rPr>
          <w:rFonts w:ascii="Times New Roman" w:hAnsi="Times New Roman" w:cs="Times New Roman" w:eastAsia="Times New Roman" w:hint="default"/>
          <w:spacing w:val="-3"/>
        </w:rPr>
        <w:t>000</w:t>
      </w:r>
      <w:r>
        <w:rPr>
          <w:spacing w:val="-3"/>
        </w:rPr>
        <w:t>股人民币普通股（</w:t>
      </w:r>
      <w:r>
        <w:rPr>
          <w:rFonts w:ascii="Times New Roman" w:hAnsi="Times New Roman" w:cs="Times New Roman" w:eastAsia="Times New Roman" w:hint="default"/>
          <w:spacing w:val="-3"/>
        </w:rPr>
        <w:t>A</w:t>
      </w:r>
      <w:r>
        <w:rPr>
          <w:spacing w:val="-3"/>
        </w:rPr>
        <w:t>股）股票，发行价格</w:t>
      </w:r>
      <w:r>
        <w:rPr>
          <w:spacing w:val="-21"/>
        </w:rPr>
        <w:t> </w:t>
      </w:r>
      <w:r>
        <w:rPr>
          <w:spacing w:val="-21"/>
        </w:rPr>
      </w:r>
      <w:r>
        <w:rPr/>
        <w:t>为</w:t>
      </w:r>
      <w:r>
        <w:rPr>
          <w:spacing w:val="-74"/>
        </w:rPr>
        <w:t> </w:t>
      </w:r>
      <w:r>
        <w:rPr>
          <w:rFonts w:ascii="Times New Roman" w:hAnsi="Times New Roman" w:cs="Times New Roman" w:eastAsia="Times New Roman" w:hint="default"/>
        </w:rPr>
        <w:t>17</w:t>
      </w:r>
      <w:r>
        <w:rPr>
          <w:rFonts w:ascii="宋体" w:hAnsi="宋体" w:cs="宋体" w:eastAsia="宋体" w:hint="default"/>
        </w:rPr>
        <w:t>.</w:t>
      </w:r>
      <w:r>
        <w:rPr>
          <w:rFonts w:ascii="Times New Roman" w:hAnsi="Times New Roman" w:cs="Times New Roman" w:eastAsia="Times New Roman" w:hint="default"/>
        </w:rPr>
        <w:t>16</w:t>
      </w:r>
      <w:r>
        <w:rPr>
          <w:rFonts w:ascii="Times New Roman" w:hAnsi="Times New Roman" w:cs="Times New Roman" w:eastAsia="Times New Roman" w:hint="default"/>
          <w:spacing w:val="-22"/>
        </w:rPr>
        <w:t> </w:t>
      </w:r>
      <w:r>
        <w:rPr>
          <w:spacing w:val="9"/>
        </w:rPr>
        <w:t>元</w:t>
      </w:r>
      <w:r>
        <w:rPr>
          <w:rFonts w:ascii="宋体" w:hAnsi="宋体" w:cs="宋体" w:eastAsia="宋体" w:hint="default"/>
          <w:spacing w:val="9"/>
        </w:rPr>
        <w:t>/</w:t>
      </w:r>
      <w:r>
        <w:rPr>
          <w:rFonts w:ascii="宋体" w:hAnsi="宋体" w:cs="宋体" w:eastAsia="宋体" w:hint="default"/>
          <w:spacing w:val="-74"/>
        </w:rPr>
        <w:t> </w:t>
      </w:r>
      <w:r>
        <w:rPr>
          <w:spacing w:val="9"/>
        </w:rPr>
        <w:t>股，</w:t>
      </w:r>
      <w:r>
        <w:rPr>
          <w:spacing w:val="-74"/>
        </w:rPr>
        <w:t> </w:t>
      </w:r>
      <w:r>
        <w:rPr>
          <w:spacing w:val="15"/>
        </w:rPr>
        <w:t>募集资金总额为人民币</w:t>
      </w:r>
      <w:r>
        <w:rPr>
          <w:spacing w:val="-71"/>
        </w:rPr>
        <w:t> </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137</w:t>
      </w:r>
      <w:r>
        <w:rPr>
          <w:rFonts w:ascii="宋体" w:hAnsi="宋体" w:cs="宋体" w:eastAsia="宋体" w:hint="default"/>
        </w:rPr>
        <w:t>,</w:t>
      </w:r>
      <w:r>
        <w:rPr>
          <w:rFonts w:ascii="Times New Roman" w:hAnsi="Times New Roman" w:cs="Times New Roman" w:eastAsia="Times New Roman" w:hint="default"/>
        </w:rPr>
        <w:t>191</w:t>
      </w:r>
      <w:r>
        <w:rPr>
          <w:rFonts w:ascii="宋体" w:hAnsi="宋体" w:cs="宋体" w:eastAsia="宋体" w:hint="default"/>
        </w:rPr>
        <w:t>,</w:t>
      </w:r>
      <w:r>
        <w:rPr>
          <w:rFonts w:ascii="Times New Roman" w:hAnsi="Times New Roman" w:cs="Times New Roman" w:eastAsia="Times New Roman" w:hint="default"/>
        </w:rPr>
        <w:t>200</w:t>
      </w:r>
      <w:r>
        <w:rPr>
          <w:rFonts w:ascii="Times New Roman" w:hAnsi="Times New Roman" w:cs="Times New Roman" w:eastAsia="Times New Roman" w:hint="default"/>
          <w:spacing w:val="-21"/>
        </w:rPr>
        <w:t> </w:t>
      </w:r>
      <w:r>
        <w:rPr>
          <w:spacing w:val="16"/>
        </w:rPr>
        <w:t>元，扣除发行费用后，实际募集资金净额为</w:t>
      </w:r>
      <w:r>
        <w:rPr>
          <w:spacing w:val="-82"/>
        </w:rPr>
        <w:t> </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115</w:t>
      </w:r>
      <w:r>
        <w:rPr>
          <w:rFonts w:ascii="宋体" w:hAnsi="宋体" w:cs="宋体" w:eastAsia="宋体" w:hint="default"/>
        </w:rPr>
        <w:t>,</w:t>
      </w:r>
      <w:r>
        <w:rPr>
          <w:rFonts w:ascii="Times New Roman" w:hAnsi="Times New Roman" w:cs="Times New Roman" w:eastAsia="Times New Roman" w:hint="default"/>
        </w:rPr>
        <w:t>529</w:t>
      </w:r>
      <w:r>
        <w:rPr>
          <w:rFonts w:ascii="宋体" w:hAnsi="宋体" w:cs="宋体" w:eastAsia="宋体" w:hint="default"/>
        </w:rPr>
        <w:t>,</w:t>
      </w:r>
      <w:r>
        <w:rPr>
          <w:rFonts w:ascii="Times New Roman" w:hAnsi="Times New Roman" w:cs="Times New Roman" w:eastAsia="Times New Roman" w:hint="default"/>
        </w:rPr>
        <w:t>764</w:t>
      </w:r>
      <w:r>
        <w:rPr>
          <w:rFonts w:ascii="宋体" w:hAnsi="宋体" w:cs="宋体" w:eastAsia="宋体" w:hint="default"/>
        </w:rPr>
        <w:t>.</w:t>
      </w:r>
      <w:r>
        <w:rPr>
          <w:rFonts w:ascii="Times New Roman" w:hAnsi="Times New Roman" w:cs="Times New Roman" w:eastAsia="Times New Roman" w:hint="default"/>
        </w:rPr>
        <w:t>90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日，立信会计师事务所（特殊普通合伙）对本次发行募集资金到账情</w:t>
      </w:r>
      <w:r>
        <w:rPr>
          <w:spacing w:val="-30"/>
        </w:rPr>
        <w:t> </w:t>
      </w:r>
      <w:r>
        <w:rPr>
          <w:spacing w:val="-30"/>
        </w:rPr>
      </w:r>
      <w:r>
        <w:rPr/>
        <w:t>况进行了审验，并出具了“信会师报字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410100</w:t>
      </w:r>
      <w:r>
        <w:rPr/>
        <w:t>号”《验资报告》。</w:t>
      </w:r>
    </w:p>
    <w:p>
      <w:pPr>
        <w:pStyle w:val="Heading3"/>
        <w:spacing w:line="386" w:lineRule="auto" w:before="35"/>
        <w:ind w:left="578" w:right="0"/>
        <w:jc w:val="left"/>
      </w:pPr>
      <w:r>
        <w:rPr/>
        <w:t>本次发行股票募集资金后，本公司的总股本增至</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079</w:t>
      </w:r>
      <w:r>
        <w:rPr>
          <w:rFonts w:ascii="宋体" w:hAnsi="宋体" w:cs="宋体" w:eastAsia="宋体" w:hint="default"/>
        </w:rPr>
        <w:t>,</w:t>
      </w:r>
      <w:r>
        <w:rPr>
          <w:rFonts w:ascii="Times New Roman" w:hAnsi="Times New Roman" w:cs="Times New Roman" w:eastAsia="Times New Roman" w:hint="default"/>
        </w:rPr>
        <w:t>504</w:t>
      </w:r>
      <w:r>
        <w:rPr>
          <w:rFonts w:ascii="宋体" w:hAnsi="宋体" w:cs="宋体" w:eastAsia="宋体" w:hint="default"/>
        </w:rPr>
        <w:t>,</w:t>
      </w:r>
      <w:r>
        <w:rPr>
          <w:rFonts w:ascii="Times New Roman" w:hAnsi="Times New Roman" w:cs="Times New Roman" w:eastAsia="Times New Roman" w:hint="default"/>
        </w:rPr>
        <w:t>767</w:t>
      </w:r>
      <w:r>
        <w:rPr>
          <w:rFonts w:ascii="宋体" w:hAnsi="宋体" w:cs="宋体" w:eastAsia="宋体" w:hint="default"/>
        </w:rPr>
        <w:t>.</w:t>
      </w:r>
      <w:r>
        <w:rPr>
          <w:rFonts w:ascii="Times New Roman" w:hAnsi="Times New Roman" w:cs="Times New Roman" w:eastAsia="Times New Roman" w:hint="default"/>
        </w:rPr>
        <w:t>00</w:t>
      </w:r>
      <w:r>
        <w:rPr/>
        <w:t>股。</w:t>
      </w:r>
      <w:r>
        <w:rPr>
          <w:w w:val="100"/>
        </w:rPr>
        <w:t> </w:t>
      </w:r>
      <w:r>
        <w:rPr>
          <w:spacing w:val="19"/>
        </w:rPr>
        <w:t>经本公司第四届董事会第十八次会议</w:t>
      </w:r>
      <w:r>
        <w:rPr>
          <w:spacing w:val="-66"/>
        </w:rPr>
        <w:t> </w:t>
      </w:r>
      <w:r>
        <w:rPr/>
        <w:t>、</w:t>
      </w:r>
      <w:r>
        <w:rPr>
          <w:spacing w:val="-7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r>
        <w:rPr>
          <w:spacing w:val="-75"/>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月</w:t>
      </w:r>
      <w:r>
        <w:rPr>
          <w:spacing w:val="-70"/>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spacing w:val="19"/>
        </w:rPr>
        <w:t>日股东大会决议通过，</w:t>
      </w:r>
      <w:r>
        <w:rPr>
          <w:spacing w:val="-72"/>
        </w:rPr>
        <w:t> </w:t>
      </w:r>
      <w:r>
        <w:rPr>
          <w:spacing w:val="18"/>
        </w:rPr>
        <w:t>本公司以总股本</w:t>
      </w:r>
    </w:p>
    <w:p>
      <w:pPr>
        <w:pStyle w:val="Heading3"/>
        <w:spacing w:line="240" w:lineRule="auto" w:before="35"/>
        <w:ind w:right="0"/>
        <w:jc w:val="both"/>
      </w:pP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079</w:t>
      </w:r>
      <w:r>
        <w:rPr>
          <w:rFonts w:ascii="宋体" w:hAnsi="宋体" w:cs="宋体" w:eastAsia="宋体" w:hint="default"/>
        </w:rPr>
        <w:t>,</w:t>
      </w:r>
      <w:r>
        <w:rPr>
          <w:rFonts w:ascii="Times New Roman" w:hAnsi="Times New Roman" w:cs="Times New Roman" w:eastAsia="Times New Roman" w:hint="default"/>
        </w:rPr>
        <w:t>504</w:t>
      </w:r>
      <w:r>
        <w:rPr>
          <w:rFonts w:ascii="宋体" w:hAnsi="宋体" w:cs="宋体" w:eastAsia="宋体" w:hint="default"/>
        </w:rPr>
        <w:t>,</w:t>
      </w:r>
      <w:r>
        <w:rPr>
          <w:rFonts w:ascii="Times New Roman" w:hAnsi="Times New Roman" w:cs="Times New Roman" w:eastAsia="Times New Roman" w:hint="default"/>
        </w:rPr>
        <w:t>767</w:t>
      </w:r>
      <w:r>
        <w:rPr/>
        <w:t>股为基数，以未分配利润向全体股东每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股红股。</w:t>
      </w:r>
    </w:p>
    <w:p>
      <w:pPr>
        <w:spacing w:after="0" w:line="240" w:lineRule="auto"/>
        <w:jc w:val="both"/>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240" w:lineRule="auto" w:before="36"/>
        <w:ind w:left="578" w:right="0"/>
        <w:jc w:val="left"/>
      </w:pPr>
      <w:r>
        <w:rPr/>
        <w:t>经</w:t>
      </w:r>
      <w:r>
        <w:rPr>
          <w:spacing w:val="-78"/>
        </w:rPr>
        <w:t> </w:t>
      </w:r>
      <w:r>
        <w:rPr/>
        <w:t>本</w:t>
      </w:r>
      <w:r>
        <w:rPr>
          <w:spacing w:val="-78"/>
        </w:rPr>
        <w:t> </w:t>
      </w:r>
      <w:r>
        <w:rPr/>
        <w:t>公</w:t>
      </w:r>
      <w:r>
        <w:rPr>
          <w:spacing w:val="-78"/>
        </w:rPr>
        <w:t> </w:t>
      </w:r>
      <w:r>
        <w:rPr/>
        <w:t>司</w:t>
      </w:r>
      <w:r>
        <w:rPr>
          <w:spacing w:val="-78"/>
        </w:rPr>
        <w:t> </w:t>
      </w:r>
      <w:r>
        <w:rPr>
          <w:spacing w:val="11"/>
        </w:rPr>
        <w:t>第四</w:t>
      </w:r>
      <w:r>
        <w:rPr>
          <w:spacing w:val="-78"/>
        </w:rPr>
        <w:t> </w:t>
      </w:r>
      <w:r>
        <w:rPr/>
        <w:t>届</w:t>
      </w:r>
      <w:r>
        <w:rPr>
          <w:spacing w:val="-78"/>
        </w:rPr>
        <w:t> </w:t>
      </w:r>
      <w:r>
        <w:rPr/>
        <w:t>董</w:t>
      </w:r>
      <w:r>
        <w:rPr>
          <w:spacing w:val="-78"/>
        </w:rPr>
        <w:t> </w:t>
      </w:r>
      <w:r>
        <w:rPr>
          <w:spacing w:val="14"/>
        </w:rPr>
        <w:t>事会第</w:t>
      </w:r>
      <w:r>
        <w:rPr>
          <w:spacing w:val="-78"/>
        </w:rPr>
        <w:t> </w:t>
      </w:r>
      <w:r>
        <w:rPr/>
        <w:t>三</w:t>
      </w:r>
      <w:r>
        <w:rPr>
          <w:spacing w:val="-78"/>
        </w:rPr>
        <w:t> </w:t>
      </w:r>
      <w:r>
        <w:rPr/>
        <w:t>十</w:t>
      </w:r>
      <w:r>
        <w:rPr>
          <w:spacing w:val="-78"/>
        </w:rPr>
        <w:t> </w:t>
      </w:r>
      <w:r>
        <w:rPr/>
        <w:t>次</w:t>
      </w:r>
      <w:r>
        <w:rPr>
          <w:spacing w:val="-78"/>
        </w:rPr>
        <w:t> </w:t>
      </w:r>
      <w:r>
        <w:rPr>
          <w:spacing w:val="11"/>
        </w:rPr>
        <w:t>会议</w:t>
      </w:r>
      <w:r>
        <w:rPr>
          <w:spacing w:val="-78"/>
        </w:rPr>
        <w:t> </w:t>
      </w:r>
      <w:r>
        <w:rPr/>
        <w:t>、</w:t>
      </w:r>
      <w:r>
        <w:rPr>
          <w:spacing w:val="-7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w:t>
      </w:r>
      <w:r>
        <w:rPr>
          <w:spacing w:val="-80"/>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月</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日</w:t>
      </w:r>
      <w:r>
        <w:rPr>
          <w:spacing w:val="-78"/>
        </w:rPr>
        <w:t> </w:t>
      </w:r>
      <w:r>
        <w:rPr/>
        <w:t>股</w:t>
      </w:r>
      <w:r>
        <w:rPr>
          <w:spacing w:val="-78"/>
        </w:rPr>
        <w:t> </w:t>
      </w:r>
      <w:r>
        <w:rPr/>
        <w:t>东</w:t>
      </w:r>
      <w:r>
        <w:rPr>
          <w:spacing w:val="-78"/>
        </w:rPr>
        <w:t> </w:t>
      </w:r>
      <w:r>
        <w:rPr>
          <w:spacing w:val="11"/>
        </w:rPr>
        <w:t>大会</w:t>
      </w:r>
      <w:r>
        <w:rPr>
          <w:spacing w:val="-78"/>
        </w:rPr>
        <w:t> </w:t>
      </w:r>
      <w:r>
        <w:rPr/>
        <w:t>决</w:t>
      </w:r>
      <w:r>
        <w:rPr>
          <w:spacing w:val="-78"/>
        </w:rPr>
        <w:t> </w:t>
      </w:r>
      <w:r>
        <w:rPr>
          <w:spacing w:val="14"/>
        </w:rPr>
        <w:t>议通过</w:t>
      </w:r>
      <w:r>
        <w:rPr>
          <w:spacing w:val="-78"/>
        </w:rPr>
        <w:t> </w:t>
      </w:r>
      <w:r>
        <w:rPr/>
        <w:t>，</w:t>
      </w:r>
      <w:r>
        <w:rPr>
          <w:spacing w:val="-78"/>
        </w:rPr>
        <w:t> </w:t>
      </w:r>
      <w:r>
        <w:rPr/>
        <w:t>本</w:t>
      </w:r>
      <w:r>
        <w:rPr>
          <w:spacing w:val="-78"/>
        </w:rPr>
        <w:t> </w:t>
      </w:r>
      <w:r>
        <w:rPr/>
        <w:t>公</w:t>
      </w:r>
      <w:r>
        <w:rPr>
          <w:spacing w:val="-78"/>
        </w:rPr>
        <w:t> </w:t>
      </w:r>
      <w:r>
        <w:rPr>
          <w:spacing w:val="11"/>
        </w:rPr>
        <w:t>司以</w:t>
      </w:r>
      <w:r>
        <w:rPr>
          <w:spacing w:val="-78"/>
        </w:rPr>
        <w:t> </w:t>
      </w:r>
      <w:r>
        <w:rPr/>
        <w:t>总</w:t>
      </w:r>
      <w:r>
        <w:rPr>
          <w:spacing w:val="-78"/>
        </w:rPr>
        <w:t> </w:t>
      </w:r>
      <w:r>
        <w:rPr>
          <w:spacing w:val="11"/>
        </w:rPr>
        <w:t>股本</w:t>
      </w:r>
    </w:p>
    <w:p>
      <w:pPr>
        <w:pStyle w:val="Heading3"/>
        <w:spacing w:line="240" w:lineRule="auto" w:before="177"/>
        <w:ind w:right="0"/>
        <w:jc w:val="left"/>
      </w:pP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619</w:t>
      </w:r>
      <w:r>
        <w:rPr>
          <w:rFonts w:ascii="宋体" w:hAnsi="宋体" w:cs="宋体" w:eastAsia="宋体" w:hint="default"/>
        </w:rPr>
        <w:t>,</w:t>
      </w:r>
      <w:r>
        <w:rPr>
          <w:rFonts w:ascii="Times New Roman" w:hAnsi="Times New Roman" w:cs="Times New Roman" w:eastAsia="Times New Roman" w:hint="default"/>
        </w:rPr>
        <w:t>257</w:t>
      </w:r>
      <w:r>
        <w:rPr>
          <w:rFonts w:ascii="宋体" w:hAnsi="宋体" w:cs="宋体" w:eastAsia="宋体" w:hint="default"/>
        </w:rPr>
        <w:t>,</w:t>
      </w:r>
      <w:r>
        <w:rPr>
          <w:rFonts w:ascii="Times New Roman" w:hAnsi="Times New Roman" w:cs="Times New Roman" w:eastAsia="Times New Roman" w:hint="default"/>
        </w:rPr>
        <w:t>150</w:t>
      </w:r>
      <w:r>
        <w:rPr/>
        <w:t>股为基数，以资本公积金向全体股东每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股股本。</w:t>
      </w:r>
    </w:p>
    <w:p>
      <w:pPr>
        <w:pStyle w:val="Heading3"/>
        <w:spacing w:line="386" w:lineRule="auto" w:before="177"/>
        <w:ind w:right="0" w:firstLine="425"/>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日，本公司取得变更后的营业执照，统一社会信用代码为：</w:t>
      </w:r>
      <w:r>
        <w:rPr>
          <w:rFonts w:ascii="Times New Roman" w:hAnsi="Times New Roman" w:cs="Times New Roman" w:eastAsia="Times New Roman" w:hint="default"/>
          <w:spacing w:val="-2"/>
        </w:rPr>
        <w:t>914401017163404737</w:t>
      </w:r>
      <w:r>
        <w:rPr>
          <w:spacing w:val="-2"/>
        </w:rPr>
        <w:t>。住所</w:t>
      </w:r>
      <w:r>
        <w:rPr>
          <w:w w:val="100"/>
        </w:rPr>
        <w:t> </w:t>
      </w:r>
      <w:r>
        <w:rPr/>
        <w:t>为广州市高新技术产业开发区科学城科林路</w:t>
      </w:r>
      <w:r>
        <w:rPr>
          <w:rFonts w:ascii="Times New Roman" w:hAnsi="Times New Roman" w:cs="Times New Roman" w:eastAsia="Times New Roman" w:hint="default"/>
        </w:rPr>
        <w:t>9</w:t>
      </w:r>
      <w:r>
        <w:rPr/>
        <w:t>、</w:t>
      </w:r>
      <w:r>
        <w:rPr>
          <w:rFonts w:ascii="Times New Roman" w:hAnsi="Times New Roman" w:cs="Times New Roman" w:eastAsia="Times New Roman" w:hint="default"/>
        </w:rPr>
        <w:t>11</w:t>
      </w:r>
      <w:r>
        <w:rPr/>
        <w:t>号。</w:t>
      </w:r>
    </w:p>
    <w:p>
      <w:pPr>
        <w:pStyle w:val="Heading3"/>
        <w:spacing w:line="386" w:lineRule="auto" w:before="35"/>
        <w:ind w:left="578"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日，本公司注册资本为人民币</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428</w:t>
      </w:r>
      <w:r>
        <w:rPr>
          <w:rFonts w:ascii="宋体" w:hAnsi="宋体" w:cs="宋体" w:eastAsia="宋体" w:hint="default"/>
        </w:rPr>
        <w:t>,</w:t>
      </w:r>
      <w:r>
        <w:rPr>
          <w:rFonts w:ascii="Times New Roman" w:hAnsi="Times New Roman" w:cs="Times New Roman" w:eastAsia="Times New Roman" w:hint="default"/>
        </w:rPr>
        <w:t>885</w:t>
      </w:r>
      <w:r>
        <w:rPr>
          <w:rFonts w:ascii="宋体" w:hAnsi="宋体" w:cs="宋体" w:eastAsia="宋体" w:hint="default"/>
        </w:rPr>
        <w:t>,</w:t>
      </w:r>
      <w:r>
        <w:rPr>
          <w:rFonts w:ascii="Times New Roman" w:hAnsi="Times New Roman" w:cs="Times New Roman" w:eastAsia="Times New Roman" w:hint="default"/>
        </w:rPr>
        <w:t>725</w:t>
      </w:r>
      <w:r>
        <w:rPr/>
        <w:t>元，总股本为</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428</w:t>
      </w:r>
      <w:r>
        <w:rPr>
          <w:rFonts w:ascii="宋体" w:hAnsi="宋体" w:cs="宋体" w:eastAsia="宋体" w:hint="default"/>
        </w:rPr>
        <w:t>,</w:t>
      </w:r>
      <w:r>
        <w:rPr>
          <w:rFonts w:ascii="Times New Roman" w:hAnsi="Times New Roman" w:cs="Times New Roman" w:eastAsia="Times New Roman" w:hint="default"/>
        </w:rPr>
        <w:t>885</w:t>
      </w:r>
      <w:r>
        <w:rPr>
          <w:rFonts w:ascii="宋体" w:hAnsi="宋体" w:cs="宋体" w:eastAsia="宋体" w:hint="default"/>
        </w:rPr>
        <w:t>,</w:t>
      </w:r>
      <w:r>
        <w:rPr>
          <w:rFonts w:ascii="Times New Roman" w:hAnsi="Times New Roman" w:cs="Times New Roman" w:eastAsia="Times New Roman" w:hint="default"/>
        </w:rPr>
        <w:t>725</w:t>
      </w:r>
      <w:r>
        <w:rPr/>
        <w:t>股。</w:t>
      </w:r>
      <w:r>
        <w:rPr>
          <w:spacing w:val="-3"/>
          <w:w w:val="100"/>
        </w:rPr>
        <w:t> </w:t>
      </w:r>
      <w:r>
        <w:rPr>
          <w:spacing w:val="-3"/>
        </w:rPr>
        <w:t>本公司经营范围：计算机、通信和其他电子设备制造业。计算机应用电子设备制造；自动售货机、售</w:t>
      </w:r>
    </w:p>
    <w:p>
      <w:pPr>
        <w:pStyle w:val="Heading3"/>
        <w:spacing w:line="408" w:lineRule="auto" w:before="65"/>
        <w:ind w:right="207"/>
        <w:jc w:val="both"/>
      </w:pPr>
      <w:r>
        <w:rPr>
          <w:spacing w:val="-2"/>
        </w:rPr>
        <w:t>票机、柜员机及零配件的批发；技术进出口；货物进出口（专营专控商品除外）；计算器及货币专用设备</w:t>
      </w:r>
      <w:r>
        <w:rPr>
          <w:spacing w:val="-42"/>
        </w:rPr>
        <w:t> </w:t>
      </w:r>
      <w:r>
        <w:rPr>
          <w:spacing w:val="-42"/>
        </w:rPr>
      </w:r>
      <w:r>
        <w:rPr>
          <w:spacing w:val="-2"/>
        </w:rPr>
        <w:t>制造；信息系统集成服务；信息技术咨询服务；软件开发；计算机技术开发、技术服务；计算机和辅助设</w:t>
      </w:r>
      <w:r>
        <w:rPr>
          <w:spacing w:val="-42"/>
        </w:rPr>
        <w:t> </w:t>
      </w:r>
      <w:r>
        <w:rPr>
          <w:spacing w:val="-42"/>
        </w:rPr>
      </w:r>
      <w:r>
        <w:rPr/>
        <w:t>备修理。</w:t>
      </w:r>
    </w:p>
    <w:p>
      <w:pPr>
        <w:pStyle w:val="Heading3"/>
        <w:spacing w:line="408" w:lineRule="auto" w:before="46"/>
        <w:ind w:left="578" w:right="0"/>
        <w:jc w:val="left"/>
      </w:pPr>
      <w:r>
        <w:rPr>
          <w:spacing w:val="-2"/>
        </w:rPr>
        <w:t>本公司的母公司为广州无线电集团有限公司，本公司的实际控制人为广州市国资委。</w:t>
      </w:r>
      <w:r>
        <w:rPr>
          <w:spacing w:val="-35"/>
        </w:rPr>
        <w:t> </w:t>
      </w:r>
      <w:r>
        <w:rPr>
          <w:spacing w:val="-35"/>
        </w:rPr>
      </w: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日批准报出。</w:t>
      </w:r>
    </w:p>
    <w:p>
      <w:pPr>
        <w:pStyle w:val="Heading3"/>
        <w:spacing w:line="386" w:lineRule="auto" w:before="14"/>
        <w:ind w:left="578" w:right="0"/>
        <w:jc w:val="left"/>
      </w:pPr>
      <w:r>
        <w:rPr>
          <w:rFonts w:ascii="Times New Roman" w:hAnsi="Times New Roman" w:cs="Times New Roman" w:eastAsia="Times New Roman" w:hint="default"/>
          <w:b/>
          <w:bCs/>
        </w:rPr>
        <w:t>2</w:t>
      </w:r>
      <w:r>
        <w:rPr>
          <w:rFonts w:ascii="宋体" w:hAnsi="宋体" w:cs="宋体" w:eastAsia="宋体" w:hint="default"/>
          <w:b/>
          <w:bCs/>
        </w:rPr>
        <w:t>、合并财务报表范围</w:t>
      </w:r>
      <w:r>
        <w:rPr>
          <w:rFonts w:ascii="宋体" w:hAnsi="宋体" w:cs="宋体" w:eastAsia="宋体" w:hint="default"/>
          <w:b/>
          <w:bCs/>
          <w:w w:val="100"/>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日止，本公司合并财务报表范围内子公司共有</w:t>
      </w:r>
      <w:r>
        <w:rPr>
          <w:rFonts w:ascii="Times New Roman" w:hAnsi="Times New Roman" w:cs="Times New Roman" w:eastAsia="Times New Roman" w:hint="default"/>
          <w:spacing w:val="-2"/>
        </w:rPr>
        <w:t>69</w:t>
      </w:r>
      <w:r>
        <w:rPr>
          <w:spacing w:val="-2"/>
        </w:rPr>
        <w:t>家（广州中智融通金融科技有限公</w:t>
      </w:r>
    </w:p>
    <w:p>
      <w:pPr>
        <w:pStyle w:val="Heading3"/>
        <w:spacing w:line="408" w:lineRule="auto" w:before="35"/>
        <w:ind w:right="0"/>
        <w:jc w:val="left"/>
      </w:pPr>
      <w:r>
        <w:rPr/>
        <w:t>司、广州广电汇通金融服务有限公司、</w:t>
      </w:r>
      <w:r>
        <w:rPr>
          <w:rFonts w:ascii="宋体" w:hAnsi="宋体" w:cs="宋体" w:eastAsia="宋体" w:hint="default"/>
        </w:rPr>
        <w:t>GRG</w:t>
      </w:r>
      <w:r>
        <w:rPr>
          <w:rFonts w:ascii="宋体" w:hAnsi="宋体" w:cs="宋体" w:eastAsia="宋体" w:hint="default"/>
          <w:spacing w:val="18"/>
        </w:rPr>
        <w:t> </w:t>
      </w:r>
      <w:r>
        <w:rPr>
          <w:rFonts w:ascii="宋体" w:hAnsi="宋体" w:cs="宋体" w:eastAsia="宋体" w:hint="default"/>
        </w:rPr>
        <w:t>HT</w:t>
      </w:r>
      <w:r>
        <w:rPr>
          <w:rFonts w:ascii="宋体" w:hAnsi="宋体" w:cs="宋体" w:eastAsia="宋体" w:hint="default"/>
          <w:spacing w:val="20"/>
        </w:rPr>
        <w:t> </w:t>
      </w:r>
      <w:r>
        <w:rPr>
          <w:rFonts w:ascii="宋体" w:hAnsi="宋体" w:cs="宋体" w:eastAsia="宋体" w:hint="default"/>
        </w:rPr>
        <w:t>(HK)</w:t>
      </w:r>
      <w:r>
        <w:rPr>
          <w:rFonts w:ascii="宋体" w:hAnsi="宋体" w:cs="宋体" w:eastAsia="宋体" w:hint="default"/>
          <w:spacing w:val="18"/>
        </w:rPr>
        <w:t> </w:t>
      </w:r>
      <w:r>
        <w:rPr>
          <w:rFonts w:ascii="宋体" w:hAnsi="宋体" w:cs="宋体" w:eastAsia="宋体" w:hint="default"/>
        </w:rPr>
        <w:t>Co.,Limited</w:t>
      </w:r>
      <w:r>
        <w:rPr/>
        <w:t>、广州广电运通信息科技有限公司、广</w:t>
      </w:r>
      <w:r>
        <w:rPr>
          <w:spacing w:val="-84"/>
        </w:rPr>
        <w:t> </w:t>
      </w:r>
      <w:r>
        <w:rPr>
          <w:spacing w:val="-84"/>
        </w:rPr>
      </w:r>
      <w:r>
        <w:rPr>
          <w:spacing w:val="-2"/>
        </w:rPr>
        <w:t>州广电卓识智能科技有限公司、广州支点创业投资有限公司、广州市龙源环保科技有限公司、赣州中联环</w:t>
      </w:r>
      <w:r>
        <w:rPr>
          <w:spacing w:val="-45"/>
        </w:rPr>
        <w:t> </w:t>
      </w:r>
      <w:r>
        <w:rPr>
          <w:spacing w:val="-45"/>
        </w:rPr>
      </w:r>
      <w:r>
        <w:rPr/>
        <w:t>保科技开发有限公司、赣州中联电镀原料配送经营服务有限公司、赣州龙源环保产业经营管理有限公司、</w:t>
      </w:r>
      <w:r>
        <w:rPr>
          <w:w w:val="100"/>
        </w:rPr>
        <w:t> </w:t>
      </w:r>
      <w:r>
        <w:rPr>
          <w:spacing w:val="-2"/>
        </w:rPr>
        <w:t>深圳市创自技术有限公司、深圳市创自软件有限公司、广州穗通金融服务有限公司、广州广电银通金融电</w:t>
      </w:r>
      <w:r>
        <w:rPr>
          <w:spacing w:val="-43"/>
        </w:rPr>
        <w:t> </w:t>
      </w:r>
      <w:r>
        <w:rPr>
          <w:spacing w:val="-43"/>
        </w:rPr>
      </w:r>
      <w:r>
        <w:rPr>
          <w:spacing w:val="-2"/>
        </w:rPr>
        <w:t>子科技有限公司、深圳广电银通金融电子科技有限公司、深圳鹏通金融服务有限公司、石家庄市银通金融</w:t>
      </w:r>
      <w:r>
        <w:rPr>
          <w:spacing w:val="-45"/>
        </w:rPr>
        <w:t> </w:t>
      </w:r>
      <w:r>
        <w:rPr>
          <w:spacing w:val="-45"/>
        </w:rPr>
      </w:r>
      <w:r>
        <w:rPr>
          <w:spacing w:val="-2"/>
        </w:rPr>
        <w:t>服务有限公司、上海欣辰通金融电子科技有限公司、宜昌宜通金融服务有限公司、南宁盈通金融电子科技</w:t>
      </w:r>
      <w:r>
        <w:rPr>
          <w:spacing w:val="-45"/>
        </w:rPr>
        <w:t> </w:t>
      </w:r>
      <w:r>
        <w:rPr>
          <w:spacing w:val="-45"/>
        </w:rPr>
      </w:r>
      <w:r>
        <w:rPr>
          <w:spacing w:val="-2"/>
        </w:rPr>
        <w:t>有限公司、辽宁辽通金融电子科技有限公司、河南商通金融服务外包有限公司、河北晨通金融电子科技有</w:t>
      </w:r>
      <w:r>
        <w:rPr>
          <w:spacing w:val="-43"/>
        </w:rPr>
        <w:t> </w:t>
      </w:r>
      <w:r>
        <w:rPr>
          <w:spacing w:val="-43"/>
        </w:rPr>
      </w:r>
      <w:r>
        <w:rPr>
          <w:spacing w:val="-5"/>
        </w:rPr>
        <w:t>限公司、南阳宛通金融电子科技有限公司、山西尚通金融外包服务有限公司、广东榕通科技服务有限公司、</w:t>
      </w:r>
      <w:r>
        <w:rPr>
          <w:spacing w:val="-6"/>
        </w:rPr>
        <w:t> </w:t>
      </w:r>
      <w:r>
        <w:rPr>
          <w:spacing w:val="-6"/>
        </w:rPr>
      </w:r>
      <w:r>
        <w:rPr>
          <w:spacing w:val="-2"/>
        </w:rPr>
        <w:t>广州广电银通安保投资有限公司、内蒙古广电银通安保投资有限公司、宜昌市金牛押运护卫保安服务有限</w:t>
      </w:r>
      <w:r>
        <w:rPr>
          <w:spacing w:val="-43"/>
        </w:rPr>
        <w:t> </w:t>
      </w:r>
      <w:r>
        <w:rPr>
          <w:spacing w:val="-43"/>
        </w:rPr>
      </w:r>
      <w:r>
        <w:rPr>
          <w:spacing w:val="-2"/>
        </w:rPr>
        <w:t>责任公司、商洛市金盾押运有限责任公司、武威市神威保安守押有限责任公司、邵阳市保安服务有限责任</w:t>
      </w:r>
      <w:r>
        <w:rPr>
          <w:spacing w:val="-43"/>
        </w:rPr>
        <w:t> </w:t>
      </w:r>
      <w:r>
        <w:rPr>
          <w:spacing w:val="-43"/>
        </w:rPr>
      </w:r>
      <w:r>
        <w:rPr/>
        <w:t>公司、益阳市保安服务有限责任公司、安化县锦鑫保安服务有限责任公司、南县保安服务有限责任公司、</w:t>
      </w:r>
      <w:r>
        <w:rPr>
          <w:w w:val="100"/>
        </w:rPr>
        <w:t> </w:t>
      </w:r>
      <w:r>
        <w:rPr>
          <w:spacing w:val="-5"/>
        </w:rPr>
        <w:t>兴安盟威信保安守押服务有限责任公司、巴彦淖尔天力保押有限责任公司、通辽市威远护卫有限责任公司、 </w:t>
      </w:r>
      <w:r>
        <w:rPr>
          <w:spacing w:val="-5"/>
        </w:rPr>
      </w:r>
      <w:r>
        <w:rPr>
          <w:spacing w:val="-2"/>
        </w:rPr>
        <w:t>商洛市慧金清分服务有限公司、西安金盾押运有限公司、海南警锐押运护卫有限公司、榆林市神鹰护卫有</w:t>
      </w:r>
      <w:r>
        <w:rPr>
          <w:spacing w:val="-45"/>
        </w:rPr>
        <w:t> </w:t>
      </w:r>
      <w:r>
        <w:rPr>
          <w:spacing w:val="-45"/>
        </w:rPr>
      </w:r>
      <w:r>
        <w:rPr>
          <w:spacing w:val="-2"/>
        </w:rPr>
        <w:t>限责任公司、新余市保安服务有限公司、新余市景运科技有限公司、文山州金盾保安守护押运有限责任公</w:t>
      </w:r>
      <w:r>
        <w:rPr>
          <w:spacing w:val="-44"/>
        </w:rPr>
        <w:t> </w:t>
      </w:r>
      <w:r>
        <w:rPr>
          <w:spacing w:val="-44"/>
        </w:rPr>
      </w:r>
      <w:r>
        <w:rPr>
          <w:spacing w:val="-2"/>
        </w:rPr>
        <w:t>司、巴州阿帕奇保安责任有限公司、新疆阿帕奇武装守护押运有限公司、黔南州蓝盾武装护运有限责任公</w:t>
      </w:r>
      <w:r>
        <w:rPr>
          <w:spacing w:val="-44"/>
        </w:rPr>
        <w:t> </w:t>
      </w:r>
      <w:r>
        <w:rPr>
          <w:spacing w:val="-44"/>
        </w:rPr>
      </w:r>
      <w:r>
        <w:rPr>
          <w:spacing w:val="-2"/>
        </w:rPr>
        <w:t>司、资阳保安有限责任公司、资阳市卓越人力资源服务有限公司、平顶山鹰翔保安押运有限公司、黄石金</w:t>
      </w:r>
    </w:p>
    <w:p>
      <w:pPr>
        <w:spacing w:after="0" w:line="408" w:lineRule="auto"/>
        <w:jc w:val="left"/>
        <w:sectPr>
          <w:footerReference w:type="default" r:id="rId30"/>
          <w:pgSz w:w="11910" w:h="16840"/>
          <w:pgMar w:footer="1496" w:header="880" w:top="1100" w:bottom="1680" w:left="980" w:right="920"/>
          <w:pgNumType w:start="107"/>
        </w:sectPr>
      </w:pPr>
    </w:p>
    <w:p>
      <w:pPr>
        <w:spacing w:line="240" w:lineRule="auto" w:before="10"/>
        <w:rPr>
          <w:rFonts w:ascii="宋体" w:hAnsi="宋体" w:cs="宋体" w:eastAsia="宋体" w:hint="default"/>
          <w:sz w:val="26"/>
          <w:szCs w:val="26"/>
        </w:rPr>
      </w:pPr>
    </w:p>
    <w:p>
      <w:pPr>
        <w:pStyle w:val="Heading3"/>
        <w:spacing w:line="408" w:lineRule="auto" w:before="36"/>
        <w:ind w:right="0"/>
        <w:jc w:val="left"/>
      </w:pPr>
      <w:r>
        <w:rPr>
          <w:spacing w:val="-2"/>
        </w:rPr>
        <w:t>公司、湖北银通卓越科技服务有限公司、鹤壁市鹏翔保安服务有限公司、广州平云小匠科技有限公司、广</w:t>
      </w:r>
      <w:r>
        <w:rPr>
          <w:spacing w:val="-47"/>
        </w:rPr>
        <w:t> </w:t>
      </w:r>
      <w:r>
        <w:rPr>
          <w:spacing w:val="-47"/>
        </w:rPr>
      </w:r>
      <w:r>
        <w:rPr>
          <w:spacing w:val="-2"/>
        </w:rPr>
        <w:t>州广电运通智能科技有限公司、江苏汇通金融数据股份有限公司、安徽汇通金融数据服务有限公司、江苏</w:t>
      </w:r>
      <w:r>
        <w:rPr>
          <w:spacing w:val="-44"/>
        </w:rPr>
        <w:t> </w:t>
      </w:r>
      <w:r>
        <w:rPr>
          <w:spacing w:val="-44"/>
        </w:rPr>
      </w:r>
      <w:r>
        <w:rPr/>
        <w:t>汇锦利通信息科技有限公司、北京广电运通科技有限公司、</w:t>
      </w:r>
      <w:r>
        <w:rPr>
          <w:rFonts w:ascii="宋体" w:hAnsi="宋体" w:cs="宋体" w:eastAsia="宋体" w:hint="default"/>
        </w:rPr>
        <w:t>GRG</w:t>
      </w:r>
      <w:r>
        <w:rPr>
          <w:rFonts w:ascii="宋体" w:hAnsi="宋体" w:cs="宋体" w:eastAsia="宋体" w:hint="default"/>
          <w:spacing w:val="-46"/>
        </w:rPr>
        <w:t> </w:t>
      </w:r>
      <w:r>
        <w:rPr>
          <w:rFonts w:ascii="宋体" w:hAnsi="宋体" w:cs="宋体" w:eastAsia="宋体" w:hint="default"/>
        </w:rPr>
        <w:t>Banking</w:t>
      </w:r>
      <w:r>
        <w:rPr>
          <w:rFonts w:ascii="宋体" w:hAnsi="宋体" w:cs="宋体" w:eastAsia="宋体" w:hint="default"/>
          <w:spacing w:val="-46"/>
        </w:rPr>
        <w:t> </w:t>
      </w:r>
      <w:r>
        <w:rPr>
          <w:rFonts w:ascii="宋体" w:hAnsi="宋体" w:cs="宋体" w:eastAsia="宋体" w:hint="default"/>
        </w:rPr>
        <w:t>Equipment(HK)</w:t>
      </w:r>
      <w:r>
        <w:rPr>
          <w:rFonts w:ascii="宋体" w:hAnsi="宋体" w:cs="宋体" w:eastAsia="宋体" w:hint="default"/>
          <w:spacing w:val="-46"/>
        </w:rPr>
        <w:t> </w:t>
      </w:r>
      <w:r>
        <w:rPr>
          <w:rFonts w:ascii="宋体" w:hAnsi="宋体" w:cs="宋体" w:eastAsia="宋体" w:hint="default"/>
        </w:rPr>
        <w:t>Co.Limited</w:t>
      </w:r>
      <w:r>
        <w:rPr/>
        <w:t>、</w:t>
      </w:r>
      <w:r>
        <w:rPr>
          <w:rFonts w:ascii="宋体" w:hAnsi="宋体" w:cs="宋体" w:eastAsia="宋体" w:hint="default"/>
        </w:rPr>
        <w:t>GRG</w:t>
      </w:r>
      <w:r>
        <w:rPr>
          <w:rFonts w:ascii="宋体" w:hAnsi="宋体" w:cs="宋体" w:eastAsia="宋体" w:hint="default"/>
          <w:spacing w:val="-3"/>
          <w:w w:val="100"/>
        </w:rPr>
        <w:t> </w:t>
      </w:r>
      <w:r>
        <w:rPr>
          <w:rFonts w:ascii="宋体" w:hAnsi="宋体" w:cs="宋体" w:eastAsia="宋体" w:hint="default"/>
        </w:rPr>
        <w:t>Hongkong</w:t>
      </w:r>
      <w:r>
        <w:rPr>
          <w:rFonts w:ascii="宋体" w:hAnsi="宋体" w:cs="宋体" w:eastAsia="宋体" w:hint="default"/>
          <w:spacing w:val="-36"/>
        </w:rPr>
        <w:t> </w:t>
      </w:r>
      <w:r>
        <w:rPr>
          <w:rFonts w:ascii="宋体" w:hAnsi="宋体" w:cs="宋体" w:eastAsia="宋体" w:hint="default"/>
        </w:rPr>
        <w:t>Mexico,</w:t>
      </w:r>
      <w:r>
        <w:rPr>
          <w:rFonts w:ascii="宋体" w:hAnsi="宋体" w:cs="宋体" w:eastAsia="宋体" w:hint="default"/>
          <w:spacing w:val="-36"/>
        </w:rPr>
        <w:t> </w:t>
      </w:r>
      <w:r>
        <w:rPr>
          <w:rFonts w:ascii="宋体" w:hAnsi="宋体" w:cs="宋体" w:eastAsia="宋体" w:hint="default"/>
        </w:rPr>
        <w:t>S.A.</w:t>
      </w:r>
      <w:r>
        <w:rPr>
          <w:rFonts w:ascii="宋体" w:hAnsi="宋体" w:cs="宋体" w:eastAsia="宋体" w:hint="default"/>
          <w:spacing w:val="-36"/>
        </w:rPr>
        <w:t> </w:t>
      </w:r>
      <w:r>
        <w:rPr>
          <w:rFonts w:ascii="宋体" w:hAnsi="宋体" w:cs="宋体" w:eastAsia="宋体" w:hint="default"/>
        </w:rPr>
        <w:t>DE</w:t>
      </w:r>
      <w:r>
        <w:rPr/>
        <w:t>、</w:t>
      </w:r>
      <w:r>
        <w:rPr>
          <w:rFonts w:ascii="宋体" w:hAnsi="宋体" w:cs="宋体" w:eastAsia="宋体" w:hint="default"/>
        </w:rPr>
        <w:t>Global</w:t>
      </w:r>
      <w:r>
        <w:rPr>
          <w:rFonts w:ascii="宋体" w:hAnsi="宋体" w:cs="宋体" w:eastAsia="宋体" w:hint="default"/>
          <w:spacing w:val="-36"/>
        </w:rPr>
        <w:t> </w:t>
      </w:r>
      <w:r>
        <w:rPr>
          <w:rFonts w:ascii="宋体" w:hAnsi="宋体" w:cs="宋体" w:eastAsia="宋体" w:hint="default"/>
        </w:rPr>
        <w:t>ATM</w:t>
      </w:r>
      <w:r>
        <w:rPr>
          <w:rFonts w:ascii="宋体" w:hAnsi="宋体" w:cs="宋体" w:eastAsia="宋体" w:hint="default"/>
          <w:spacing w:val="-36"/>
        </w:rPr>
        <w:t> </w:t>
      </w:r>
      <w:r>
        <w:rPr>
          <w:rFonts w:ascii="宋体" w:hAnsi="宋体" w:cs="宋体" w:eastAsia="宋体" w:hint="default"/>
        </w:rPr>
        <w:t>Parts</w:t>
      </w:r>
      <w:r>
        <w:rPr>
          <w:rFonts w:ascii="宋体" w:hAnsi="宋体" w:cs="宋体" w:eastAsia="宋体" w:hint="default"/>
          <w:spacing w:val="-33"/>
        </w:rPr>
        <w:t> </w:t>
      </w:r>
      <w:r>
        <w:rPr>
          <w:rFonts w:ascii="宋体" w:hAnsi="宋体" w:cs="宋体" w:eastAsia="宋体" w:hint="default"/>
        </w:rPr>
        <w:t>Co.,Limited</w:t>
      </w:r>
      <w:r>
        <w:rPr/>
        <w:t>、</w:t>
      </w:r>
      <w:r>
        <w:rPr>
          <w:rFonts w:ascii="宋体" w:hAnsi="宋体" w:cs="宋体" w:eastAsia="宋体" w:hint="default"/>
        </w:rPr>
        <w:t>GRG</w:t>
      </w:r>
      <w:r>
        <w:rPr>
          <w:rFonts w:ascii="宋体" w:hAnsi="宋体" w:cs="宋体" w:eastAsia="宋体" w:hint="default"/>
          <w:spacing w:val="-33"/>
        </w:rPr>
        <w:t> </w:t>
      </w:r>
      <w:r>
        <w:rPr>
          <w:rFonts w:ascii="宋体" w:hAnsi="宋体" w:cs="宋体" w:eastAsia="宋体" w:hint="default"/>
        </w:rPr>
        <w:t>Turkiye</w:t>
      </w:r>
      <w:r>
        <w:rPr>
          <w:rFonts w:ascii="宋体" w:hAnsi="宋体" w:cs="宋体" w:eastAsia="宋体" w:hint="default"/>
          <w:spacing w:val="-33"/>
        </w:rPr>
        <w:t> </w:t>
      </w:r>
      <w:r>
        <w:rPr>
          <w:rFonts w:ascii="宋体" w:hAnsi="宋体" w:cs="宋体" w:eastAsia="宋体" w:hint="default"/>
        </w:rPr>
        <w:t>Bankacilik</w:t>
      </w:r>
      <w:r>
        <w:rPr>
          <w:rFonts w:ascii="宋体" w:hAnsi="宋体" w:cs="宋体" w:eastAsia="宋体" w:hint="default"/>
          <w:spacing w:val="-36"/>
        </w:rPr>
        <w:t> </w:t>
      </w:r>
      <w:r>
        <w:rPr>
          <w:rFonts w:ascii="宋体" w:hAnsi="宋体" w:cs="宋体" w:eastAsia="宋体" w:hint="default"/>
        </w:rPr>
        <w:t>Ekipmanlari</w:t>
      </w:r>
      <w:r>
        <w:rPr>
          <w:rFonts w:ascii="宋体" w:hAnsi="宋体" w:cs="宋体" w:eastAsia="宋体" w:hint="default"/>
          <w:spacing w:val="-36"/>
        </w:rPr>
        <w:t> </w:t>
      </w:r>
      <w:r>
        <w:rPr>
          <w:rFonts w:ascii="宋体" w:hAnsi="宋体" w:cs="宋体" w:eastAsia="宋体" w:hint="default"/>
        </w:rPr>
        <w:t>Ltd</w:t>
      </w:r>
      <w:r>
        <w:rPr/>
        <w:t>、</w:t>
      </w:r>
      <w:r>
        <w:rPr>
          <w:w w:val="100"/>
        </w:rPr>
        <w:t> </w:t>
      </w:r>
      <w:r>
        <w:rPr>
          <w:rFonts w:ascii="宋体" w:hAnsi="宋体" w:cs="宋体" w:eastAsia="宋体" w:hint="default"/>
        </w:rPr>
        <w:t>GRG</w:t>
      </w:r>
      <w:r>
        <w:rPr>
          <w:rFonts w:ascii="宋体" w:hAnsi="宋体" w:cs="宋体" w:eastAsia="宋体" w:hint="default"/>
          <w:spacing w:val="-53"/>
        </w:rPr>
        <w:t> </w:t>
      </w:r>
      <w:r>
        <w:rPr>
          <w:rFonts w:ascii="宋体" w:hAnsi="宋体" w:cs="宋体" w:eastAsia="宋体" w:hint="default"/>
        </w:rPr>
        <w:t>Banking</w:t>
      </w:r>
      <w:r>
        <w:rPr>
          <w:rFonts w:ascii="宋体" w:hAnsi="宋体" w:cs="宋体" w:eastAsia="宋体" w:hint="default"/>
          <w:spacing w:val="-53"/>
        </w:rPr>
        <w:t> </w:t>
      </w:r>
      <w:r>
        <w:rPr>
          <w:rFonts w:ascii="宋体" w:hAnsi="宋体" w:cs="宋体" w:eastAsia="宋体" w:hint="default"/>
        </w:rPr>
        <w:t>Equipment</w:t>
      </w:r>
      <w:r>
        <w:rPr>
          <w:rFonts w:ascii="宋体" w:hAnsi="宋体" w:cs="宋体" w:eastAsia="宋体" w:hint="default"/>
          <w:spacing w:val="-53"/>
        </w:rPr>
        <w:t> </w:t>
      </w:r>
      <w:r>
        <w:rPr>
          <w:rFonts w:ascii="宋体" w:hAnsi="宋体" w:cs="宋体" w:eastAsia="宋体" w:hint="default"/>
        </w:rPr>
        <w:t>(HK)</w:t>
      </w:r>
      <w:r>
        <w:rPr>
          <w:rFonts w:ascii="宋体" w:hAnsi="宋体" w:cs="宋体" w:eastAsia="宋体" w:hint="default"/>
          <w:spacing w:val="-53"/>
        </w:rPr>
        <w:t> </w:t>
      </w:r>
      <w:r>
        <w:rPr>
          <w:rFonts w:ascii="宋体" w:hAnsi="宋体" w:cs="宋体" w:eastAsia="宋体" w:hint="default"/>
        </w:rPr>
        <w:t>Europe</w:t>
      </w:r>
      <w:r>
        <w:rPr/>
        <w:t>、</w:t>
      </w:r>
      <w:r>
        <w:rPr>
          <w:rFonts w:ascii="宋体" w:hAnsi="宋体" w:cs="宋体" w:eastAsia="宋体" w:hint="default"/>
        </w:rPr>
        <w:t>GRG</w:t>
      </w:r>
      <w:r>
        <w:rPr>
          <w:rFonts w:ascii="宋体" w:hAnsi="宋体" w:cs="宋体" w:eastAsia="宋体" w:hint="default"/>
          <w:spacing w:val="-53"/>
        </w:rPr>
        <w:t> </w:t>
      </w:r>
      <w:r>
        <w:rPr>
          <w:rFonts w:ascii="宋体" w:hAnsi="宋体" w:cs="宋体" w:eastAsia="宋体" w:hint="default"/>
        </w:rPr>
        <w:t>Deutschland</w:t>
      </w:r>
      <w:r>
        <w:rPr>
          <w:rFonts w:ascii="宋体" w:hAnsi="宋体" w:cs="宋体" w:eastAsia="宋体" w:hint="default"/>
          <w:spacing w:val="-53"/>
        </w:rPr>
        <w:t> </w:t>
      </w:r>
      <w:r>
        <w:rPr>
          <w:rFonts w:ascii="宋体" w:hAnsi="宋体" w:cs="宋体" w:eastAsia="宋体" w:hint="default"/>
          <w:spacing w:val="-3"/>
        </w:rPr>
        <w:t>GmbH</w:t>
      </w:r>
      <w:r>
        <w:rPr>
          <w:spacing w:val="-3"/>
        </w:rPr>
        <w:t>）、</w:t>
      </w:r>
      <w:r>
        <w:rPr>
          <w:rFonts w:ascii="宋体" w:hAnsi="宋体" w:cs="宋体" w:eastAsia="宋体" w:hint="default"/>
          <w:spacing w:val="-3"/>
        </w:rPr>
        <w:t>GRG</w:t>
      </w:r>
      <w:r>
        <w:rPr>
          <w:rFonts w:ascii="宋体" w:hAnsi="宋体" w:cs="宋体" w:eastAsia="宋体" w:hint="default"/>
          <w:spacing w:val="-53"/>
        </w:rPr>
        <w:t> </w:t>
      </w:r>
      <w:r>
        <w:rPr>
          <w:rFonts w:ascii="宋体" w:hAnsi="宋体" w:cs="宋体" w:eastAsia="宋体" w:hint="default"/>
        </w:rPr>
        <w:t>Equipment</w:t>
      </w:r>
      <w:r>
        <w:rPr>
          <w:rFonts w:ascii="宋体" w:hAnsi="宋体" w:cs="宋体" w:eastAsia="宋体" w:hint="default"/>
          <w:spacing w:val="-55"/>
        </w:rPr>
        <w:t> </w:t>
      </w:r>
      <w:r>
        <w:rPr>
          <w:rFonts w:ascii="宋体" w:hAnsi="宋体" w:cs="宋体" w:eastAsia="宋体" w:hint="default"/>
        </w:rPr>
        <w:t>(Singapore)</w:t>
      </w:r>
      <w:r>
        <w:rPr>
          <w:rFonts w:ascii="宋体" w:hAnsi="宋体" w:cs="宋体" w:eastAsia="宋体" w:hint="default"/>
          <w:spacing w:val="-53"/>
        </w:rPr>
        <w:t> </w:t>
      </w:r>
      <w:r>
        <w:rPr>
          <w:rFonts w:ascii="宋体" w:hAnsi="宋体" w:cs="宋体" w:eastAsia="宋体" w:hint="default"/>
        </w:rPr>
        <w:t>Pte.</w:t>
      </w:r>
      <w:r>
        <w:rPr>
          <w:rFonts w:ascii="宋体" w:hAnsi="宋体" w:cs="宋体" w:eastAsia="宋体" w:hint="default"/>
          <w:spacing w:val="-53"/>
        </w:rPr>
        <w:t> </w:t>
      </w:r>
      <w:r>
        <w:rPr>
          <w:rFonts w:ascii="宋体" w:hAnsi="宋体" w:cs="宋体" w:eastAsia="宋体" w:hint="default"/>
          <w:spacing w:val="-4"/>
        </w:rPr>
        <w:t>Ltd.</w:t>
      </w:r>
      <w:r>
        <w:rPr>
          <w:spacing w:val="-4"/>
        </w:rPr>
        <w:t>）。</w:t>
      </w:r>
      <w:r>
        <w:rPr/>
      </w:r>
    </w:p>
    <w:p>
      <w:pPr>
        <w:pStyle w:val="Heading3"/>
        <w:spacing w:line="408" w:lineRule="auto" w:before="46"/>
        <w:ind w:right="209" w:firstLine="425"/>
        <w:jc w:val="both"/>
      </w:pPr>
      <w:r>
        <w:rPr>
          <w:spacing w:val="-3"/>
        </w:rPr>
        <w:t>本期合并财务报表范围及其变化情况详见本附注“八、合并范围的变更”和“九、在其他主体中的权</w:t>
      </w:r>
      <w:r>
        <w:rPr>
          <w:w w:val="100"/>
        </w:rPr>
        <w:t> </w:t>
      </w:r>
      <w:r>
        <w:rPr/>
        <w:t>益”。</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四、财务报表的编制基础</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、编制基础</w:t>
      </w:r>
      <w:r>
        <w:rPr>
          <w:b w:val="0"/>
          <w:bCs w:val="0"/>
        </w:rPr>
      </w:r>
    </w:p>
    <w:p>
      <w:pPr>
        <w:spacing w:line="240" w:lineRule="auto" w:before="0"/>
        <w:rPr>
          <w:rFonts w:ascii="宋体" w:hAnsi="宋体" w:cs="宋体" w:eastAsia="宋体" w:hint="default"/>
          <w:b/>
          <w:bCs/>
          <w:sz w:val="20"/>
          <w:szCs w:val="20"/>
        </w:rPr>
      </w:pPr>
    </w:p>
    <w:p>
      <w:pPr>
        <w:pStyle w:val="Heading3"/>
        <w:spacing w:line="400" w:lineRule="auto" w:before="147"/>
        <w:ind w:right="206" w:firstLine="425"/>
        <w:jc w:val="both"/>
      </w:pPr>
      <w:r>
        <w:rPr>
          <w:spacing w:val="-2"/>
        </w:rPr>
        <w:t>公司以持续经营为基础，根据实际发生的交易和事项，按照财政部颁布的《企业会计准则——基本准</w:t>
      </w:r>
      <w:r>
        <w:rPr>
          <w:w w:val="100"/>
        </w:rPr>
        <w:t> </w:t>
      </w:r>
      <w:r>
        <w:rPr/>
        <w:t>则》和各项具体会计准则、企业会计准则应用指南、企业会计准则解释及其他相关规定</w:t>
      </w:r>
      <w:r>
        <w:rPr>
          <w:rFonts w:ascii="宋体" w:hAnsi="宋体" w:cs="宋体" w:eastAsia="宋体" w:hint="default"/>
        </w:rPr>
        <w:t>(</w:t>
      </w:r>
      <w:r>
        <w:rPr/>
        <w:t>以下合称“企业</w:t>
      </w:r>
      <w:r>
        <w:rPr>
          <w:spacing w:val="-20"/>
        </w:rPr>
        <w:t> </w:t>
      </w:r>
      <w:r>
        <w:rPr>
          <w:spacing w:val="-20"/>
        </w:rPr>
      </w:r>
      <w:r>
        <w:rPr/>
        <w:t>会计准则”</w:t>
      </w:r>
      <w:r>
        <w:rPr>
          <w:rFonts w:ascii="宋体" w:hAnsi="宋体" w:cs="宋体" w:eastAsia="宋体"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号——财务报</w:t>
      </w:r>
      <w:r>
        <w:rPr>
          <w:spacing w:val="-24"/>
        </w:rPr>
        <w:t> </w:t>
      </w:r>
      <w:r>
        <w:rPr>
          <w:spacing w:val="-24"/>
        </w:rPr>
      </w:r>
      <w:r>
        <w:rPr/>
        <w:t>告的一般规定》的披露规定编制财务报表。</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2</w:t>
      </w:r>
      <w:r>
        <w:rPr/>
        <w:t>、持续经营</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78" w:right="0"/>
        <w:jc w:val="left"/>
      </w:pPr>
      <w:r>
        <w:rPr/>
        <w:t>以下披露内容已涵盖了本公司根据实际生产经营特点制定的具体会计政策和会计估计。</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、遵循企业会计准则的声明</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50"/>
        <w:ind w:right="207" w:firstLine="425"/>
        <w:jc w:val="both"/>
      </w:pPr>
      <w:r>
        <w:rPr>
          <w:spacing w:val="-2"/>
        </w:rPr>
        <w:t>公司所编制的财务报表符合企业会计准则的要求，真实、完整地反映了报告期公司的财务状况、经营</w:t>
      </w:r>
      <w:r>
        <w:rPr>
          <w:w w:val="100"/>
        </w:rPr>
        <w:t> </w:t>
      </w:r>
      <w:r>
        <w:rPr/>
        <w:t>成果、现金流量等有关信息。</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2</w:t>
      </w:r>
      <w:r>
        <w:rPr/>
        <w:t>、会计期间</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3</w:t>
      </w:r>
      <w:r>
        <w:rPr/>
        <w:t>、营业周期</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footerReference w:type="default" r:id="rId31"/>
          <w:pgSz w:w="11910" w:h="16840"/>
          <w:pgMar w:footer="979" w:header="880" w:top="1100" w:bottom="1160" w:left="980" w:right="920"/>
          <w:pgNumType w:start="108"/>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4</w:t>
      </w:r>
      <w:r>
        <w:rPr/>
        <w:t>、记账本位币</w:t>
      </w:r>
      <w:r>
        <w:rPr>
          <w:b w:val="0"/>
          <w:bCs w:val="0"/>
        </w:rPr>
      </w:r>
    </w:p>
    <w:p>
      <w:pPr>
        <w:spacing w:line="240" w:lineRule="auto" w:before="8"/>
        <w:rPr>
          <w:rFonts w:ascii="宋体" w:hAnsi="宋体" w:cs="宋体" w:eastAsia="宋体" w:hint="default"/>
          <w:b/>
          <w:bCs/>
          <w:sz w:val="25"/>
          <w:szCs w:val="25"/>
        </w:rPr>
      </w:pPr>
    </w:p>
    <w:p>
      <w:pPr>
        <w:pStyle w:val="Heading3"/>
        <w:spacing w:line="273" w:lineRule="auto"/>
        <w:ind w:left="573" w:right="1674"/>
        <w:jc w:val="left"/>
      </w:pPr>
      <w:r>
        <w:rPr/>
        <w:t>采用人民币为记账本位币。</w:t>
      </w:r>
      <w:r>
        <w:rPr>
          <w:w w:val="100"/>
        </w:rPr>
        <w:t> </w:t>
      </w:r>
      <w:r>
        <w:rPr>
          <w:spacing w:val="-2"/>
        </w:rPr>
        <w:t>境外子公司以其所在国的运营经济环境的主要货币为记账本位币。</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47"/>
        <w:ind w:right="146" w:firstLine="425"/>
        <w:jc w:val="both"/>
      </w:pPr>
      <w:r>
        <w:rPr>
          <w:spacing w:val="-7"/>
        </w:rPr>
        <w:t>同一控制下企业合并：本公司在企业合并中取得的资产和负债，按照合并日在被合并方资产、负债（包</w:t>
      </w:r>
      <w:r>
        <w:rPr>
          <w:w w:val="100"/>
        </w:rPr>
        <w:t> </w:t>
      </w: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Heading3"/>
        <w:spacing w:line="408" w:lineRule="auto" w:before="46"/>
        <w:ind w:right="146" w:firstLine="425"/>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Heading3"/>
        <w:spacing w:line="408" w:lineRule="auto" w:before="46"/>
        <w:ind w:right="146" w:firstLine="425"/>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50"/>
        <w:ind w:left="578" w:right="0" w:hanging="111"/>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合并范围</w:t>
      </w:r>
      <w:r>
        <w:rPr>
          <w:w w:val="100"/>
        </w:rPr>
        <w:t> </w:t>
      </w:r>
      <w:r>
        <w:rPr>
          <w:spacing w:val="-2"/>
        </w:rPr>
        <w:t>本公司合并财务报表的合并范围以控制为基础确定，所有子公司（包括本公司所控制的单独主体）均</w:t>
      </w:r>
    </w:p>
    <w:p>
      <w:pPr>
        <w:pStyle w:val="Heading3"/>
        <w:spacing w:line="408" w:lineRule="auto" w:before="65"/>
        <w:ind w:left="467" w:right="7893" w:hanging="315"/>
        <w:jc w:val="left"/>
      </w:pPr>
      <w:r>
        <w:rPr>
          <w:spacing w:val="-1"/>
        </w:rPr>
        <w:t>纳入合并财务报表。</w:t>
      </w:r>
      <w:r>
        <w:rPr>
          <w:spacing w:val="-95"/>
        </w:rPr>
        <w:t> </w:t>
      </w:r>
      <w:r>
        <w:rPr>
          <w:spacing w:val="-95"/>
        </w:rPr>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合并程序</w:t>
      </w:r>
    </w:p>
    <w:p>
      <w:pPr>
        <w:pStyle w:val="Heading3"/>
        <w:spacing w:line="408" w:lineRule="auto" w:before="14"/>
        <w:ind w:right="146" w:firstLine="425"/>
        <w:jc w:val="both"/>
      </w:pPr>
      <w:r>
        <w:rPr>
          <w:spacing w:val="-2"/>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Heading3"/>
        <w:spacing w:line="408" w:lineRule="auto" w:before="46"/>
        <w:ind w:right="146" w:firstLine="425"/>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Heading3"/>
        <w:spacing w:line="240" w:lineRule="auto" w:before="46"/>
        <w:ind w:left="578" w:right="0"/>
        <w:jc w:val="left"/>
      </w:pPr>
      <w:r>
        <w:rPr/>
        <w:t>子公司所有者权益、当期净损益和当期综合收益中属于少数股东的份额分别在合并资产负债表中所有</w:t>
      </w:r>
    </w:p>
    <w:p>
      <w:pPr>
        <w:spacing w:after="0" w:line="240" w:lineRule="auto"/>
        <w:jc w:val="left"/>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08" w:lineRule="auto" w:before="36"/>
        <w:ind w:right="146"/>
        <w:jc w:val="both"/>
      </w:pP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Heading3"/>
        <w:spacing w:line="408" w:lineRule="auto" w:before="46"/>
        <w:ind w:left="578" w:right="0" w:hanging="5"/>
        <w:jc w:val="left"/>
      </w:pPr>
      <w:r>
        <w:rPr/>
        <w:t>①增加子公司或业务</w:t>
      </w:r>
      <w:r>
        <w:rPr>
          <w:w w:val="100"/>
        </w:rPr>
        <w:t> </w:t>
      </w:r>
      <w:r>
        <w:rPr>
          <w:spacing w:val="-2"/>
        </w:rPr>
        <w:t>在报告期内，若因同一控制下企业合并增加子公司或业务的，则调整合并资产负债表的期初数；将子</w:t>
      </w:r>
    </w:p>
    <w:p>
      <w:pPr>
        <w:pStyle w:val="Heading3"/>
        <w:spacing w:line="408" w:lineRule="auto" w:before="46"/>
        <w:ind w:right="14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Heading3"/>
        <w:spacing w:line="408" w:lineRule="auto" w:before="46"/>
        <w:ind w:right="14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Heading3"/>
        <w:spacing w:line="408" w:lineRule="auto" w:before="46"/>
        <w:ind w:right="146" w:firstLine="425"/>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2"/>
        </w:rPr>
        <w:t> </w:t>
      </w:r>
      <w:r>
        <w:rPr>
          <w:spacing w:val="-42"/>
        </w:rPr>
      </w:r>
      <w:r>
        <w:rPr/>
        <w:t>告期末的现金流量纳入合并现金流量表。</w:t>
      </w:r>
    </w:p>
    <w:p>
      <w:pPr>
        <w:pStyle w:val="Heading3"/>
        <w:spacing w:line="408" w:lineRule="auto" w:before="46"/>
        <w:ind w:right="146" w:firstLine="425"/>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Heading3"/>
        <w:spacing w:line="408" w:lineRule="auto" w:before="46"/>
        <w:ind w:left="578" w:right="6714" w:hanging="5"/>
        <w:jc w:val="left"/>
      </w:pPr>
      <w:r>
        <w:rPr>
          <w:spacing w:val="-2"/>
        </w:rPr>
        <w:t>②处置子公司或业务</w:t>
      </w:r>
      <w:r>
        <w:rPr>
          <w:spacing w:val="-89"/>
        </w:rPr>
        <w:t> </w:t>
      </w:r>
      <w:r>
        <w:rPr>
          <w:spacing w:val="-89"/>
        </w:rPr>
      </w:r>
      <w:r>
        <w:rPr/>
        <w:t>一般处理方法</w:t>
      </w:r>
    </w:p>
    <w:p>
      <w:pPr>
        <w:pStyle w:val="Heading3"/>
        <w:spacing w:line="408" w:lineRule="auto" w:before="46"/>
        <w:ind w:right="146" w:firstLine="425"/>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Heading3"/>
        <w:spacing w:line="408" w:lineRule="auto" w:before="46"/>
        <w:ind w:right="146" w:firstLine="425"/>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Heading3"/>
        <w:spacing w:line="240" w:lineRule="auto" w:before="46"/>
        <w:ind w:left="578" w:right="0"/>
        <w:jc w:val="left"/>
      </w:pPr>
      <w:r>
        <w:rPr/>
        <w:t>分步处置子公司</w:t>
      </w:r>
    </w:p>
    <w:p>
      <w:pPr>
        <w:spacing w:after="0" w:line="240" w:lineRule="auto"/>
        <w:jc w:val="left"/>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08" w:lineRule="auto" w:before="36"/>
        <w:ind w:right="146" w:firstLine="425"/>
        <w:jc w:val="both"/>
      </w:pPr>
      <w:r>
        <w:rPr>
          <w:spacing w:val="-2"/>
        </w:rPr>
        <w:t>通过多次交易分步处置对子公司股权投资直至丧失控制权的，处置对子公司股权投资的各项交易的条</w:t>
      </w:r>
      <w:r>
        <w:rPr>
          <w:w w:val="100"/>
        </w:rPr>
        <w:t> </w:t>
      </w: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Heading3"/>
        <w:spacing w:line="408" w:lineRule="auto" w:before="46"/>
        <w:ind w:left="578"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Heading3"/>
        <w:spacing w:line="408" w:lineRule="auto" w:before="46"/>
        <w:ind w:right="14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Heading3"/>
        <w:spacing w:line="408" w:lineRule="auto" w:before="46"/>
        <w:ind w:right="146" w:firstLine="425"/>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Heading3"/>
        <w:spacing w:line="408" w:lineRule="auto" w:before="46"/>
        <w:ind w:left="578" w:right="0"/>
        <w:jc w:val="left"/>
      </w:pPr>
      <w:r>
        <w:rPr/>
        <w:t>③购买子公司少数股权</w:t>
      </w:r>
      <w:r>
        <w:rPr>
          <w:w w:val="100"/>
        </w:rPr>
        <w:t> </w:t>
      </w:r>
      <w:r>
        <w:rPr>
          <w:spacing w:val="-2"/>
        </w:rPr>
        <w:t>本公司因购买少数股权新取得的长期股权投资与按照新增持股比例计算应享有子公司自购买日（或合</w:t>
      </w:r>
    </w:p>
    <w:p>
      <w:pPr>
        <w:pStyle w:val="Heading3"/>
        <w:spacing w:line="408" w:lineRule="auto" w:before="46"/>
        <w:ind w:right="14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Heading3"/>
        <w:spacing w:line="408" w:lineRule="auto" w:before="46"/>
        <w:ind w:left="578" w:right="0"/>
        <w:jc w:val="left"/>
      </w:pPr>
      <w:r>
        <w:rPr/>
        <w:t>④不丧失控制权的情况下部分处置对子公司的长期股权投资</w:t>
      </w:r>
      <w:r>
        <w:rPr>
          <w:w w:val="100"/>
        </w:rPr>
        <w:t> </w:t>
      </w:r>
      <w:r>
        <w:rPr>
          <w:spacing w:val="2"/>
        </w:rPr>
        <w:t>在不丧失控制权的情况下因部分处置对子公司的长期股权投资而取得的处置价款与处置长期股权投</w:t>
      </w:r>
    </w:p>
    <w:p>
      <w:pPr>
        <w:pStyle w:val="Heading3"/>
        <w:spacing w:line="410" w:lineRule="auto" w:before="46"/>
        <w:ind w:right="14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sz w:val="18"/>
          <w:szCs w:val="18"/>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47"/>
        <w:ind w:left="578" w:right="0"/>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Heading3"/>
        <w:spacing w:line="240" w:lineRule="auto" w:before="46"/>
        <w:ind w:left="578"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3"/>
        <w:spacing w:line="240" w:lineRule="auto" w:before="177"/>
        <w:ind w:left="578"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3"/>
        <w:spacing w:line="240" w:lineRule="auto" w:before="177"/>
        <w:ind w:left="578" w:right="0"/>
        <w:jc w:val="left"/>
      </w:pPr>
      <w:r>
        <w:rPr/>
        <w:t>（</w:t>
      </w:r>
      <w:r>
        <w:rPr>
          <w:rFonts w:ascii="Times New Roman" w:hAnsi="Times New Roman" w:cs="Times New Roman" w:eastAsia="Times New Roman" w:hint="default"/>
        </w:rPr>
        <w:t>3</w:t>
      </w:r>
      <w:r>
        <w:rPr/>
        <w:t>）确认出售本公司享有的共同经营产出份额所产生的收入。</w:t>
      </w:r>
    </w:p>
    <w:p>
      <w:pPr>
        <w:spacing w:after="0" w:line="240" w:lineRule="auto"/>
        <w:jc w:val="left"/>
        <w:sectPr>
          <w:footerReference w:type="default" r:id="rId32"/>
          <w:pgSz w:w="11910" w:h="16840"/>
          <w:pgMar w:footer="979" w:header="880" w:top="1100" w:bottom="1160" w:left="980" w:right="980"/>
          <w:pgNumType w:start="111"/>
        </w:sectPr>
      </w:pPr>
    </w:p>
    <w:p>
      <w:pPr>
        <w:spacing w:line="240" w:lineRule="auto" w:before="10"/>
        <w:rPr>
          <w:rFonts w:ascii="宋体" w:hAnsi="宋体" w:cs="宋体" w:eastAsia="宋体" w:hint="default"/>
          <w:sz w:val="26"/>
          <w:szCs w:val="26"/>
        </w:rPr>
      </w:pPr>
    </w:p>
    <w:p>
      <w:pPr>
        <w:pStyle w:val="Heading3"/>
        <w:spacing w:line="240" w:lineRule="auto" w:before="36"/>
        <w:ind w:left="578"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3"/>
        <w:spacing w:line="386" w:lineRule="auto" w:before="177"/>
        <w:ind w:left="573" w:right="0" w:firstLine="4"/>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6"/>
        </w:rPr>
        <w:t> </w:t>
      </w:r>
      <w:r>
        <w:rPr>
          <w:spacing w:val="-46"/>
        </w:rPr>
      </w:r>
      <w:r>
        <w:rPr/>
        <w:t>本公司对合营企业投资的会计政策见本附注“五、</w:t>
      </w:r>
      <w:r>
        <w:rPr>
          <w:rFonts w:ascii="Times New Roman" w:hAnsi="Times New Roman" w:cs="Times New Roman" w:eastAsia="Times New Roman" w:hint="default"/>
        </w:rPr>
        <w:t>13</w:t>
      </w:r>
      <w:r>
        <w:rPr/>
        <w:t>长期股权投资”。</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8</w:t>
      </w:r>
      <w:r>
        <w:rPr/>
        <w:t>、现金及现金等价物的确定标准</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50"/>
        <w:ind w:right="125" w:firstLine="420"/>
        <w:jc w:val="both"/>
      </w:pPr>
      <w:r>
        <w:rPr>
          <w:spacing w:val="-2"/>
        </w:rPr>
        <w:t>在编制现金流量表时，将本公司库存现金以及可以随时用于支付的存款确认为现金。将同时具备期限</w:t>
      </w:r>
      <w:r>
        <w:rPr>
          <w:w w:val="100"/>
        </w:rPr>
        <w:t> </w:t>
      </w: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9</w:t>
      </w:r>
      <w:r>
        <w:rPr/>
        <w:t>、外币业务和外币报表折算</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47"/>
        <w:ind w:left="573" w:right="1674" w:hanging="106"/>
        <w:jc w:val="left"/>
      </w:pPr>
      <w:r>
        <w:rPr/>
        <w:t>（</w:t>
      </w:r>
      <w:r>
        <w:rPr>
          <w:rFonts w:ascii="Times New Roman" w:hAnsi="Times New Roman" w:cs="Times New Roman" w:eastAsia="Times New Roman" w:hint="default"/>
        </w:rPr>
        <w:t>1</w:t>
      </w:r>
      <w:r>
        <w:rPr/>
        <w:t>）外币业务</w:t>
      </w:r>
      <w:r>
        <w:rPr>
          <w:w w:val="100"/>
        </w:rPr>
        <w:t> </w:t>
      </w:r>
      <w:r>
        <w:rPr>
          <w:spacing w:val="-2"/>
        </w:rPr>
        <w:t>外币业务采用交易发生日的即期汇率作为折算汇率将外币金额折合成人民币记账。</w:t>
      </w:r>
    </w:p>
    <w:p>
      <w:pPr>
        <w:pStyle w:val="Heading3"/>
        <w:spacing w:line="408" w:lineRule="auto" w:before="65"/>
        <w:ind w:right="146" w:firstLine="420"/>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pStyle w:val="Heading3"/>
        <w:spacing w:line="386" w:lineRule="auto" w:before="46"/>
        <w:ind w:left="678" w:right="0" w:hanging="212"/>
        <w:jc w:val="left"/>
      </w:pPr>
      <w:r>
        <w:rPr/>
        <w:t>（</w:t>
      </w:r>
      <w:r>
        <w:rPr>
          <w:rFonts w:ascii="Times New Roman" w:hAnsi="Times New Roman" w:cs="Times New Roman" w:eastAsia="Times New Roman" w:hint="default"/>
        </w:rPr>
        <w:t>2</w:t>
      </w:r>
      <w:r>
        <w:rPr/>
        <w:t>）外币财务报表的折算</w:t>
      </w:r>
      <w:r>
        <w:rPr>
          <w:w w:val="100"/>
        </w:rPr>
        <w:t> </w:t>
      </w:r>
      <w:r>
        <w:rPr/>
        <w:t>资产负债表中的资产和负债项目，采用资产负债表日的即期汇率折算；所有者权益项目除“未分配</w:t>
      </w:r>
    </w:p>
    <w:p>
      <w:pPr>
        <w:pStyle w:val="Heading3"/>
        <w:spacing w:line="408" w:lineRule="auto" w:before="65"/>
        <w:ind w:right="0"/>
        <w:jc w:val="left"/>
      </w:pPr>
      <w:r>
        <w:rPr>
          <w:spacing w:val="-2"/>
        </w:rPr>
        <w:t>利润”项目外，其他项目采用发生时的即期汇率折算。利润表中的收入和费用项目，采用年度平均汇率折</w:t>
      </w:r>
      <w:r>
        <w:rPr>
          <w:spacing w:val="-46"/>
        </w:rPr>
        <w:t> </w:t>
      </w:r>
      <w:r>
        <w:rPr>
          <w:spacing w:val="-46"/>
        </w:rPr>
      </w:r>
      <w:r>
        <w:rPr/>
        <w:t>算。</w:t>
      </w:r>
    </w:p>
    <w:p>
      <w:pPr>
        <w:pStyle w:val="Heading3"/>
        <w:spacing w:line="408" w:lineRule="auto" w:before="46"/>
        <w:ind w:right="0" w:firstLine="314"/>
        <w:jc w:val="left"/>
      </w:pPr>
      <w:r>
        <w:rPr/>
        <w:t>处置境外经营时，将与该境外经营相关的外币财务报表折算差额，自所有者权益项目转入处置当期损</w:t>
      </w:r>
      <w:r>
        <w:rPr>
          <w:w w:val="100"/>
        </w:rPr>
        <w:t> </w:t>
      </w:r>
      <w:r>
        <w:rPr/>
        <w:t>益。</w:t>
      </w: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10</w:t>
      </w:r>
      <w:r>
        <w:rPr>
          <w:rFonts w:ascii="宋体" w:hAnsi="宋体" w:cs="宋体" w:eastAsia="宋体" w:hint="default"/>
          <w:b/>
          <w:bCs/>
          <w:sz w:val="20"/>
          <w:szCs w:val="20"/>
        </w:rPr>
        <w:t>、金融工具</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408" w:lineRule="auto" w:before="150"/>
        <w:ind w:left="467" w:right="4014" w:firstLine="105"/>
        <w:jc w:val="left"/>
      </w:pPr>
      <w:r>
        <w:rPr>
          <w:spacing w:val="-2"/>
        </w:rPr>
        <w:t>金融工具包括金融资产、金融负债和权益工具。</w:t>
      </w:r>
      <w:r>
        <w:rPr>
          <w:w w:val="100"/>
        </w:rPr>
        <w:t> </w:t>
      </w: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金融工具的分类</w:t>
      </w:r>
    </w:p>
    <w:p>
      <w:pPr>
        <w:pStyle w:val="Heading3"/>
        <w:spacing w:line="408" w:lineRule="auto" w:before="14"/>
        <w:ind w:right="146" w:firstLine="420"/>
        <w:jc w:val="both"/>
      </w:pPr>
      <w:r>
        <w:rPr>
          <w:spacing w:val="-2"/>
        </w:rPr>
        <w:t>金融资产和金融负债于初始确认时分类为：以公允价值计量且其变动计入当期损益的金融资产或金融</w:t>
      </w:r>
      <w:r>
        <w:rPr>
          <w:w w:val="100"/>
        </w:rPr>
        <w:t> </w:t>
      </w: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pStyle w:val="Heading3"/>
        <w:spacing w:line="240" w:lineRule="auto" w:before="46"/>
        <w:ind w:left="467" w:right="0"/>
        <w:jc w:val="left"/>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金融工具的确认依据和计量方法</w:t>
      </w:r>
    </w:p>
    <w:p>
      <w:pPr>
        <w:pStyle w:val="Heading3"/>
        <w:spacing w:line="240" w:lineRule="auto" w:before="177"/>
        <w:ind w:left="573" w:right="0"/>
        <w:jc w:val="left"/>
      </w:pPr>
      <w:r>
        <w:rPr/>
        <w:t>①以公允价值计量且其变动计入当期损益的金融资产（金融负债）</w:t>
      </w:r>
    </w:p>
    <w:p>
      <w:pPr>
        <w:spacing w:after="0" w:line="240" w:lineRule="auto"/>
        <w:jc w:val="left"/>
        <w:sectPr>
          <w:footerReference w:type="default" r:id="rId33"/>
          <w:pgSz w:w="11910" w:h="16840"/>
          <w:pgMar w:footer="979" w:header="880" w:top="1100" w:bottom="1160" w:left="980" w:right="980"/>
          <w:pgNumType w:start="112"/>
        </w:sectPr>
      </w:pPr>
    </w:p>
    <w:p>
      <w:pPr>
        <w:spacing w:line="240" w:lineRule="auto" w:before="10"/>
        <w:rPr>
          <w:rFonts w:ascii="宋体" w:hAnsi="宋体" w:cs="宋体" w:eastAsia="宋体" w:hint="default"/>
          <w:sz w:val="26"/>
          <w:szCs w:val="26"/>
        </w:rPr>
      </w:pPr>
    </w:p>
    <w:p>
      <w:pPr>
        <w:pStyle w:val="Heading3"/>
        <w:spacing w:line="408" w:lineRule="auto" w:before="36"/>
        <w:ind w:right="0" w:firstLine="420"/>
        <w:jc w:val="left"/>
      </w:pPr>
      <w:r>
        <w:rPr>
          <w:spacing w:val="-2"/>
        </w:rPr>
        <w:t>取得时以公允价值（扣除已宣告但尚未发放的现金股利或已到付息期但尚未领取的债券利息）作为初</w:t>
      </w:r>
      <w:r>
        <w:rPr>
          <w:w w:val="100"/>
        </w:rPr>
        <w:t> </w:t>
      </w:r>
      <w:r>
        <w:rPr/>
        <w:t>始确认金额，相关的交易费用计入当期损益。</w:t>
      </w:r>
    </w:p>
    <w:p>
      <w:pPr>
        <w:pStyle w:val="Heading3"/>
        <w:spacing w:line="408" w:lineRule="auto" w:before="46"/>
        <w:ind w:left="364" w:right="0" w:firstLine="208"/>
        <w:jc w:val="left"/>
      </w:pP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Heading3"/>
        <w:spacing w:line="408" w:lineRule="auto" w:before="46"/>
        <w:ind w:left="573" w:right="0"/>
        <w:jc w:val="left"/>
      </w:pPr>
      <w:r>
        <w:rPr/>
        <w:t>②持有至到期投资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Heading3"/>
        <w:spacing w:line="408" w:lineRule="auto" w:before="46"/>
        <w:ind w:left="573" w:right="0"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Heading3"/>
        <w:spacing w:line="408" w:lineRule="auto" w:before="46"/>
        <w:ind w:left="573" w:right="0"/>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Heading3"/>
        <w:spacing w:line="408" w:lineRule="auto" w:before="46"/>
        <w:ind w:right="0"/>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Heading3"/>
        <w:spacing w:line="240" w:lineRule="auto" w:before="46"/>
        <w:ind w:left="57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Heading3"/>
        <w:spacing w:line="408" w:lineRule="auto"/>
        <w:ind w:left="573" w:right="0"/>
        <w:jc w:val="left"/>
      </w:pPr>
      <w:r>
        <w:rPr/>
        <w:t>④可供出售金融资产</w:t>
      </w:r>
      <w:r>
        <w:rPr>
          <w:w w:val="100"/>
        </w:rPr>
        <w:t> </w:t>
      </w:r>
      <w:r>
        <w:rPr>
          <w:spacing w:val="-2"/>
        </w:rPr>
        <w:t>取得时按公允价值（扣除已宣告但尚未发放的现金股利或已到付息期但尚未领取的债券利息）和相关</w:t>
      </w:r>
    </w:p>
    <w:p>
      <w:pPr>
        <w:pStyle w:val="Heading3"/>
        <w:spacing w:line="408" w:lineRule="auto" w:before="46"/>
        <w:ind w:left="573" w:right="0" w:hanging="421"/>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Heading3"/>
        <w:spacing w:line="408" w:lineRule="auto" w:before="46"/>
        <w:ind w:right="0"/>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Heading3"/>
        <w:spacing w:line="410" w:lineRule="auto" w:before="46"/>
        <w:ind w:right="0" w:firstLine="420"/>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Heading3"/>
        <w:spacing w:line="400" w:lineRule="auto" w:before="44"/>
        <w:ind w:left="573" w:right="206"/>
        <w:jc w:val="left"/>
      </w:pPr>
      <w:r>
        <w:rPr/>
        <w:t>⑤其他金融负债</w:t>
      </w:r>
      <w:r>
        <w:rPr>
          <w:spacing w:val="-103"/>
        </w:rPr>
        <w:t> </w:t>
      </w:r>
      <w:r>
        <w:rPr>
          <w:spacing w:val="-103"/>
        </w:rPr>
      </w:r>
      <w:r>
        <w:rPr/>
        <w:t>按其公允价值和相关交易费用之和作为初始确认金额。采用摊余成本进行后续计量。</w:t>
      </w:r>
      <w:r>
        <w:rPr>
          <w:spacing w:val="-3"/>
          <w:w w:val="100"/>
        </w:rPr>
        <w:t> </w:t>
      </w: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金融资产转移的确认依据和计量方法</w:t>
      </w:r>
      <w:r>
        <w:rPr>
          <w:w w:val="100"/>
        </w:rPr>
        <w:t> </w:t>
      </w:r>
      <w:r>
        <w:rPr>
          <w:spacing w:val="-2"/>
        </w:rPr>
        <w:t>公司发生金融资产转移时，如已将金融资产所有权上几乎所有的风险和报酬转移给转入方，则终止确</w:t>
      </w:r>
    </w:p>
    <w:p>
      <w:pPr>
        <w:pStyle w:val="Heading3"/>
        <w:spacing w:line="408" w:lineRule="auto" w:before="52"/>
        <w:ind w:left="573" w:right="0" w:hanging="421"/>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Heading3"/>
        <w:spacing w:line="408" w:lineRule="auto" w:before="46"/>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spacing w:after="0" w:line="408" w:lineRule="auto"/>
        <w:jc w:val="left"/>
        <w:sectPr>
          <w:pgSz w:w="11910" w:h="16840"/>
          <w:pgMar w:header="880" w:footer="979" w:top="1100" w:bottom="1160" w:left="980" w:right="920"/>
        </w:sectPr>
      </w:pPr>
    </w:p>
    <w:p>
      <w:pPr>
        <w:spacing w:line="240" w:lineRule="auto" w:before="10"/>
        <w:rPr>
          <w:rFonts w:ascii="宋体" w:hAnsi="宋体" w:cs="宋体" w:eastAsia="宋体" w:hint="default"/>
          <w:sz w:val="26"/>
          <w:szCs w:val="26"/>
        </w:rPr>
      </w:pPr>
    </w:p>
    <w:p>
      <w:pPr>
        <w:pStyle w:val="Heading3"/>
        <w:spacing w:line="240" w:lineRule="auto" w:before="36"/>
        <w:ind w:left="573" w:right="0"/>
        <w:jc w:val="left"/>
      </w:pPr>
      <w:r>
        <w:rPr/>
        <w:t>①所转移金融资产的账面价值。</w:t>
      </w:r>
    </w:p>
    <w:p>
      <w:pPr>
        <w:spacing w:line="240" w:lineRule="auto" w:before="10"/>
        <w:rPr>
          <w:rFonts w:ascii="宋体" w:hAnsi="宋体" w:cs="宋体" w:eastAsia="宋体" w:hint="default"/>
          <w:sz w:val="14"/>
          <w:szCs w:val="14"/>
        </w:rPr>
      </w:pPr>
    </w:p>
    <w:p>
      <w:pPr>
        <w:pStyle w:val="Heading3"/>
        <w:spacing w:line="408" w:lineRule="auto"/>
        <w:ind w:right="0" w:firstLine="420"/>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Heading3"/>
        <w:spacing w:line="408" w:lineRule="auto" w:before="46"/>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Heading3"/>
        <w:spacing w:line="240" w:lineRule="auto" w:before="46"/>
        <w:ind w:left="573" w:right="0"/>
        <w:jc w:val="left"/>
      </w:pPr>
      <w:r>
        <w:rPr/>
        <w:t>①终止确认部分的账面价值。</w:t>
      </w:r>
    </w:p>
    <w:p>
      <w:pPr>
        <w:spacing w:line="240" w:lineRule="auto" w:before="10"/>
        <w:rPr>
          <w:rFonts w:ascii="宋体" w:hAnsi="宋体" w:cs="宋体" w:eastAsia="宋体" w:hint="default"/>
          <w:sz w:val="14"/>
          <w:szCs w:val="14"/>
        </w:rPr>
      </w:pPr>
    </w:p>
    <w:p>
      <w:pPr>
        <w:pStyle w:val="Heading3"/>
        <w:spacing w:line="240" w:lineRule="auto"/>
        <w:ind w:left="573" w:right="0"/>
        <w:jc w:val="left"/>
      </w:pPr>
      <w:r>
        <w:rPr/>
        <w:t>②终止确认部分的对价，与原直接计入所有者权益的公允价值变动累计额中对应终止确认部分的金额</w:t>
      </w:r>
    </w:p>
    <w:p>
      <w:pPr>
        <w:spacing w:line="240" w:lineRule="auto" w:before="11"/>
        <w:rPr>
          <w:rFonts w:ascii="宋体" w:hAnsi="宋体" w:cs="宋体" w:eastAsia="宋体" w:hint="default"/>
          <w:sz w:val="14"/>
          <w:szCs w:val="14"/>
        </w:rPr>
      </w:pPr>
    </w:p>
    <w:p>
      <w:pPr>
        <w:pStyle w:val="Heading3"/>
        <w:spacing w:line="400" w:lineRule="auto"/>
        <w:ind w:left="573" w:right="0" w:hanging="421"/>
        <w:jc w:val="left"/>
      </w:pPr>
      <w:r>
        <w:rPr/>
        <w:t>（涉及转移的金融资产为可供出售金融资产的情形）之和。</w:t>
      </w:r>
      <w:r>
        <w:rPr>
          <w:w w:val="100"/>
        </w:rPr>
        <w:t> </w:t>
      </w:r>
      <w:r>
        <w:rPr/>
        <w:t>金融资产转移不满足终止确认条件的，继续确认该金融资产，所收到的对价确认为一项金融负债。</w:t>
      </w:r>
      <w:r>
        <w:rPr>
          <w:w w:val="100"/>
        </w:rPr>
        <w:t> </w:t>
      </w: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t>金融负债终止确认条件</w:t>
      </w:r>
      <w:r>
        <w:rPr>
          <w:w w:val="100"/>
        </w:rPr>
        <w:t> </w:t>
      </w:r>
      <w:r>
        <w:rPr>
          <w:spacing w:val="-2"/>
        </w:rPr>
        <w:t>金融负债的现时义务全部或部分已经解除的，则终止确认该金融负债或其一部分；本公司若与债权人</w:t>
      </w:r>
    </w:p>
    <w:p>
      <w:pPr>
        <w:pStyle w:val="Heading3"/>
        <w:spacing w:line="408" w:lineRule="auto" w:before="52"/>
        <w:ind w:right="146"/>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Heading3"/>
        <w:spacing w:line="408" w:lineRule="auto" w:before="46"/>
        <w:ind w:right="0"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Heading3"/>
        <w:spacing w:line="408" w:lineRule="auto" w:before="46"/>
        <w:ind w:right="0" w:firstLine="420"/>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Heading3"/>
        <w:spacing w:line="408" w:lineRule="auto" w:before="46"/>
        <w:ind w:right="14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Heading3"/>
        <w:spacing w:line="386" w:lineRule="auto" w:before="46"/>
        <w:ind w:left="573" w:right="0"/>
        <w:jc w:val="left"/>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t>金融资产和金融负债公允价值的确定方法</w:t>
      </w:r>
      <w:r>
        <w:rPr>
          <w:w w:val="100"/>
        </w:rPr>
        <w:t> </w:t>
      </w:r>
      <w:r>
        <w:rPr>
          <w:spacing w:val="-2"/>
        </w:rPr>
        <w:t>存在活跃市场的金融工具，以活跃市场中的报价确定其公允价值。不存在活跃市场的金融工具，采用</w:t>
      </w:r>
    </w:p>
    <w:p>
      <w:pPr>
        <w:pStyle w:val="Heading3"/>
        <w:spacing w:line="408" w:lineRule="auto" w:before="65"/>
        <w:ind w:right="124"/>
        <w:jc w:val="both"/>
      </w:pPr>
      <w:r>
        <w:rPr>
          <w:spacing w:val="-2"/>
        </w:rPr>
        <w:t>估值技术确定其公允价值。在估值时，本公司采用在当前情况下适用并且有足够可利用数据和其他信息支</w:t>
      </w:r>
      <w:r>
        <w:rPr>
          <w:spacing w:val="-43"/>
        </w:rPr>
        <w:t> </w:t>
      </w:r>
      <w:r>
        <w:rPr>
          <w:spacing w:val="-43"/>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pStyle w:val="Heading3"/>
        <w:spacing w:line="386" w:lineRule="auto" w:before="46"/>
        <w:ind w:left="573" w:right="0" w:hanging="106"/>
        <w:jc w:val="left"/>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t>金融资产（不含应收款项）减值的测试方法及会计处理方法</w:t>
      </w:r>
      <w:r>
        <w:rPr>
          <w:w w:val="100"/>
        </w:rPr>
        <w:t> </w:t>
      </w:r>
      <w:r>
        <w:rPr>
          <w:spacing w:val="-2"/>
        </w:rPr>
        <w:t>除以公允价值计量且其变动计入当期损益的金融资产外，本公司于资产负债表日对金融资产的账面价</w:t>
      </w:r>
    </w:p>
    <w:p>
      <w:pPr>
        <w:pStyle w:val="Heading3"/>
        <w:spacing w:line="240" w:lineRule="auto" w:before="65"/>
        <w:ind w:right="0"/>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Heading3"/>
        <w:spacing w:line="240" w:lineRule="auto"/>
        <w:ind w:left="573" w:right="0"/>
        <w:jc w:val="left"/>
      </w:pPr>
      <w:r>
        <w:rPr/>
        <w:t>①可供出售金融资产的减值准备</w:t>
      </w:r>
    </w:p>
    <w:p>
      <w:pPr>
        <w:spacing w:after="0" w:line="240" w:lineRule="auto"/>
        <w:jc w:val="left"/>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08" w:lineRule="auto" w:before="36"/>
        <w:ind w:right="146" w:firstLine="420"/>
        <w:jc w:val="both"/>
      </w:pPr>
      <w:r>
        <w:rPr>
          <w:spacing w:val="-2"/>
        </w:rPr>
        <w:t>期末如果可供出售金融资产的公允价值发生严重下降，或在综合考虑各种相关因素后，预期这种下降</w:t>
      </w:r>
      <w:r>
        <w:rPr>
          <w:w w:val="100"/>
        </w:rPr>
        <w:t> </w:t>
      </w:r>
      <w:r>
        <w:rPr>
          <w:spacing w:val="-2"/>
        </w:rPr>
        <w:t>趋势属于非暂时性的，就认定其已发生减值，将原直接计入所有者权益的公允价值下降形成的累计损失一</w:t>
      </w:r>
      <w:r>
        <w:rPr>
          <w:spacing w:val="-42"/>
        </w:rPr>
        <w:t> </w:t>
      </w:r>
      <w:r>
        <w:rPr>
          <w:spacing w:val="-42"/>
        </w:rPr>
      </w:r>
      <w:r>
        <w:rPr/>
        <w:t>并转出，确认减值损失。</w:t>
      </w:r>
    </w:p>
    <w:p>
      <w:pPr>
        <w:pStyle w:val="Heading3"/>
        <w:spacing w:line="408" w:lineRule="auto" w:before="46"/>
        <w:ind w:right="14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Heading3"/>
        <w:spacing w:line="240" w:lineRule="auto" w:before="46"/>
        <w:ind w:left="573" w:right="0"/>
        <w:jc w:val="left"/>
      </w:pPr>
      <w:r>
        <w:rPr/>
        <w:t>可供出售权益工具投资发生的减值损失，不通过损益转回。</w:t>
      </w:r>
    </w:p>
    <w:p>
      <w:pPr>
        <w:spacing w:line="240" w:lineRule="auto" w:before="10"/>
        <w:rPr>
          <w:rFonts w:ascii="宋体" w:hAnsi="宋体" w:cs="宋体" w:eastAsia="宋体" w:hint="default"/>
          <w:sz w:val="14"/>
          <w:szCs w:val="14"/>
        </w:rPr>
      </w:pPr>
    </w:p>
    <w:p>
      <w:pPr>
        <w:pStyle w:val="Heading3"/>
        <w:spacing w:line="410" w:lineRule="auto"/>
        <w:ind w:left="573" w:right="1674"/>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11</w:t>
      </w:r>
      <w:r>
        <w:rPr>
          <w:rFonts w:ascii="宋体" w:hAnsi="宋体" w:cs="宋体" w:eastAsia="宋体" w:hint="default"/>
          <w:b/>
          <w:bCs/>
          <w:sz w:val="20"/>
          <w:szCs w:val="20"/>
        </w:rPr>
        <w:t>、应收款项</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47"/>
        <w:ind w:left="573" w:right="0"/>
        <w:jc w:val="left"/>
      </w:pPr>
      <w:r>
        <w:rPr/>
        <w:t>单项金额重大的判断依据或金额标准：应收款项余额前五名。</w:t>
      </w:r>
      <w:r>
        <w:rPr>
          <w:w w:val="100"/>
        </w:rPr>
        <w:t> </w:t>
      </w:r>
      <w:r>
        <w:rPr>
          <w:spacing w:val="-2"/>
        </w:rPr>
        <w:t>单项金额重大应收款项坏账准备的计提方法：单独进行减值测试，如有客观证据表明其已发生减值，</w:t>
      </w:r>
    </w:p>
    <w:p>
      <w:pPr>
        <w:pStyle w:val="Heading3"/>
        <w:spacing w:line="408" w:lineRule="auto" w:before="46"/>
        <w:ind w:right="0"/>
        <w:jc w:val="left"/>
      </w:pPr>
      <w:r>
        <w:rPr>
          <w:spacing w:val="-2"/>
        </w:rPr>
        <w:t>按预计未来现金流量现值低于其账面价值的差额计提坏账准备，计入当期损益。单独测试未发生减值的应</w:t>
      </w:r>
      <w:r>
        <w:rPr>
          <w:spacing w:val="-44"/>
        </w:rPr>
        <w:t> </w:t>
      </w:r>
      <w:r>
        <w:rPr>
          <w:spacing w:val="-44"/>
        </w:rPr>
      </w:r>
      <w:r>
        <w:rPr/>
        <w:t>收款项，将其归入相应组合计提坏账准备。</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2</w:t>
      </w:r>
      <w:r>
        <w:rPr/>
        <w:t>）按信用风险特征组合计提坏账准备的应收款项</w:t>
      </w:r>
      <w:r>
        <w:rPr>
          <w:b w:val="0"/>
          <w:bCs w:val="0"/>
        </w:rPr>
      </w:r>
    </w:p>
    <w:p>
      <w:pPr>
        <w:spacing w:line="240" w:lineRule="auto" w:before="7"/>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：合并范围内的关联方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40" w:lineRule="auto" w:before="51"/>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3</w:t>
      </w:r>
      <w:r>
        <w:rPr/>
        <w:t>）单项金额不重大但单独计提坏账准备的应收款项</w:t>
      </w:r>
      <w:r>
        <w:rPr>
          <w:b w:val="0"/>
          <w:bCs w:val="0"/>
        </w:rPr>
      </w:r>
    </w:p>
    <w:p>
      <w:pPr>
        <w:spacing w:line="240" w:lineRule="auto" w:before="12"/>
        <w:rPr>
          <w:rFonts w:ascii="宋体" w:hAnsi="宋体" w:cs="宋体" w:eastAsia="宋体" w:hint="default"/>
          <w:b/>
          <w:bCs/>
          <w:sz w:val="23"/>
          <w:szCs w:val="23"/>
        </w:rPr>
      </w:pPr>
    </w:p>
    <w:p>
      <w:pPr>
        <w:pStyle w:val="Heading3"/>
        <w:spacing w:line="355" w:lineRule="auto"/>
        <w:ind w:right="146" w:firstLine="420"/>
        <w:jc w:val="both"/>
      </w:pPr>
      <w:r>
        <w:rPr>
          <w:spacing w:val="-2"/>
        </w:rPr>
        <w:t>单项计提坏账准备的理由：如有客观证据表明年末单项金额不重大的应收款项发生了减值的，根据其</w:t>
      </w:r>
      <w:r>
        <w:rPr>
          <w:w w:val="100"/>
        </w:rPr>
        <w:t> </w:t>
      </w:r>
      <w:r>
        <w:rPr/>
        <w:t>未来现金流量现值低于其账面价值的差额，确认减值损失，计提坏账准备。</w:t>
      </w:r>
    </w:p>
    <w:p>
      <w:pPr>
        <w:pStyle w:val="Heading3"/>
        <w:spacing w:line="355" w:lineRule="auto" w:before="32"/>
        <w:ind w:right="146" w:firstLine="420"/>
        <w:jc w:val="both"/>
      </w:pPr>
      <w:r>
        <w:rPr>
          <w:spacing w:val="-2"/>
        </w:rPr>
        <w:t>坏账准备的计提方法：单独测试未发生减值的应收账款和其他应收款，以账龄为信用风险特征根据账</w:t>
      </w:r>
      <w:r>
        <w:rPr>
          <w:w w:val="100"/>
        </w:rPr>
        <w:t> </w:t>
      </w:r>
      <w:r>
        <w:rPr/>
        <w:t>龄分析法计提坏账准备。</w:t>
      </w:r>
    </w:p>
    <w:p>
      <w:pPr>
        <w:pStyle w:val="Heading3"/>
        <w:spacing w:line="357" w:lineRule="auto" w:before="32"/>
        <w:ind w:right="146" w:firstLine="420"/>
        <w:jc w:val="both"/>
      </w:pPr>
      <w:r>
        <w:rPr>
          <w:spacing w:val="-2"/>
        </w:rPr>
        <w:t>其他说明：年末对于不适用按账龄段划分的类似信用风险特征组合的应收票据、预付账款和长期应收</w:t>
      </w:r>
      <w:r>
        <w:rPr>
          <w:w w:val="100"/>
        </w:rPr>
        <w:t> </w:t>
      </w:r>
      <w:r>
        <w:rPr>
          <w:spacing w:val="-2"/>
        </w:rPr>
        <w:t>款均进行单项减值测试。如有客观证据表明其发生了减值的，根据其未来现金流量现值低于其账面价值的</w:t>
      </w:r>
      <w:r>
        <w:rPr>
          <w:spacing w:val="-42"/>
        </w:rPr>
        <w:t> </w:t>
      </w:r>
      <w:r>
        <w:rPr>
          <w:spacing w:val="-42"/>
        </w:rPr>
      </w:r>
      <w:r>
        <w:rPr/>
        <w:t>差额，确认减值损失，计提坏账准备。如经减值测试未发现减值的，则不计提坏账准备。</w:t>
      </w:r>
    </w:p>
    <w:p>
      <w:pPr>
        <w:spacing w:line="240" w:lineRule="auto" w:before="6"/>
        <w:rPr>
          <w:rFonts w:ascii="宋体" w:hAnsi="宋体" w:cs="宋体" w:eastAsia="宋体" w:hint="default"/>
          <w:sz w:val="27"/>
          <w:szCs w:val="27"/>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12</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12"/>
        <w:rPr>
          <w:rFonts w:ascii="宋体" w:hAnsi="宋体" w:cs="宋体" w:eastAsia="宋体" w:hint="default"/>
          <w:b/>
          <w:bCs/>
          <w:sz w:val="23"/>
          <w:szCs w:val="23"/>
        </w:rPr>
      </w:pPr>
    </w:p>
    <w:p>
      <w:pPr>
        <w:pStyle w:val="Heading3"/>
        <w:spacing w:line="345" w:lineRule="auto"/>
        <w:ind w:left="573" w:right="4014"/>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存货的分类</w:t>
      </w:r>
      <w:r>
        <w:rPr>
          <w:w w:val="100"/>
        </w:rPr>
        <w:t> </w:t>
      </w:r>
      <w:r>
        <w:rPr>
          <w:spacing w:val="-2"/>
        </w:rPr>
        <w:t>存货分类为：原材料、在产品、库存商品、开发产品等。</w:t>
      </w:r>
      <w:r>
        <w:rPr>
          <w:spacing w:val="-55"/>
        </w:rPr>
        <w:t> </w:t>
      </w:r>
      <w:r>
        <w:rPr>
          <w:spacing w:val="-55"/>
        </w:rPr>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发出存货的计价方法</w:t>
      </w:r>
    </w:p>
    <w:p>
      <w:pPr>
        <w:pStyle w:val="Heading3"/>
        <w:spacing w:line="355" w:lineRule="auto" w:before="15"/>
        <w:ind w:left="573" w:right="5634"/>
        <w:jc w:val="left"/>
      </w:pPr>
      <w:r>
        <w:rPr/>
        <w:t>存货发出时按加权平均法计价。</w:t>
      </w:r>
      <w:r>
        <w:rPr>
          <w:w w:val="100"/>
        </w:rPr>
        <w:t> </w:t>
      </w:r>
      <w:r>
        <w:rPr>
          <w:rFonts w:ascii="宋体" w:hAnsi="宋体" w:cs="宋体" w:eastAsia="宋体" w:hint="default"/>
          <w:spacing w:val="-2"/>
        </w:rPr>
        <w:t>(</w:t>
      </w:r>
      <w:r>
        <w:rPr>
          <w:rFonts w:ascii="Times New Roman" w:hAnsi="Times New Roman" w:cs="Times New Roman" w:eastAsia="Times New Roman" w:hint="default"/>
          <w:spacing w:val="-2"/>
        </w:rPr>
        <w:t>3</w:t>
      </w:r>
      <w:r>
        <w:rPr>
          <w:rFonts w:ascii="宋体" w:hAnsi="宋体" w:cs="宋体" w:eastAsia="宋体" w:hint="default"/>
          <w:spacing w:val="-2"/>
        </w:rPr>
        <w:t>)</w:t>
      </w:r>
      <w:r>
        <w:rPr>
          <w:spacing w:val="-2"/>
        </w:rPr>
        <w:t>不同类别存货可变现净值的确定依据</w:t>
      </w:r>
    </w:p>
    <w:p>
      <w:pPr>
        <w:pStyle w:val="Heading3"/>
        <w:spacing w:line="357" w:lineRule="auto" w:before="8"/>
        <w:ind w:right="146" w:firstLine="420"/>
        <w:jc w:val="both"/>
      </w:pPr>
      <w:r>
        <w:rPr>
          <w:spacing w:val="-2"/>
        </w:rPr>
        <w:t>产成品、库存商品和用于出售的材料等直接用于出售的商品存货，在正常生产经营过程中，以该存货</w:t>
      </w:r>
      <w:r>
        <w:rPr>
          <w:w w:val="100"/>
        </w:rPr>
        <w:t> </w:t>
      </w: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Heading3"/>
        <w:spacing w:line="355" w:lineRule="auto" w:before="30"/>
        <w:ind w:right="14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Heading3"/>
        <w:spacing w:line="355" w:lineRule="auto" w:before="35"/>
        <w:ind w:right="146" w:firstLine="420"/>
        <w:jc w:val="both"/>
      </w:pPr>
      <w:r>
        <w:rPr>
          <w:spacing w:val="-2"/>
        </w:rPr>
        <w:t>除有明确证据表明资产负债表日市场价格异常外，存货项目的可变现净值以资产负债表日市场价格为</w:t>
      </w:r>
      <w:r>
        <w:rPr>
          <w:w w:val="100"/>
        </w:rPr>
        <w:t> </w:t>
      </w:r>
      <w:r>
        <w:rPr/>
        <w:t>基础确定。</w:t>
      </w:r>
    </w:p>
    <w:p>
      <w:pPr>
        <w:pStyle w:val="Heading3"/>
        <w:spacing w:line="355" w:lineRule="auto" w:before="32"/>
        <w:ind w:left="573" w:right="1674"/>
        <w:jc w:val="left"/>
      </w:pPr>
      <w:r>
        <w:rPr>
          <w:spacing w:val="-2"/>
        </w:rPr>
        <w:t>本期期末存货项目的可变现净值以资产负债表日市场价格为基础确定。</w:t>
      </w:r>
      <w:r>
        <w:rPr>
          <w:spacing w:val="-45"/>
        </w:rPr>
        <w:t> </w:t>
      </w:r>
      <w:r>
        <w:rPr>
          <w:spacing w:val="-45"/>
        </w:rPr>
      </w: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t>存货的盘存制度</w:t>
      </w:r>
    </w:p>
    <w:p>
      <w:pPr>
        <w:pStyle w:val="Heading3"/>
        <w:spacing w:line="357" w:lineRule="auto" w:before="5"/>
        <w:ind w:left="573" w:right="5634"/>
        <w:jc w:val="left"/>
      </w:pPr>
      <w:r>
        <w:rPr/>
        <w:t>采用永续盘存制。</w:t>
      </w:r>
      <w:r>
        <w:rPr>
          <w:w w:val="100"/>
        </w:rPr>
        <w:t> </w:t>
      </w:r>
      <w:r>
        <w:rPr>
          <w:rFonts w:ascii="宋体" w:hAnsi="宋体" w:cs="宋体" w:eastAsia="宋体" w:hint="default"/>
          <w:spacing w:val="-2"/>
        </w:rPr>
        <w:t>(</w:t>
      </w:r>
      <w:r>
        <w:rPr>
          <w:rFonts w:ascii="Times New Roman" w:hAnsi="Times New Roman" w:cs="Times New Roman" w:eastAsia="Times New Roman" w:hint="default"/>
          <w:spacing w:val="-2"/>
        </w:rPr>
        <w:t>5</w:t>
      </w:r>
      <w:r>
        <w:rPr>
          <w:rFonts w:ascii="宋体" w:hAnsi="宋体" w:cs="宋体" w:eastAsia="宋体" w:hint="default"/>
          <w:spacing w:val="-2"/>
        </w:rPr>
        <w:t>)</w:t>
      </w:r>
      <w:r>
        <w:rPr>
          <w:spacing w:val="-2"/>
        </w:rPr>
        <w:t>低值易耗品和包装物的摊销方法</w:t>
      </w:r>
    </w:p>
    <w:p>
      <w:pPr>
        <w:pStyle w:val="Heading3"/>
        <w:spacing w:line="240" w:lineRule="auto" w:before="3"/>
        <w:ind w:left="573" w:right="0"/>
        <w:jc w:val="left"/>
      </w:pPr>
      <w:r>
        <w:rPr/>
        <w:t>①低值易耗品采用一次转销法。</w:t>
      </w:r>
    </w:p>
    <w:p>
      <w:pPr>
        <w:pStyle w:val="Heading3"/>
        <w:spacing w:line="240" w:lineRule="auto" w:before="133"/>
        <w:ind w:left="573" w:right="0"/>
        <w:jc w:val="left"/>
      </w:pPr>
      <w:r>
        <w:rPr/>
        <w:t>②包装物采用一次转销法。</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spacing w:before="37"/>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13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2"/>
        <w:rPr>
          <w:rFonts w:ascii="宋体" w:hAnsi="宋体" w:cs="宋体" w:eastAsia="宋体" w:hint="default"/>
          <w:b/>
          <w:bCs/>
          <w:sz w:val="23"/>
          <w:szCs w:val="23"/>
        </w:rPr>
      </w:pPr>
    </w:p>
    <w:p>
      <w:pPr>
        <w:pStyle w:val="Heading3"/>
        <w:spacing w:line="336" w:lineRule="auto"/>
        <w:ind w:left="573" w:right="0"/>
        <w:jc w:val="left"/>
      </w:pPr>
      <w:r>
        <w:rPr/>
        <w:t>（</w:t>
      </w:r>
      <w:r>
        <w:rPr>
          <w:rFonts w:ascii="Times New Roman" w:hAnsi="Times New Roman" w:cs="Times New Roman" w:eastAsia="Times New Roman" w:hint="default"/>
        </w:rPr>
        <w:t>1</w:t>
      </w:r>
      <w:r>
        <w:rPr/>
        <w:t>）共同控制、重大影响的判断标准</w:t>
      </w:r>
      <w:r>
        <w:rPr>
          <w:w w:val="100"/>
        </w:rPr>
        <w:t> </w:t>
      </w:r>
      <w:r>
        <w:rPr>
          <w:spacing w:val="-2"/>
        </w:rPr>
        <w:t>共同控制，是指按照相关约定对某项安排所共有的控制，并且该安排的相关活动必须经过分享控制权</w:t>
      </w:r>
    </w:p>
    <w:p>
      <w:pPr>
        <w:pStyle w:val="Heading3"/>
        <w:spacing w:line="355" w:lineRule="auto" w:before="49"/>
        <w:ind w:right="146"/>
        <w:jc w:val="both"/>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Heading3"/>
        <w:spacing w:line="357" w:lineRule="auto" w:before="32"/>
        <w:ind w:right="0" w:firstLine="420"/>
        <w:jc w:val="left"/>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Heading3"/>
        <w:spacing w:line="240" w:lineRule="auto" w:before="30"/>
        <w:ind w:left="573" w:right="0"/>
        <w:jc w:val="left"/>
      </w:pPr>
      <w:r>
        <w:rPr/>
        <w:t>（</w:t>
      </w:r>
      <w:r>
        <w:rPr>
          <w:rFonts w:ascii="Times New Roman" w:hAnsi="Times New Roman" w:cs="Times New Roman" w:eastAsia="Times New Roman" w:hint="default"/>
        </w:rPr>
        <w:t>2</w:t>
      </w:r>
      <w:r>
        <w:rPr/>
        <w:t>）初始投资成本的确定</w:t>
      </w:r>
    </w:p>
    <w:p>
      <w:pPr>
        <w:pStyle w:val="Heading3"/>
        <w:spacing w:line="355" w:lineRule="auto" w:before="118"/>
        <w:ind w:left="573" w:right="0"/>
        <w:jc w:val="left"/>
      </w:pPr>
      <w:r>
        <w:rPr/>
        <w:t>①企业合并形成的长期股权投资</w:t>
      </w:r>
      <w:r>
        <w:rPr>
          <w:w w:val="100"/>
        </w:rPr>
        <w:t> </w:t>
      </w:r>
      <w:r>
        <w:rPr>
          <w:spacing w:val="-2"/>
        </w:rPr>
        <w:t>同一控制下的企业合并：公司以支付现金、转让非现金资产或承担债务方式以及以发行权益性证券作</w:t>
      </w:r>
    </w:p>
    <w:p>
      <w:pPr>
        <w:pStyle w:val="Heading3"/>
        <w:spacing w:line="357" w:lineRule="auto" w:before="32"/>
        <w:ind w:right="14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Heading3"/>
        <w:spacing w:line="355" w:lineRule="auto" w:before="30"/>
        <w:ind w:right="14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Heading3"/>
        <w:spacing w:line="357" w:lineRule="auto" w:before="32"/>
        <w:ind w:left="573" w:right="0"/>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Heading3"/>
        <w:spacing w:line="357" w:lineRule="auto" w:before="30"/>
        <w:ind w:right="146"/>
        <w:jc w:val="both"/>
      </w:pPr>
      <w:r>
        <w:rPr>
          <w:spacing w:val="-2"/>
        </w:rPr>
        <w:t>性资产交换换入的长期股权投资以换出资产的公允价值和应支付的相关税费确定其初始投资成本，除非有</w:t>
      </w:r>
      <w:r>
        <w:rPr>
          <w:spacing w:val="-42"/>
        </w:rPr>
        <w:t> </w:t>
      </w:r>
      <w:r>
        <w:rPr>
          <w:spacing w:val="-42"/>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Heading3"/>
        <w:spacing w:line="240" w:lineRule="auto" w:before="30"/>
        <w:ind w:left="573" w:right="0"/>
        <w:jc w:val="left"/>
      </w:pPr>
      <w:r>
        <w:rPr/>
        <w:t>通过债务重组取得的长期股权投资，其初始投资成本按照公允价值为基础确定。</w:t>
      </w:r>
    </w:p>
    <w:p>
      <w:pPr>
        <w:pStyle w:val="Heading3"/>
        <w:spacing w:line="240" w:lineRule="auto" w:before="133"/>
        <w:ind w:left="573" w:right="0"/>
        <w:jc w:val="left"/>
      </w:pPr>
      <w:r>
        <w:rPr/>
        <w:t>（</w:t>
      </w:r>
      <w:r>
        <w:rPr>
          <w:rFonts w:ascii="Times New Roman" w:hAnsi="Times New Roman" w:cs="Times New Roman" w:eastAsia="Times New Roman" w:hint="default"/>
        </w:rPr>
        <w:t>3</w:t>
      </w:r>
      <w:r>
        <w:rPr/>
        <w:t>）后续计量及损益确认方法</w:t>
      </w:r>
    </w:p>
    <w:p>
      <w:pPr>
        <w:pStyle w:val="Heading3"/>
        <w:spacing w:line="357" w:lineRule="auto" w:before="117"/>
        <w:ind w:left="573" w:right="0"/>
        <w:jc w:val="left"/>
      </w:pPr>
      <w:r>
        <w:rPr/>
        <w:t>①成本法核算的长期股权投资</w:t>
      </w:r>
      <w:r>
        <w:rPr>
          <w:w w:val="100"/>
        </w:rPr>
        <w:t> </w:t>
      </w:r>
      <w:r>
        <w:rPr>
          <w:spacing w:val="-2"/>
        </w:rPr>
        <w:t>公司对子公司的长期股权投资，采用成本法核算。除取得投资时实际支付的价款或对价中包含的已宣</w:t>
      </w:r>
    </w:p>
    <w:p>
      <w:pPr>
        <w:pStyle w:val="Heading3"/>
        <w:spacing w:line="355" w:lineRule="auto" w:before="30"/>
        <w:ind w:right="146"/>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Heading3"/>
        <w:spacing w:line="240" w:lineRule="auto" w:before="32"/>
        <w:ind w:left="573" w:right="0"/>
        <w:jc w:val="left"/>
      </w:pPr>
      <w:r>
        <w:rPr/>
        <w:t>②权益法核算的长期股权投资</w:t>
      </w:r>
    </w:p>
    <w:p>
      <w:pPr>
        <w:spacing w:after="0" w:line="240" w:lineRule="auto"/>
        <w:jc w:val="left"/>
        <w:sectPr>
          <w:pgSz w:w="11910" w:h="16840"/>
          <w:pgMar w:header="880" w:footer="979" w:top="1100" w:bottom="1160" w:left="980" w:right="980"/>
        </w:sectPr>
      </w:pPr>
    </w:p>
    <w:p>
      <w:pPr>
        <w:spacing w:line="240" w:lineRule="auto" w:before="3"/>
        <w:rPr>
          <w:rFonts w:ascii="宋体" w:hAnsi="宋体" w:cs="宋体" w:eastAsia="宋体" w:hint="default"/>
          <w:sz w:val="19"/>
          <w:szCs w:val="19"/>
        </w:rPr>
      </w:pPr>
    </w:p>
    <w:p>
      <w:pPr>
        <w:pStyle w:val="Heading3"/>
        <w:spacing w:line="355" w:lineRule="auto" w:before="36"/>
        <w:ind w:right="146" w:firstLine="420"/>
        <w:jc w:val="both"/>
      </w:pPr>
      <w:r>
        <w:rPr>
          <w:spacing w:val="-2"/>
        </w:rPr>
        <w:t>对联营企业和合营企业的长期股权投资，采用权益法核算。初始投资成本大于投资时应享有被投资单</w:t>
      </w:r>
      <w:r>
        <w:rPr>
          <w:w w:val="100"/>
        </w:rPr>
        <w:t> </w:t>
      </w: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Heading3"/>
        <w:spacing w:line="355" w:lineRule="auto" w:before="34"/>
        <w:ind w:right="146"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Heading3"/>
        <w:spacing w:line="357" w:lineRule="auto" w:before="34"/>
        <w:ind w:right="146"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Heading3"/>
        <w:spacing w:line="352" w:lineRule="auto" w:before="30"/>
        <w:ind w:right="147" w:firstLine="420"/>
        <w:jc w:val="both"/>
      </w:pPr>
      <w:r>
        <w:rPr>
          <w:spacing w:val="2"/>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12"/>
        </w:rPr>
        <w:t>附注“五、</w:t>
      </w:r>
      <w:r>
        <w:rPr>
          <w:rFonts w:ascii="Times New Roman" w:hAnsi="Times New Roman" w:cs="Times New Roman" w:eastAsia="Times New Roman" w:hint="default"/>
          <w:spacing w:val="-12"/>
        </w:rPr>
        <w:t>5 </w:t>
      </w:r>
      <w:r>
        <w:rPr>
          <w:spacing w:val="-4"/>
        </w:rPr>
        <w:t>同一控制下和非同一控制下企业合并的会计处理方法”和“五、</w:t>
      </w:r>
      <w:r>
        <w:rPr>
          <w:rFonts w:ascii="Times New Roman" w:hAnsi="Times New Roman" w:cs="Times New Roman" w:eastAsia="Times New Roman" w:hint="default"/>
          <w:spacing w:val="-4"/>
        </w:rPr>
        <w:t>6 </w:t>
      </w:r>
      <w:r>
        <w:rPr/>
        <w:t>合并财务报表的编制方法”</w:t>
      </w:r>
      <w:r>
        <w:rPr>
          <w:spacing w:val="-82"/>
        </w:rPr>
        <w:t> </w:t>
      </w:r>
      <w:r>
        <w:rPr>
          <w:spacing w:val="-82"/>
        </w:rPr>
      </w:r>
      <w:r>
        <w:rPr/>
        <w:t>中披露的相关政策进行会计处理。</w:t>
      </w:r>
    </w:p>
    <w:p>
      <w:pPr>
        <w:pStyle w:val="Heading3"/>
        <w:spacing w:line="357" w:lineRule="auto" w:before="35"/>
        <w:ind w:right="14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Heading3"/>
        <w:spacing w:line="357" w:lineRule="auto" w:before="30"/>
        <w:ind w:left="573" w:right="1674"/>
        <w:jc w:val="left"/>
      </w:pPr>
      <w:r>
        <w:rPr/>
        <w:t>③长期股权投资的处置</w:t>
      </w:r>
      <w:r>
        <w:rPr>
          <w:w w:val="100"/>
        </w:rPr>
        <w:t> </w:t>
      </w:r>
      <w:r>
        <w:rPr>
          <w:spacing w:val="-2"/>
        </w:rPr>
        <w:t>处置长期股权投资，其账面价值与实际取得价款的差额，计入当期损益。</w:t>
      </w:r>
    </w:p>
    <w:p>
      <w:pPr>
        <w:pStyle w:val="Heading3"/>
        <w:spacing w:line="357" w:lineRule="auto" w:before="30"/>
        <w:ind w:right="146"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5"/>
        </w:rPr>
        <w:t> </w:t>
      </w:r>
      <w:r>
        <w:rPr>
          <w:spacing w:val="-45"/>
        </w:rPr>
      </w:r>
      <w:r>
        <w:rPr>
          <w:spacing w:val="-2"/>
        </w:rPr>
        <w:t>益和利润分配以外的其他所有者权益变动而确认的所有者权益，按比例结转入当期损益，由于被投资方重</w:t>
      </w:r>
      <w:r>
        <w:rPr>
          <w:spacing w:val="-43"/>
        </w:rPr>
        <w:t> </w:t>
      </w:r>
      <w:r>
        <w:rPr>
          <w:spacing w:val="-43"/>
        </w:rPr>
      </w:r>
      <w:r>
        <w:rPr/>
        <w:t>新计量设定受益计划净负债或净资产变动而产生的其他综合收益除外。</w:t>
      </w:r>
    </w:p>
    <w:p>
      <w:pPr>
        <w:pStyle w:val="Heading3"/>
        <w:spacing w:line="355" w:lineRule="auto" w:before="32"/>
        <w:ind w:right="14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Heading3"/>
        <w:spacing w:line="357" w:lineRule="auto" w:before="34"/>
        <w:ind w:right="146" w:firstLine="420"/>
        <w:jc w:val="both"/>
      </w:pPr>
      <w:r>
        <w:rPr>
          <w:spacing w:val="-2"/>
        </w:rPr>
        <w:t>因处置部分股权投资等原因丧失了对被投资单位控制权的，在编制个别财务报表时，处置后的剩余股</w:t>
      </w:r>
      <w:r>
        <w:rPr>
          <w:w w:val="100"/>
        </w:rPr>
        <w:t> </w:t>
      </w:r>
      <w:r>
        <w:rPr>
          <w:spacing w:val="-2"/>
        </w:rPr>
        <w:t>权能够对被投资单位实施共同控制或重大影响的，改按权益法核算，并对该剩余股权视同自取得时即采用</w:t>
      </w:r>
      <w:r>
        <w:rPr>
          <w:spacing w:val="-43"/>
        </w:rPr>
        <w:t> </w:t>
      </w:r>
      <w:r>
        <w:rPr>
          <w:spacing w:val="-43"/>
        </w:rPr>
      </w:r>
      <w:r>
        <w:rPr>
          <w:spacing w:val="-2"/>
        </w:rPr>
        <w:t>权益法核算进行调整；处置后的剩余股权不能对被投资单位实施共同控制或施加重大影响的，改按金融工</w:t>
      </w:r>
    </w:p>
    <w:p>
      <w:pPr>
        <w:spacing w:after="0" w:line="357" w:lineRule="auto"/>
        <w:jc w:val="both"/>
        <w:sectPr>
          <w:pgSz w:w="11910" w:h="16840"/>
          <w:pgMar w:header="880" w:footer="979" w:top="1100" w:bottom="1160" w:left="980" w:right="980"/>
        </w:sectPr>
      </w:pPr>
    </w:p>
    <w:p>
      <w:pPr>
        <w:spacing w:line="240" w:lineRule="auto" w:before="3"/>
        <w:rPr>
          <w:rFonts w:ascii="宋体" w:hAnsi="宋体" w:cs="宋体" w:eastAsia="宋体" w:hint="default"/>
          <w:sz w:val="19"/>
          <w:szCs w:val="19"/>
        </w:rPr>
      </w:pPr>
    </w:p>
    <w:p>
      <w:pPr>
        <w:pStyle w:val="Heading3"/>
        <w:spacing w:line="355" w:lineRule="auto" w:before="36"/>
        <w:ind w:right="0"/>
        <w:jc w:val="left"/>
      </w:pPr>
      <w:r>
        <w:rPr>
          <w:spacing w:val="-2"/>
        </w:rPr>
        <w:t>具确认和计量准则的有关规定进行会计处理，其在丧失控制之日的公允价值与账面价值间的差额计入当期</w:t>
      </w:r>
      <w:r>
        <w:rPr>
          <w:spacing w:val="-43"/>
        </w:rPr>
        <w:t> </w:t>
      </w:r>
      <w:r>
        <w:rPr>
          <w:spacing w:val="-43"/>
        </w:rPr>
      </w:r>
      <w:r>
        <w:rPr/>
        <w:t>损益。</w:t>
      </w:r>
    </w:p>
    <w:p>
      <w:pPr>
        <w:pStyle w:val="Heading3"/>
        <w:spacing w:line="357" w:lineRule="auto" w:before="32"/>
        <w:ind w:right="14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14</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Heading3"/>
        <w:spacing w:line="355" w:lineRule="auto"/>
        <w:ind w:right="124" w:firstLine="420"/>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Heading3"/>
        <w:spacing w:line="357" w:lineRule="auto" w:before="32"/>
        <w:ind w:right="146" w:firstLine="420"/>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15</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）确认条件</w:t>
      </w:r>
      <w:r>
        <w:rPr>
          <w:b w:val="0"/>
          <w:bCs w:val="0"/>
        </w:rPr>
      </w:r>
    </w:p>
    <w:p>
      <w:pPr>
        <w:spacing w:line="240" w:lineRule="auto" w:before="13"/>
        <w:rPr>
          <w:rFonts w:ascii="宋体" w:hAnsi="宋体" w:cs="宋体" w:eastAsia="宋体" w:hint="default"/>
          <w:b/>
          <w:bCs/>
          <w:sz w:val="23"/>
          <w:szCs w:val="23"/>
        </w:rPr>
      </w:pPr>
    </w:p>
    <w:p>
      <w:pPr>
        <w:pStyle w:val="Heading3"/>
        <w:spacing w:line="355" w:lineRule="auto"/>
        <w:ind w:right="146" w:firstLine="420"/>
        <w:jc w:val="both"/>
      </w:pPr>
      <w:r>
        <w:rPr>
          <w:spacing w:val="-2"/>
        </w:rPr>
        <w:t>固定资产指为生产商品、提供劳务、出租或经营管理而持有，并且使用寿命超过一个会计年度的有形</w:t>
      </w:r>
      <w:r>
        <w:rPr>
          <w:w w:val="100"/>
        </w:rPr>
        <w:t> </w:t>
      </w:r>
      <w:r>
        <w:rPr/>
        <w:t>资产。固定资产在同时满足下列条件时予以确认：</w:t>
      </w:r>
    </w:p>
    <w:p>
      <w:pPr>
        <w:pStyle w:val="Heading3"/>
        <w:spacing w:line="240" w:lineRule="auto" w:before="32"/>
        <w:ind w:left="573" w:right="0"/>
        <w:jc w:val="left"/>
      </w:pPr>
      <w:r>
        <w:rPr/>
        <w:t>①与该固定资产有关的经济利益很可能流入企业。</w:t>
      </w:r>
    </w:p>
    <w:p>
      <w:pPr>
        <w:pStyle w:val="Heading3"/>
        <w:spacing w:line="240" w:lineRule="auto" w:before="135"/>
        <w:ind w:left="573" w:right="0"/>
        <w:jc w:val="left"/>
      </w:pPr>
      <w:r>
        <w:rPr/>
        <w:t>②该固定资产的成本能够可靠地计量。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2</w:t>
      </w:r>
      <w:r>
        <w:rPr/>
        <w:t>）折旧方法</w:t>
      </w:r>
      <w:r>
        <w:rPr>
          <w:b w:val="0"/>
          <w:bCs w:val="0"/>
        </w:rPr>
      </w:r>
    </w:p>
    <w:p>
      <w:pPr>
        <w:spacing w:line="240" w:lineRule="auto" w:before="10"/>
        <w:rPr>
          <w:rFonts w:ascii="宋体" w:hAnsi="宋体" w:cs="宋体" w:eastAsia="宋体" w:hint="default"/>
          <w:b/>
          <w:bCs/>
          <w:sz w:val="23"/>
          <w:szCs w:val="23"/>
        </w:rPr>
      </w:pPr>
    </w:p>
    <w:p>
      <w:pPr>
        <w:pStyle w:val="Heading3"/>
        <w:spacing w:line="357" w:lineRule="auto"/>
        <w:ind w:right="146" w:firstLine="420"/>
        <w:jc w:val="both"/>
      </w:pPr>
      <w:r>
        <w:rPr>
          <w:spacing w:val="-2"/>
        </w:rPr>
        <w:t>固定资产折旧采用年限平均法分类计提，根据固定资产类别、预计使用寿命和预计净残值率确定折旧</w:t>
      </w:r>
      <w:r>
        <w:rPr>
          <w:w w:val="100"/>
        </w:rPr>
        <w:t> </w:t>
      </w:r>
      <w:r>
        <w:rPr>
          <w:spacing w:val="-2"/>
        </w:rPr>
        <w:t>率。如固定资产各组成部分的使用寿命不同或者以不同方式为企业提供经济利益，则选择不同折旧率或折</w:t>
      </w:r>
      <w:r>
        <w:rPr>
          <w:spacing w:val="-42"/>
        </w:rPr>
        <w:t> </w:t>
      </w:r>
      <w:r>
        <w:rPr>
          <w:spacing w:val="-42"/>
        </w:rPr>
      </w:r>
      <w:r>
        <w:rPr/>
        <w:t>旧方法，分别计提折旧。</w:t>
      </w:r>
    </w:p>
    <w:p>
      <w:pPr>
        <w:pStyle w:val="Heading3"/>
        <w:spacing w:line="355" w:lineRule="auto" w:before="30"/>
        <w:ind w:right="14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pStyle w:val="Heading3"/>
        <w:spacing w:line="240" w:lineRule="auto" w:before="34"/>
        <w:ind w:left="573" w:right="0"/>
        <w:jc w:val="left"/>
      </w:pPr>
      <w:r>
        <w:rPr/>
        <w:t>各类固定资产折旧年限和年折旧率如下：</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2.71%</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13.57%-9.50%</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19.00%-11.88%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19.00%-15.83%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19.00%-15.83%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19.00%-15.83%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营运业务用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20.00%-10.00%</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3</w:t>
      </w:r>
      <w:r>
        <w:rPr/>
        <w:t>）融资租入固定资产的认定依据、计价和折旧方法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8"/>
        <w:ind w:left="467" w:right="0"/>
        <w:jc w:val="left"/>
      </w:pPr>
      <w:r>
        <w:rPr/>
        <w:t>公司与租赁方所签订的租赁协议条款中规定了下列条件之一的，确认为融资租入资产。</w:t>
      </w:r>
    </w:p>
    <w:p>
      <w:pPr>
        <w:spacing w:line="240" w:lineRule="auto" w:before="12"/>
        <w:rPr>
          <w:rFonts w:ascii="宋体" w:hAnsi="宋体" w:cs="宋体" w:eastAsia="宋体" w:hint="default"/>
          <w:sz w:val="17"/>
          <w:szCs w:val="17"/>
        </w:rPr>
      </w:pPr>
    </w:p>
    <w:p>
      <w:pPr>
        <w:pStyle w:val="Heading3"/>
        <w:spacing w:line="240" w:lineRule="auto"/>
        <w:ind w:left="498" w:right="0"/>
        <w:jc w:val="left"/>
      </w:pPr>
      <w:r>
        <w:rPr/>
        <w:t>①租赁期满后租赁资产的所有权归属于本公司。</w:t>
      </w:r>
    </w:p>
    <w:p>
      <w:pPr>
        <w:spacing w:line="240" w:lineRule="auto" w:before="12"/>
        <w:rPr>
          <w:rFonts w:ascii="宋体" w:hAnsi="宋体" w:cs="宋体" w:eastAsia="宋体" w:hint="default"/>
          <w:sz w:val="17"/>
          <w:szCs w:val="17"/>
        </w:rPr>
      </w:pPr>
    </w:p>
    <w:p>
      <w:pPr>
        <w:pStyle w:val="Heading3"/>
        <w:spacing w:line="240" w:lineRule="auto"/>
        <w:ind w:left="496" w:right="0"/>
        <w:jc w:val="left"/>
      </w:pPr>
      <w:r>
        <w:rPr/>
        <w:t>②公司具有购买资产的选择权，购买价款远低于行使选择权时该资产的公允价值。</w:t>
      </w:r>
    </w:p>
    <w:p>
      <w:pPr>
        <w:spacing w:line="240" w:lineRule="auto" w:before="9"/>
        <w:rPr>
          <w:rFonts w:ascii="宋体" w:hAnsi="宋体" w:cs="宋体" w:eastAsia="宋体" w:hint="default"/>
          <w:sz w:val="17"/>
          <w:szCs w:val="17"/>
        </w:rPr>
      </w:pPr>
    </w:p>
    <w:p>
      <w:pPr>
        <w:pStyle w:val="Heading3"/>
        <w:spacing w:line="240" w:lineRule="auto"/>
        <w:ind w:left="498" w:right="0"/>
        <w:jc w:val="left"/>
      </w:pPr>
      <w:r>
        <w:rPr/>
        <w:t>③租赁期占所租赁资产使用寿命的大部分。</w:t>
      </w:r>
    </w:p>
    <w:p>
      <w:pPr>
        <w:spacing w:line="240" w:lineRule="auto" w:before="12"/>
        <w:rPr>
          <w:rFonts w:ascii="宋体" w:hAnsi="宋体" w:cs="宋体" w:eastAsia="宋体" w:hint="default"/>
          <w:sz w:val="17"/>
          <w:szCs w:val="17"/>
        </w:rPr>
      </w:pPr>
    </w:p>
    <w:p>
      <w:pPr>
        <w:pStyle w:val="Heading3"/>
        <w:spacing w:line="444" w:lineRule="auto"/>
        <w:ind w:left="498" w:right="0" w:hanging="32"/>
        <w:jc w:val="left"/>
      </w:pPr>
      <w:r>
        <w:rPr/>
        <w:t>④租赁开始日的最低租赁付款额现值，与该资产的公允价值不存在较大的差异。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公司在承租开始日，将租赁资产公允价值与最低租赁付款额现值两者中较低者作为租入资产的入账价</w:t>
      </w:r>
    </w:p>
    <w:p>
      <w:pPr>
        <w:pStyle w:val="Heading3"/>
        <w:spacing w:line="240" w:lineRule="auto" w:before="15"/>
        <w:ind w:right="0"/>
        <w:jc w:val="left"/>
      </w:pPr>
      <w:r>
        <w:rPr/>
        <w:t>值，将最低租赁付款额作为长期应付款的入账价值，其差额作为未确认的融资费。</w:t>
      </w:r>
    </w:p>
    <w:p>
      <w:pPr>
        <w:spacing w:line="240" w:lineRule="auto" w:before="0"/>
        <w:rPr>
          <w:rFonts w:ascii="宋体" w:hAnsi="宋体" w:cs="宋体" w:eastAsia="宋体" w:hint="default"/>
          <w:sz w:val="20"/>
          <w:szCs w:val="20"/>
        </w:rPr>
      </w:pPr>
    </w:p>
    <w:p>
      <w:pPr>
        <w:spacing w:before="159"/>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16</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408" w:lineRule="auto" w:before="150"/>
        <w:ind w:right="146" w:firstLine="346"/>
        <w:jc w:val="both"/>
      </w:pPr>
      <w:r>
        <w:rPr>
          <w:spacing w:val="-2"/>
        </w:rPr>
        <w:t>在建工程项目按建造该项资产达到预定可使用状态前所发生的全部支出，作为固定资产的入账价值。</w:t>
      </w:r>
      <w:r>
        <w:rPr>
          <w:w w:val="100"/>
        </w:rPr>
        <w:t> </w:t>
      </w: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7"/>
        </w:rPr>
        <w:t> </w:t>
      </w:r>
      <w:r>
        <w:rPr>
          <w:spacing w:val="-47"/>
        </w:rPr>
      </w:r>
      <w:r>
        <w:rPr>
          <w:spacing w:val="-2"/>
        </w:rPr>
        <w:t>策计提固定资产的折旧，待办理竣工决算后，再按实际成本调整原来的暂估价值，但不调整原已计提的折</w:t>
      </w:r>
      <w:r>
        <w:rPr>
          <w:spacing w:val="-43"/>
        </w:rPr>
        <w:t> </w:t>
      </w:r>
      <w:r>
        <w:rPr>
          <w:spacing w:val="-43"/>
        </w:rPr>
      </w:r>
      <w:r>
        <w:rPr/>
        <w:t>旧额。</w:t>
      </w: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17</w:t>
      </w:r>
      <w:r>
        <w:rPr>
          <w:rFonts w:ascii="宋体" w:hAnsi="宋体" w:cs="宋体" w:eastAsia="宋体" w:hint="default"/>
          <w:b/>
          <w:bCs/>
          <w:sz w:val="20"/>
          <w:szCs w:val="20"/>
        </w:rPr>
        <w:t>、借款费用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432" w:lineRule="auto" w:before="150"/>
        <w:ind w:left="498" w:right="0"/>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借款费用资本化的确认原则</w:t>
      </w:r>
      <w:r>
        <w:rPr>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Heading3"/>
        <w:spacing w:line="444" w:lineRule="auto" w:before="25"/>
        <w:ind w:left="498" w:right="0" w:hanging="347"/>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spacing w:after="0" w:line="444" w:lineRule="auto"/>
        <w:jc w:val="left"/>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44" w:lineRule="auto" w:before="36"/>
        <w:ind w:left="498" w:right="1674" w:hanging="347"/>
        <w:jc w:val="left"/>
      </w:pPr>
      <w:r>
        <w:rPr>
          <w:spacing w:val="-2"/>
        </w:rPr>
        <w:t>售状态的固定资产、投资性房地产和存货等资产。</w:t>
      </w:r>
      <w:r>
        <w:rPr>
          <w:spacing w:val="-62"/>
        </w:rPr>
        <w:t> </w:t>
      </w:r>
      <w:r>
        <w:rPr>
          <w:spacing w:val="-62"/>
        </w:rPr>
      </w:r>
      <w:r>
        <w:rPr/>
        <w:t>借款费用同时满足下列条件时开始资本化：</w:t>
      </w:r>
    </w:p>
    <w:p>
      <w:pPr>
        <w:pStyle w:val="Heading3"/>
        <w:spacing w:line="408" w:lineRule="auto" w:before="53"/>
        <w:ind w:right="0" w:firstLine="346"/>
        <w:jc w:val="left"/>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Heading3"/>
        <w:spacing w:line="240" w:lineRule="auto" w:before="87"/>
        <w:ind w:left="498" w:right="0"/>
        <w:jc w:val="left"/>
      </w:pPr>
      <w:r>
        <w:rPr/>
        <w:t>②借款费用已经发生。</w:t>
      </w:r>
    </w:p>
    <w:p>
      <w:pPr>
        <w:spacing w:line="240" w:lineRule="auto" w:before="12"/>
        <w:rPr>
          <w:rFonts w:ascii="宋体" w:hAnsi="宋体" w:cs="宋体" w:eastAsia="宋体" w:hint="default"/>
          <w:sz w:val="17"/>
          <w:szCs w:val="17"/>
        </w:rPr>
      </w:pPr>
    </w:p>
    <w:p>
      <w:pPr>
        <w:pStyle w:val="Heading3"/>
        <w:spacing w:line="432" w:lineRule="auto"/>
        <w:ind w:left="498" w:right="0"/>
        <w:jc w:val="left"/>
      </w:pPr>
      <w:r>
        <w:rPr/>
        <w:t>③为使资产达到预定可使用或者可销售状态所必要的购建或者生产活动已经开始。</w:t>
      </w:r>
      <w:r>
        <w:rPr>
          <w:w w:val="100"/>
        </w:rPr>
        <w:t> </w:t>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借款费用资本化期间</w:t>
      </w:r>
      <w:r>
        <w:rPr>
          <w:w w:val="100"/>
        </w:rPr>
        <w:t> </w:t>
      </w:r>
      <w:r>
        <w:rPr>
          <w:spacing w:val="-2"/>
        </w:rPr>
        <w:t>资本化期间，指从借款费用开始资本化时点到停止资本化时点的期间，借款费用暂停资本化的期间不</w:t>
      </w:r>
    </w:p>
    <w:p>
      <w:pPr>
        <w:pStyle w:val="Heading3"/>
        <w:spacing w:line="240" w:lineRule="auto" w:before="25"/>
        <w:ind w:right="0"/>
        <w:jc w:val="both"/>
      </w:pPr>
      <w:r>
        <w:rPr/>
        <w:t>包括在内。</w:t>
      </w:r>
    </w:p>
    <w:p>
      <w:pPr>
        <w:spacing w:line="240" w:lineRule="auto" w:before="12"/>
        <w:rPr>
          <w:rFonts w:ascii="宋体" w:hAnsi="宋体" w:cs="宋体" w:eastAsia="宋体" w:hint="default"/>
          <w:sz w:val="17"/>
          <w:szCs w:val="17"/>
        </w:rPr>
      </w:pPr>
    </w:p>
    <w:p>
      <w:pPr>
        <w:pStyle w:val="Heading3"/>
        <w:spacing w:line="441" w:lineRule="auto"/>
        <w:ind w:left="498"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Heading3"/>
        <w:spacing w:line="240" w:lineRule="auto" w:before="16"/>
        <w:ind w:right="0"/>
        <w:jc w:val="both"/>
      </w:pPr>
      <w:r>
        <w:rPr/>
        <w:t>止资本化。</w:t>
      </w:r>
    </w:p>
    <w:p>
      <w:pPr>
        <w:spacing w:line="240" w:lineRule="auto" w:before="12"/>
        <w:rPr>
          <w:rFonts w:ascii="宋体" w:hAnsi="宋体" w:cs="宋体" w:eastAsia="宋体" w:hint="default"/>
          <w:sz w:val="17"/>
          <w:szCs w:val="17"/>
        </w:rPr>
      </w:pPr>
    </w:p>
    <w:p>
      <w:pPr>
        <w:pStyle w:val="Heading3"/>
        <w:spacing w:line="408" w:lineRule="auto"/>
        <w:ind w:right="0" w:firstLine="346"/>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Heading3"/>
        <w:spacing w:line="417" w:lineRule="auto" w:before="87"/>
        <w:ind w:left="498" w:right="192"/>
        <w:jc w:val="left"/>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暂停资本化期间</w:t>
      </w:r>
      <w:r>
        <w:rPr>
          <w:w w:val="100"/>
        </w:rPr>
        <w:t> </w:t>
      </w:r>
      <w:r>
        <w:rPr/>
        <w:t>符合资本化条件的资产在购建或生产过程中发生的非正常中断、且中断时间连续超过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个月的，则借</w:t>
      </w:r>
    </w:p>
    <w:p>
      <w:pPr>
        <w:pStyle w:val="Heading3"/>
        <w:spacing w:line="408" w:lineRule="auto" w:before="5"/>
        <w:ind w:right="14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1"/>
        <w:rPr>
          <w:rFonts w:ascii="宋体" w:hAnsi="宋体" w:cs="宋体" w:eastAsia="宋体" w:hint="default"/>
          <w:sz w:val="21"/>
          <w:szCs w:val="21"/>
        </w:rPr>
      </w:pPr>
    </w:p>
    <w:p>
      <w:pPr>
        <w:spacing w:before="0"/>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18</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240" w:lineRule="auto" w:before="150"/>
        <w:ind w:left="573" w:right="0"/>
        <w:jc w:val="left"/>
      </w:pPr>
      <w:r>
        <w:rPr>
          <w:rFonts w:ascii="Times New Roman" w:hAnsi="Times New Roman" w:cs="Times New Roman" w:eastAsia="Times New Roman" w:hint="default"/>
        </w:rPr>
        <w:t>(1)</w:t>
      </w:r>
      <w:r>
        <w:rPr/>
        <w:t>无形资产的计价方法</w:t>
      </w:r>
    </w:p>
    <w:p>
      <w:pPr>
        <w:pStyle w:val="Heading3"/>
        <w:spacing w:line="408" w:lineRule="auto" w:before="177"/>
        <w:ind w:left="573" w:right="0"/>
        <w:jc w:val="left"/>
      </w:pPr>
      <w:r>
        <w:rPr/>
        <w:t>①公司取得无形资产时按成本进行初始计量</w:t>
      </w:r>
      <w:r>
        <w:rPr>
          <w:w w:val="100"/>
        </w:rPr>
        <w:t> </w:t>
      </w:r>
      <w:r>
        <w:rPr>
          <w:spacing w:val="-2"/>
        </w:rPr>
        <w:t>外购无形资产的成本，包括购买价款、相关税费以及直接归属于使该项资产达到预定用途所发生的其</w:t>
      </w:r>
    </w:p>
    <w:p>
      <w:pPr>
        <w:pStyle w:val="Heading3"/>
        <w:spacing w:line="408" w:lineRule="auto" w:before="46"/>
        <w:ind w:right="146"/>
        <w:jc w:val="both"/>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Heading3"/>
        <w:spacing w:line="408" w:lineRule="auto" w:before="46"/>
        <w:ind w:right="0" w:firstLine="425"/>
        <w:jc w:val="left"/>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Heading3"/>
        <w:spacing w:line="240" w:lineRule="auto" w:before="46"/>
        <w:ind w:left="573" w:right="0"/>
        <w:jc w:val="left"/>
      </w:pPr>
      <w:r>
        <w:rPr/>
        <w:t>在非货币性资产交换具备商业实质且换入资产或换出资产的公允价值能够可靠计量的前提下，非货币</w:t>
      </w:r>
    </w:p>
    <w:p>
      <w:pPr>
        <w:spacing w:after="0" w:line="240" w:lineRule="auto"/>
        <w:jc w:val="left"/>
        <w:sectPr>
          <w:footerReference w:type="default" r:id="rId34"/>
          <w:pgSz w:w="11910" w:h="16840"/>
          <w:pgMar w:footer="979" w:header="880" w:top="1100" w:bottom="1160" w:left="980" w:right="980"/>
          <w:pgNumType w:start="121"/>
        </w:sectPr>
      </w:pPr>
    </w:p>
    <w:p>
      <w:pPr>
        <w:spacing w:line="240" w:lineRule="auto" w:before="10"/>
        <w:rPr>
          <w:rFonts w:ascii="宋体" w:hAnsi="宋体" w:cs="宋体" w:eastAsia="宋体" w:hint="default"/>
          <w:sz w:val="26"/>
          <w:szCs w:val="26"/>
        </w:rPr>
      </w:pPr>
    </w:p>
    <w:p>
      <w:pPr>
        <w:pStyle w:val="Heading3"/>
        <w:spacing w:line="408" w:lineRule="auto" w:before="36"/>
        <w:ind w:right="146"/>
        <w:jc w:val="both"/>
      </w:pP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Heading3"/>
        <w:spacing w:line="408" w:lineRule="auto" w:before="46"/>
        <w:ind w:left="578" w:right="5454" w:hanging="3"/>
        <w:jc w:val="left"/>
      </w:pPr>
      <w:r>
        <w:rPr/>
        <w:t>②后续计量</w:t>
      </w:r>
      <w:r>
        <w:rPr>
          <w:spacing w:val="-102"/>
        </w:rPr>
        <w:t> </w:t>
      </w:r>
      <w:r>
        <w:rPr>
          <w:spacing w:val="-102"/>
        </w:rPr>
      </w:r>
      <w:r>
        <w:rPr>
          <w:spacing w:val="-2"/>
        </w:rPr>
        <w:t>在取得无形资产时分析判断其使用寿命。</w:t>
      </w:r>
    </w:p>
    <w:p>
      <w:pPr>
        <w:pStyle w:val="Heading3"/>
        <w:spacing w:line="408" w:lineRule="auto" w:before="46"/>
        <w:ind w:right="0" w:firstLine="420"/>
        <w:jc w:val="left"/>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Heading3"/>
        <w:spacing w:line="240" w:lineRule="auto" w:before="46"/>
        <w:ind w:left="503"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8"/>
        <w:rPr>
          <w:rFonts w:ascii="宋体" w:hAnsi="宋体" w:cs="宋体" w:eastAsia="宋体" w:hint="default"/>
          <w:sz w:val="8"/>
          <w:szCs w:val="8"/>
        </w:rPr>
      </w:pPr>
    </w:p>
    <w:tbl>
      <w:tblPr>
        <w:tblW w:w="0" w:type="auto"/>
        <w:jc w:val="left"/>
        <w:tblInd w:w="573" w:type="dxa"/>
        <w:tblLayout w:type="fixed"/>
        <w:tblCellMar>
          <w:top w:w="0" w:type="dxa"/>
          <w:left w:w="0" w:type="dxa"/>
          <w:bottom w:w="0" w:type="dxa"/>
          <w:right w:w="0" w:type="dxa"/>
        </w:tblCellMar>
        <w:tblLook w:val="01E0"/>
      </w:tblPr>
      <w:tblGrid>
        <w:gridCol w:w="2119"/>
        <w:gridCol w:w="1877"/>
        <w:gridCol w:w="5214"/>
      </w:tblGrid>
      <w:tr>
        <w:trPr>
          <w:trHeight w:val="454" w:hRule="exact"/>
        </w:trPr>
        <w:tc>
          <w:tcPr>
            <w:tcW w:w="211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521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439" w:hRule="exact"/>
        </w:trPr>
        <w:tc>
          <w:tcPr>
            <w:tcW w:w="211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土地使用权证有效日期</w:t>
            </w:r>
          </w:p>
        </w:tc>
      </w:tr>
      <w:tr>
        <w:trPr>
          <w:trHeight w:val="439" w:hRule="exact"/>
        </w:trPr>
        <w:tc>
          <w:tcPr>
            <w:tcW w:w="211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与该项无形资产有关的经济利益的预期实现方式</w:t>
            </w:r>
          </w:p>
        </w:tc>
      </w:tr>
    </w:tbl>
    <w:p>
      <w:pPr>
        <w:pStyle w:val="Heading3"/>
        <w:spacing w:line="400" w:lineRule="auto" w:before="64"/>
        <w:ind w:left="573" w:right="0"/>
        <w:jc w:val="left"/>
      </w:pPr>
      <w:r>
        <w:rPr/>
        <w:t>每期末，对使用寿命有限的无形资产的使用寿命及摊销方法进行复核。</w:t>
      </w:r>
      <w:r>
        <w:rPr>
          <w:w w:val="100"/>
        </w:rPr>
        <w:t> </w:t>
      </w:r>
      <w:r>
        <w:rPr/>
        <w:t>经复核，本年期末无形资产的使用寿命及摊销方法与以前估计未有不同。</w:t>
      </w:r>
      <w:r>
        <w:rPr>
          <w:w w:val="100"/>
        </w:rPr>
        <w:t> </w:t>
      </w:r>
      <w:r>
        <w:rPr>
          <w:rFonts w:ascii="Times New Roman" w:hAnsi="Times New Roman" w:cs="Times New Roman" w:eastAsia="Times New Roman" w:hint="default"/>
        </w:rPr>
        <w:t>(3)</w:t>
      </w:r>
      <w:r>
        <w:rPr/>
        <w:t>截至资产负债表日，本公司没有使用寿命不确定的无形资产。</w:t>
      </w:r>
      <w:r>
        <w:rPr>
          <w:w w:val="100"/>
        </w:rPr>
        <w:t> </w:t>
      </w:r>
      <w:r>
        <w:rPr>
          <w:rFonts w:ascii="Times New Roman" w:hAnsi="Times New Roman" w:cs="Times New Roman" w:eastAsia="Times New Roman" w:hint="default"/>
        </w:rPr>
        <w:t>(4)</w:t>
      </w:r>
      <w:r>
        <w:rPr/>
        <w:t>划分研究阶段和开发阶段的具体标准</w:t>
      </w:r>
      <w:r>
        <w:rPr>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Heading3"/>
        <w:spacing w:line="398" w:lineRule="auto" w:before="52"/>
        <w:ind w:left="556" w:right="1674" w:hanging="404"/>
        <w:jc w:val="left"/>
      </w:pPr>
      <w:r>
        <w:rPr/>
        <w:t>的或具有实质性改进的材料、装置、产品等活动的阶段。</w:t>
      </w:r>
      <w:r>
        <w:rPr>
          <w:w w:val="100"/>
        </w:rPr>
        <w:t> </w:t>
      </w:r>
      <w:r>
        <w:rPr>
          <w:rFonts w:ascii="Times New Roman" w:hAnsi="Times New Roman" w:cs="Times New Roman" w:eastAsia="Times New Roman" w:hint="default"/>
        </w:rPr>
        <w:t>(5)</w:t>
      </w:r>
      <w:r>
        <w:rPr/>
        <w:t>开发阶段支出符合资本化的具体条件</w:t>
      </w:r>
      <w:r>
        <w:rPr>
          <w:w w:val="100"/>
        </w:rPr>
        <w:t> </w:t>
      </w:r>
      <w:r>
        <w:rPr>
          <w:spacing w:val="-2"/>
        </w:rPr>
        <w:t>内部研究开发项目开发阶段的支出，同时满足下列条件时确认为无形资产：</w:t>
      </w:r>
    </w:p>
    <w:p>
      <w:pPr>
        <w:pStyle w:val="Heading3"/>
        <w:spacing w:line="240" w:lineRule="auto" w:before="55"/>
        <w:ind w:left="556" w:right="0"/>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Heading3"/>
        <w:spacing w:line="240" w:lineRule="auto"/>
        <w:ind w:left="578" w:right="0"/>
        <w:jc w:val="left"/>
      </w:pPr>
      <w:r>
        <w:rPr/>
        <w:t>②具有完成该无形资产并使用或出售的意图。</w:t>
      </w:r>
    </w:p>
    <w:p>
      <w:pPr>
        <w:spacing w:line="240" w:lineRule="auto" w:before="10"/>
        <w:rPr>
          <w:rFonts w:ascii="宋体" w:hAnsi="宋体" w:cs="宋体" w:eastAsia="宋体" w:hint="default"/>
          <w:sz w:val="14"/>
          <w:szCs w:val="14"/>
        </w:rPr>
      </w:pPr>
    </w:p>
    <w:p>
      <w:pPr>
        <w:pStyle w:val="Heading3"/>
        <w:spacing w:line="408" w:lineRule="auto"/>
        <w:ind w:right="0" w:firstLine="420"/>
        <w:jc w:val="left"/>
      </w:pPr>
      <w:r>
        <w:rPr>
          <w:spacing w:val="-2"/>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Heading3"/>
        <w:spacing w:line="408" w:lineRule="auto" w:before="46"/>
        <w:ind w:right="0" w:firstLine="420"/>
        <w:jc w:val="left"/>
      </w:pPr>
      <w:r>
        <w:rPr>
          <w:spacing w:val="-2"/>
        </w:rPr>
        <w:t>④有足够的技术、财务资源和其他资源支持，以完成该无形资产的开发，并有能力使用或出售该无形</w:t>
      </w:r>
      <w:r>
        <w:rPr>
          <w:w w:val="100"/>
        </w:rPr>
        <w:t> </w:t>
      </w:r>
      <w:r>
        <w:rPr/>
        <w:t>资产。</w:t>
      </w:r>
    </w:p>
    <w:p>
      <w:pPr>
        <w:pStyle w:val="Heading3"/>
        <w:spacing w:line="408" w:lineRule="auto" w:before="46"/>
        <w:ind w:left="578" w:right="0" w:hanging="5"/>
        <w:jc w:val="left"/>
      </w:pPr>
      <w:r>
        <w:rPr/>
        <w:t>⑤归属于该无形资产开发阶段的支出能够可靠地计量。</w:t>
      </w:r>
      <w:r>
        <w:rPr>
          <w:w w:val="100"/>
        </w:rPr>
        <w:t> </w:t>
      </w:r>
      <w:r>
        <w:rPr>
          <w:spacing w:val="-2"/>
        </w:rPr>
        <w:t>开发阶段的支出，若不满足上列条件的，于发生时计入当期损益。研究阶段的支出，在发生时计入当</w:t>
      </w:r>
    </w:p>
    <w:p>
      <w:pPr>
        <w:pStyle w:val="Heading3"/>
        <w:spacing w:line="240" w:lineRule="auto" w:before="46"/>
        <w:ind w:right="0"/>
        <w:jc w:val="left"/>
      </w:pPr>
      <w:r>
        <w:rPr/>
        <w:t>期损益。</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spacing w:before="37"/>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19</w:t>
      </w:r>
      <w:r>
        <w:rPr>
          <w:rFonts w:ascii="宋体" w:hAnsi="宋体" w:cs="宋体" w:eastAsia="宋体" w:hint="default"/>
          <w:b/>
          <w:bCs/>
          <w:sz w:val="20"/>
          <w:szCs w:val="20"/>
        </w:rPr>
        <w:t>、长期资产减值</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408" w:lineRule="auto" w:before="150"/>
        <w:ind w:right="125" w:firstLine="427"/>
        <w:jc w:val="both"/>
      </w:pPr>
      <w:r>
        <w:rPr>
          <w:spacing w:val="-3"/>
        </w:rPr>
        <w:t>长期股权投资、采用成本模式计量的投资性房地产、固定资产、在建工程、无形资产等长期资产，于</w:t>
      </w:r>
      <w:r>
        <w:rPr>
          <w:w w:val="100"/>
        </w:rPr>
        <w:t> </w:t>
      </w:r>
      <w:r>
        <w:rPr>
          <w:spacing w:val="-2"/>
        </w:rPr>
        <w:t>资产负债表日存在减值迹象的，进行减值测试。减值测试结果表明资产的可收回金额低于其账面价值的，</w:t>
      </w:r>
      <w:r>
        <w:rPr>
          <w:spacing w:val="-21"/>
        </w:rPr>
        <w:t> </w:t>
      </w:r>
      <w:r>
        <w:rPr>
          <w:spacing w:val="-21"/>
        </w:rPr>
      </w:r>
      <w:r>
        <w:rPr>
          <w:spacing w:val="-2"/>
        </w:rPr>
        <w:t>按其差额计提减值准备并计入减值损失。可收回金额为资产的公允价值减去处置费用后的净额与资产预计</w:t>
      </w:r>
      <w:r>
        <w:rPr>
          <w:spacing w:val="-43"/>
        </w:rPr>
        <w:t> </w:t>
      </w:r>
      <w:r>
        <w:rPr>
          <w:spacing w:val="-43"/>
        </w:rPr>
      </w:r>
      <w:r>
        <w:rPr>
          <w:spacing w:val="-2"/>
        </w:rPr>
        <w:t>未来现金流量的现值两者之间的较高者。资产减值准备按单项资产为基础计算并确认，如果难以对单项资</w:t>
      </w:r>
      <w:r>
        <w:rPr>
          <w:spacing w:val="-42"/>
        </w:rPr>
        <w:t> </w:t>
      </w:r>
      <w:r>
        <w:rPr>
          <w:spacing w:val="-42"/>
        </w:rPr>
      </w:r>
      <w:r>
        <w:rPr>
          <w:spacing w:val="-2"/>
        </w:rPr>
        <w:t>产的可收回金额进行估计的，以该资产所属的资产组确定资产组的可收回金额。资产组是能够独立产生现</w:t>
      </w:r>
      <w:r>
        <w:rPr>
          <w:spacing w:val="-44"/>
        </w:rPr>
        <w:t> </w:t>
      </w:r>
      <w:r>
        <w:rPr>
          <w:spacing w:val="-44"/>
        </w:rPr>
      </w:r>
      <w:r>
        <w:rPr/>
        <w:t>金流入的最小资产组合。</w:t>
      </w:r>
    </w:p>
    <w:p>
      <w:pPr>
        <w:pStyle w:val="Heading3"/>
        <w:spacing w:line="408" w:lineRule="auto" w:before="46"/>
        <w:ind w:left="580" w:right="0"/>
        <w:jc w:val="left"/>
      </w:pPr>
      <w:r>
        <w:rPr/>
        <w:t>商誉至少在每年年度终了进行减值测试。</w:t>
      </w:r>
      <w:r>
        <w:rPr>
          <w:w w:val="100"/>
        </w:rPr>
        <w:t> </w:t>
      </w:r>
      <w:r>
        <w:rPr>
          <w:spacing w:val="-3"/>
        </w:rPr>
        <w:t>本公司进行商誉减值测试，对于因企业合并形成的商誉的账面价值，自购买日起按照合理的方法分摊</w:t>
      </w:r>
    </w:p>
    <w:p>
      <w:pPr>
        <w:pStyle w:val="Heading3"/>
        <w:spacing w:line="408" w:lineRule="auto" w:before="46"/>
        <w:ind w:right="14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Heading3"/>
        <w:spacing w:line="408" w:lineRule="auto" w:before="46"/>
        <w:ind w:right="14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pStyle w:val="Heading3"/>
        <w:spacing w:line="240" w:lineRule="auto" w:before="46"/>
        <w:ind w:left="573" w:right="0"/>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spacing w:before="161"/>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20</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408" w:lineRule="auto" w:before="150"/>
        <w:ind w:left="573" w:right="0"/>
        <w:jc w:val="left"/>
      </w:pPr>
      <w:r>
        <w:rPr>
          <w:spacing w:val="-2"/>
        </w:rPr>
        <w:t>长期待摊费用为已经发生但应由本期和以后各期负担的分摊期限在一年以上的各项费用。</w:t>
      </w:r>
      <w:r>
        <w:rPr>
          <w:spacing w:val="-31"/>
        </w:rPr>
        <w:t> </w:t>
      </w:r>
      <w:r>
        <w:rPr>
          <w:spacing w:val="-31"/>
        </w:rPr>
      </w:r>
      <w:r>
        <w:rPr/>
        <w:t>长期待摊费用在受益期内平均摊销。</w:t>
      </w:r>
    </w:p>
    <w:p>
      <w:pPr>
        <w:spacing w:line="240" w:lineRule="auto" w:before="1"/>
        <w:rPr>
          <w:rFonts w:ascii="宋体" w:hAnsi="宋体" w:cs="宋体" w:eastAsia="宋体" w:hint="default"/>
          <w:sz w:val="21"/>
          <w:szCs w:val="21"/>
        </w:rPr>
      </w:pPr>
    </w:p>
    <w:p>
      <w:pPr>
        <w:spacing w:before="0"/>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21</w:t>
      </w:r>
      <w:r>
        <w:rPr>
          <w:rFonts w:ascii="宋体" w:hAnsi="宋体" w:cs="宋体" w:eastAsia="宋体" w:hint="default"/>
          <w:b/>
          <w:bCs/>
          <w:sz w:val="20"/>
          <w:szCs w:val="20"/>
        </w:rPr>
        <w:t>、职工薪酬</w:t>
      </w:r>
      <w:r>
        <w:rPr>
          <w:rFonts w:ascii="宋体" w:hAnsi="宋体" w:cs="宋体" w:eastAsia="宋体" w:hint="default"/>
          <w:sz w:val="20"/>
          <w:szCs w:val="20"/>
        </w:rPr>
      </w:r>
    </w:p>
    <w:p>
      <w:pPr>
        <w:spacing w:line="240" w:lineRule="auto" w:before="8"/>
        <w:rPr>
          <w:rFonts w:ascii="宋体" w:hAnsi="宋体" w:cs="宋体" w:eastAsia="宋体" w:hint="default"/>
          <w:b/>
          <w:bCs/>
          <w:sz w:val="25"/>
          <w:szCs w:val="25"/>
        </w:rPr>
      </w:pPr>
    </w:p>
    <w:p>
      <w:pPr>
        <w:pStyle w:val="Heading3"/>
        <w:spacing w:line="352" w:lineRule="auto"/>
        <w:ind w:left="573" w:right="0" w:hanging="106"/>
        <w:jc w:val="left"/>
      </w:pPr>
      <w:r>
        <w:rPr/>
        <w:t>（</w:t>
      </w:r>
      <w:r>
        <w:rPr>
          <w:rFonts w:ascii="Times New Roman" w:hAnsi="Times New Roman" w:cs="Times New Roman" w:eastAsia="Times New Roman" w:hint="default"/>
        </w:rPr>
        <w:t>1</w:t>
      </w:r>
      <w:r>
        <w:rPr/>
        <w:t>）短期薪酬的会计处理方法</w:t>
      </w:r>
      <w:r>
        <w:rPr>
          <w:w w:val="100"/>
        </w:rPr>
        <w:t> </w:t>
      </w:r>
      <w:r>
        <w:rPr>
          <w:spacing w:val="-2"/>
        </w:rPr>
        <w:t>本公司在职工为本公司提供服务的会计期间，将实际发生的短期薪酬确认为负债，并计入当期损益或</w:t>
      </w:r>
    </w:p>
    <w:p>
      <w:pPr>
        <w:pStyle w:val="Heading3"/>
        <w:spacing w:line="408" w:lineRule="auto" w:before="94"/>
        <w:ind w:left="573" w:right="0" w:hanging="421"/>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Heading3"/>
        <w:spacing w:line="240" w:lineRule="auto" w:before="46"/>
        <w:ind w:right="0"/>
        <w:jc w:val="both"/>
      </w:pPr>
      <w:r>
        <w:rPr/>
        <w:t>为本公司提供服务的会计期间，根据规定的计提基础和计提比例计算确定相应的职工薪酬金额。</w:t>
      </w:r>
    </w:p>
    <w:p>
      <w:pPr>
        <w:spacing w:after="0" w:line="240" w:lineRule="auto"/>
        <w:jc w:val="both"/>
        <w:sectPr>
          <w:footerReference w:type="default" r:id="rId35"/>
          <w:pgSz w:w="11910" w:h="16840"/>
          <w:pgMar w:footer="979" w:header="880" w:top="1100" w:bottom="1160" w:left="980" w:right="980"/>
          <w:pgNumType w:start="123"/>
        </w:sectPr>
      </w:pPr>
    </w:p>
    <w:p>
      <w:pPr>
        <w:spacing w:line="240" w:lineRule="auto" w:before="10"/>
        <w:rPr>
          <w:rFonts w:ascii="宋体" w:hAnsi="宋体" w:cs="宋体" w:eastAsia="宋体" w:hint="default"/>
          <w:sz w:val="26"/>
          <w:szCs w:val="26"/>
        </w:rPr>
      </w:pPr>
    </w:p>
    <w:p>
      <w:pPr>
        <w:pStyle w:val="Heading3"/>
        <w:spacing w:line="240" w:lineRule="auto" w:before="36"/>
        <w:ind w:left="573" w:right="0"/>
        <w:jc w:val="left"/>
      </w:pPr>
      <w:r>
        <w:rPr/>
        <w:t>职工福利费为非货币性福利的，如能够可靠计量的，按照公允价值计量。</w:t>
      </w:r>
    </w:p>
    <w:p>
      <w:pPr>
        <w:pStyle w:val="Heading3"/>
        <w:spacing w:line="352" w:lineRule="auto" w:before="157"/>
        <w:ind w:left="573" w:right="5284" w:hanging="106"/>
        <w:jc w:val="left"/>
      </w:pPr>
      <w:r>
        <w:rPr>
          <w:spacing w:val="-2"/>
        </w:rPr>
        <w:t>（</w:t>
      </w:r>
      <w:r>
        <w:rPr>
          <w:rFonts w:ascii="Times New Roman" w:hAnsi="Times New Roman" w:cs="Times New Roman" w:eastAsia="Times New Roman" w:hint="default"/>
          <w:spacing w:val="-2"/>
        </w:rPr>
        <w:t>2</w:t>
      </w:r>
      <w:r>
        <w:rPr>
          <w:spacing w:val="-2"/>
        </w:rPr>
        <w:t>）离职后福利的会计处理方法</w:t>
      </w:r>
      <w:r>
        <w:rPr>
          <w:spacing w:val="-76"/>
        </w:rPr>
        <w:t> </w:t>
      </w:r>
      <w:r>
        <w:rPr>
          <w:spacing w:val="-76"/>
        </w:rPr>
      </w:r>
      <w:r>
        <w:rPr/>
        <w:t>设定提存计划</w:t>
      </w:r>
    </w:p>
    <w:p>
      <w:pPr>
        <w:pStyle w:val="Heading3"/>
        <w:spacing w:line="408" w:lineRule="auto" w:before="94"/>
        <w:ind w:right="0" w:firstLine="420"/>
        <w:jc w:val="left"/>
      </w:pPr>
      <w:r>
        <w:rPr>
          <w:spacing w:val="-2"/>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p>
    <w:p>
      <w:pPr>
        <w:pStyle w:val="Heading3"/>
        <w:spacing w:line="355" w:lineRule="auto" w:before="10"/>
        <w:ind w:left="573" w:right="0"/>
        <w:jc w:val="left"/>
      </w:pPr>
      <w:r>
        <w:rPr/>
        <w:t>（</w:t>
      </w:r>
      <w:r>
        <w:rPr>
          <w:rFonts w:ascii="Times New Roman" w:hAnsi="Times New Roman" w:cs="Times New Roman" w:eastAsia="Times New Roman" w:hint="default"/>
        </w:rPr>
        <w:t>3</w:t>
      </w:r>
      <w:r>
        <w:rPr/>
        <w:t>）辞退福利的会计处理方法</w:t>
      </w:r>
      <w:r>
        <w:rPr>
          <w:w w:val="100"/>
        </w:rPr>
        <w:t> </w:t>
      </w:r>
      <w:r>
        <w:rPr>
          <w:spacing w:val="-2"/>
        </w:rPr>
        <w:t>本公司在不能单方面撤回因解除劳动关系计划或裁减建议所提供的辞退福利时，或确认与涉及支付辞</w:t>
      </w:r>
    </w:p>
    <w:p>
      <w:pPr>
        <w:pStyle w:val="Heading3"/>
        <w:spacing w:line="240" w:lineRule="auto" w:before="92"/>
        <w:ind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before="162"/>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22</w:t>
      </w:r>
      <w:r>
        <w:rPr>
          <w:rFonts w:ascii="宋体" w:hAnsi="宋体" w:cs="宋体" w:eastAsia="宋体" w:hint="default"/>
          <w:b/>
          <w:bCs/>
          <w:sz w:val="20"/>
          <w:szCs w:val="20"/>
        </w:rPr>
        <w:t>、收入</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Heading3"/>
        <w:spacing w:line="240" w:lineRule="auto" w:before="147"/>
        <w:ind w:left="575" w:right="0"/>
        <w:jc w:val="left"/>
      </w:pPr>
      <w:r>
        <w:rPr>
          <w:rFonts w:ascii="Times New Roman" w:hAnsi="Times New Roman" w:cs="Times New Roman" w:eastAsia="Times New Roman" w:hint="default"/>
        </w:rPr>
        <w:t>(1)</w:t>
      </w:r>
      <w:r>
        <w:rPr/>
        <w:t>销售商品收入确认和计量原则</w:t>
      </w:r>
    </w:p>
    <w:p>
      <w:pPr>
        <w:pStyle w:val="Heading3"/>
        <w:spacing w:line="408" w:lineRule="auto" w:before="177"/>
        <w:ind w:left="573" w:right="0" w:hanging="34"/>
        <w:jc w:val="left"/>
      </w:pPr>
      <w:r>
        <w:rPr/>
        <w:t>①销售商品收入确认和计量的总体原则</w:t>
      </w:r>
      <w:r>
        <w:rPr>
          <w:w w:val="100"/>
        </w:rPr>
        <w:t> </w:t>
      </w:r>
      <w:r>
        <w:rPr>
          <w:spacing w:val="-2"/>
        </w:rPr>
        <w:t>公司已将商品所有权上的主要风险和报酬转移给购买方；公司既没有保留与所有权相联系的继续管理</w:t>
      </w:r>
    </w:p>
    <w:p>
      <w:pPr>
        <w:pStyle w:val="Heading3"/>
        <w:spacing w:line="408" w:lineRule="auto" w:before="46"/>
        <w:ind w:right="0"/>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Heading3"/>
        <w:spacing w:line="408" w:lineRule="auto" w:before="46"/>
        <w:ind w:left="573" w:right="0" w:hanging="34"/>
        <w:jc w:val="left"/>
      </w:pPr>
      <w:r>
        <w:rPr/>
        <w:t>②本公司销售商品收入确认的确认标准及收入确认时间的具体判断标准</w:t>
      </w:r>
      <w:r>
        <w:rPr>
          <w:w w:val="100"/>
        </w:rPr>
        <w:t> </w:t>
      </w:r>
      <w:r>
        <w:rPr>
          <w:spacing w:val="-2"/>
        </w:rPr>
        <w:t>考虑公司相关业务流程，本公司货币自动处理设备的销售收入以取得购买方确认后的到货签收表作为</w:t>
      </w:r>
    </w:p>
    <w:p>
      <w:pPr>
        <w:pStyle w:val="Heading3"/>
        <w:spacing w:line="408" w:lineRule="auto" w:before="46"/>
        <w:ind w:left="573" w:right="0" w:hanging="421"/>
        <w:jc w:val="left"/>
      </w:pPr>
      <w:r>
        <w:rPr/>
        <w:t>收入确认的时点。</w:t>
      </w:r>
      <w:r>
        <w:rPr>
          <w:w w:val="100"/>
        </w:rPr>
        <w:t> </w:t>
      </w:r>
      <w:r>
        <w:rPr>
          <w:spacing w:val="-3"/>
        </w:rPr>
        <w:t>本公司销售房产，在房屋完工并验收合格，签订了销售合同，并办理完成商品房实物移交手续时，确</w:t>
      </w:r>
    </w:p>
    <w:p>
      <w:pPr>
        <w:pStyle w:val="Heading3"/>
        <w:spacing w:line="408" w:lineRule="auto" w:before="46"/>
        <w:ind w:right="206"/>
        <w:jc w:val="both"/>
      </w:pPr>
      <w:r>
        <w:rPr>
          <w:spacing w:val="-2"/>
        </w:rPr>
        <w:t>认收入的实现。对公司已通知买方在规定时间内办理商品房实物移交手续，而买方未在规定时间内办理完</w:t>
      </w:r>
      <w:r>
        <w:rPr>
          <w:spacing w:val="-42"/>
        </w:rPr>
        <w:t> </w:t>
      </w:r>
      <w:r>
        <w:rPr>
          <w:spacing w:val="-42"/>
        </w:rPr>
      </w:r>
      <w:r>
        <w:rPr>
          <w:spacing w:val="-2"/>
        </w:rPr>
        <w:t>成商品房实物移交手续且无正当理由的，在其他条件符合的情况下，公司在通知所规定的时限结束后即确</w:t>
      </w:r>
      <w:r>
        <w:rPr>
          <w:spacing w:val="-43"/>
        </w:rPr>
        <w:t> </w:t>
      </w:r>
      <w:r>
        <w:rPr>
          <w:spacing w:val="-43"/>
        </w:rPr>
      </w:r>
      <w:r>
        <w:rPr/>
        <w:t>认收入的实现。</w:t>
      </w:r>
    </w:p>
    <w:p>
      <w:pPr>
        <w:pStyle w:val="Heading3"/>
        <w:spacing w:line="240" w:lineRule="auto" w:before="46"/>
        <w:ind w:left="558" w:right="0"/>
        <w:jc w:val="left"/>
      </w:pPr>
      <w:r>
        <w:rPr>
          <w:rFonts w:ascii="Times New Roman" w:hAnsi="Times New Roman" w:cs="Times New Roman" w:eastAsia="Times New Roman" w:hint="default"/>
        </w:rPr>
        <w:t>(2)</w:t>
      </w:r>
      <w:r>
        <w:rPr/>
        <w:t>让渡资产使用权收入的确认和计量原则</w:t>
      </w:r>
    </w:p>
    <w:p>
      <w:pPr>
        <w:pStyle w:val="Heading3"/>
        <w:spacing w:line="408" w:lineRule="auto" w:before="177"/>
        <w:ind w:left="573" w:right="0" w:hanging="34"/>
        <w:jc w:val="left"/>
      </w:pPr>
      <w:r>
        <w:rPr/>
        <w:t>①让渡资产使用权收入确认和计量的总体原则</w:t>
      </w:r>
      <w:r>
        <w:rPr>
          <w:w w:val="100"/>
        </w:rPr>
        <w:t> </w:t>
      </w:r>
      <w:r>
        <w:rPr>
          <w:spacing w:val="-2"/>
        </w:rPr>
        <w:t>与交易相关的经济利益很可能流入企业，收入的金额能够可靠地计量时。分别下列情况确定让渡资产</w:t>
      </w:r>
    </w:p>
    <w:p>
      <w:pPr>
        <w:pStyle w:val="Heading3"/>
        <w:spacing w:line="408" w:lineRule="auto" w:before="46"/>
        <w:ind w:left="573" w:right="1526" w:hanging="421"/>
        <w:jc w:val="left"/>
      </w:pPr>
      <w:r>
        <w:rPr/>
        <w:t>使用权收入金额：</w:t>
      </w:r>
      <w:r>
        <w:rPr>
          <w:w w:val="100"/>
        </w:rPr>
        <w:t> </w:t>
      </w:r>
      <w:r>
        <w:rPr>
          <w:spacing w:val="-2"/>
        </w:rPr>
        <w:t>利息收入金额，按照他人使用本企业货币资金的时间和实际利率计算确定。</w:t>
      </w:r>
      <w:r>
        <w:rPr>
          <w:w w:val="100"/>
        </w:rPr>
        <w:t> </w:t>
      </w:r>
      <w:r>
        <w:rPr/>
        <w:t>使用费收入金额，按照有关合同或协议约定的收费时间和方法计算确定。</w:t>
      </w:r>
    </w:p>
    <w:p>
      <w:pPr>
        <w:pStyle w:val="Heading3"/>
        <w:spacing w:line="240" w:lineRule="auto" w:before="46"/>
        <w:ind w:left="645" w:right="0"/>
        <w:jc w:val="left"/>
      </w:pPr>
      <w:r>
        <w:rPr/>
        <w:t>②本公司确认让渡资产使用权收入的依据</w:t>
      </w:r>
    </w:p>
    <w:p>
      <w:pPr>
        <w:spacing w:line="240" w:lineRule="auto" w:before="10"/>
        <w:rPr>
          <w:rFonts w:ascii="宋体" w:hAnsi="宋体" w:cs="宋体" w:eastAsia="宋体" w:hint="default"/>
          <w:sz w:val="14"/>
          <w:szCs w:val="14"/>
        </w:rPr>
      </w:pPr>
    </w:p>
    <w:p>
      <w:pPr>
        <w:pStyle w:val="Heading3"/>
        <w:spacing w:line="240" w:lineRule="auto"/>
        <w:ind w:left="573" w:right="0"/>
        <w:jc w:val="left"/>
      </w:pPr>
      <w:r>
        <w:rPr>
          <w:rFonts w:ascii="Times New Roman" w:hAnsi="Times New Roman" w:cs="Times New Roman" w:eastAsia="Times New Roman" w:hint="default"/>
        </w:rPr>
        <w:t>ATM</w:t>
      </w:r>
      <w:r>
        <w:rPr/>
        <w:t>服务收入金额，按照收入的金额能够可靠地计量；相关的经济利益很可能流入企业时确认收入。</w:t>
      </w:r>
    </w:p>
    <w:p>
      <w:pPr>
        <w:spacing w:after="0" w:line="240" w:lineRule="auto"/>
        <w:jc w:val="left"/>
        <w:sectPr>
          <w:pgSz w:w="11910" w:h="16840"/>
          <w:pgMar w:header="880" w:footer="979" w:top="1100" w:bottom="1160" w:left="980" w:right="920"/>
        </w:sectPr>
      </w:pPr>
    </w:p>
    <w:p>
      <w:pPr>
        <w:spacing w:line="240" w:lineRule="auto" w:before="10"/>
        <w:rPr>
          <w:rFonts w:ascii="宋体" w:hAnsi="宋体" w:cs="宋体" w:eastAsia="宋体" w:hint="default"/>
          <w:sz w:val="26"/>
          <w:szCs w:val="26"/>
        </w:rPr>
      </w:pPr>
    </w:p>
    <w:p>
      <w:pPr>
        <w:pStyle w:val="Heading3"/>
        <w:spacing w:line="400" w:lineRule="auto" w:before="36"/>
        <w:ind w:left="558" w:right="0" w:hanging="407"/>
        <w:jc w:val="left"/>
      </w:pPr>
      <w:r>
        <w:rPr/>
        <w:t>考虑服务的特殊性，收入确认时点为公司已提供服务、接受服务方已确认所提供的服务。</w:t>
      </w:r>
      <w:r>
        <w:rPr>
          <w:w w:val="100"/>
        </w:rPr>
        <w:t> </w:t>
      </w:r>
      <w:r>
        <w:rPr/>
        <w:t>经营收入金额，按照有关合同或协议约定的收费时间和方法计算确定。</w:t>
      </w:r>
      <w:r>
        <w:rPr>
          <w:w w:val="100"/>
        </w:rPr>
        <w:t> </w:t>
      </w:r>
      <w:r>
        <w:rPr>
          <w:rFonts w:ascii="Times New Roman" w:hAnsi="Times New Roman" w:cs="Times New Roman" w:eastAsia="Times New Roman" w:hint="default"/>
        </w:rPr>
        <w:t>(3)</w:t>
      </w:r>
      <w:r>
        <w:rPr/>
        <w:t>确认物业管理费收入的判断标准</w:t>
      </w:r>
      <w:r>
        <w:rPr>
          <w:w w:val="100"/>
        </w:rPr>
        <w:t> </w:t>
      </w:r>
      <w:r>
        <w:rPr>
          <w:spacing w:val="-2"/>
        </w:rPr>
        <w:t>本公司在物业管理服务已经提供，与物业管理服务相关的经济利益能够流入企业，与物业管理服务相</w:t>
      </w:r>
    </w:p>
    <w:p>
      <w:pPr>
        <w:pStyle w:val="Heading3"/>
        <w:spacing w:line="240" w:lineRule="auto" w:before="52"/>
        <w:ind w:right="0"/>
        <w:jc w:val="left"/>
      </w:pPr>
      <w:r>
        <w:rPr/>
        <w:t>关的成本能够可靠计量时，确认物业管理收入的实现。</w:t>
      </w:r>
    </w:p>
    <w:p>
      <w:pPr>
        <w:spacing w:line="240" w:lineRule="auto" w:before="10"/>
        <w:rPr>
          <w:rFonts w:ascii="宋体" w:hAnsi="宋体" w:cs="宋体" w:eastAsia="宋体" w:hint="default"/>
          <w:sz w:val="14"/>
          <w:szCs w:val="14"/>
        </w:rPr>
      </w:pPr>
    </w:p>
    <w:p>
      <w:pPr>
        <w:pStyle w:val="Heading3"/>
        <w:spacing w:line="240" w:lineRule="auto"/>
        <w:ind w:left="587" w:right="0"/>
        <w:jc w:val="left"/>
      </w:pPr>
      <w:r>
        <w:rPr>
          <w:rFonts w:ascii="Times New Roman" w:hAnsi="Times New Roman" w:cs="Times New Roman" w:eastAsia="Times New Roman" w:hint="default"/>
        </w:rPr>
        <w:t>(4)</w:t>
      </w:r>
      <w:r>
        <w:rPr/>
        <w:t>劳务收入的确认和计量原则</w:t>
      </w:r>
    </w:p>
    <w:p>
      <w:pPr>
        <w:pStyle w:val="Heading3"/>
        <w:spacing w:line="408" w:lineRule="auto" w:before="177"/>
        <w:ind w:left="573" w:right="0" w:firstLine="72"/>
        <w:jc w:val="left"/>
      </w:pPr>
      <w:r>
        <w:rPr/>
        <w:t>①劳务收入确认和计量的总体原则</w:t>
      </w:r>
      <w:r>
        <w:rPr>
          <w:w w:val="100"/>
        </w:rPr>
        <w:t> </w:t>
      </w:r>
      <w:r>
        <w:rPr>
          <w:spacing w:val="-2"/>
        </w:rPr>
        <w:t>本公司在资产负债表日提供劳务交易的结果能够可靠估计的，应当采用完工百分比法确认劳务收入。</w:t>
      </w:r>
      <w:r>
        <w:rPr>
          <w:spacing w:val="-28"/>
        </w:rPr>
        <w:t> </w:t>
      </w:r>
      <w:r>
        <w:rPr>
          <w:spacing w:val="-28"/>
        </w:rPr>
      </w:r>
      <w:r>
        <w:rPr/>
        <w:t>提供劳务交易的结果能够可靠估计，是指同时满足列列条件：</w:t>
      </w:r>
      <w:r>
        <w:rPr>
          <w:w w:val="100"/>
        </w:rPr>
        <w:t> </w:t>
      </w:r>
      <w:r>
        <w:rPr>
          <w:spacing w:val="-2"/>
        </w:rPr>
        <w:t>与交易相关的经济利益很可能流入企业，收入的金额能够可靠地计量；交易的完工进度能够可靠地确</w:t>
      </w:r>
    </w:p>
    <w:p>
      <w:pPr>
        <w:pStyle w:val="Heading3"/>
        <w:spacing w:line="408" w:lineRule="auto" w:before="46"/>
        <w:ind w:left="573" w:right="2497" w:hanging="421"/>
        <w:jc w:val="left"/>
      </w:pPr>
      <w:r>
        <w:rPr/>
        <w:t>定；交易中已发生和将发生的成本能够可靠地计量。</w:t>
      </w:r>
      <w:r>
        <w:rPr>
          <w:w w:val="100"/>
        </w:rPr>
        <w:t> </w:t>
      </w:r>
      <w:r>
        <w:rPr>
          <w:spacing w:val="-2"/>
        </w:rPr>
        <w:t>本公司确定提供劳务交易的完工进度，可以选用下列方法：</w:t>
      </w:r>
      <w:r>
        <w:rPr>
          <w:w w:val="100"/>
        </w:rPr>
        <w:t> </w:t>
      </w:r>
      <w:r>
        <w:rPr>
          <w:rFonts w:ascii="Times New Roman" w:hAnsi="Times New Roman" w:cs="Times New Roman" w:eastAsia="Times New Roman" w:hint="default"/>
        </w:rPr>
        <w:t>1</w:t>
      </w:r>
      <w:r>
        <w:rPr>
          <w:rFonts w:ascii="宋体" w:hAnsi="宋体" w:cs="宋体" w:eastAsia="宋体" w:hint="default"/>
        </w:rPr>
        <w:t>.</w:t>
      </w:r>
      <w:r>
        <w:rPr/>
        <w:t>已完工作的测量。</w:t>
      </w:r>
    </w:p>
    <w:p>
      <w:pPr>
        <w:pStyle w:val="Heading3"/>
        <w:spacing w:line="240" w:lineRule="auto" w:before="14"/>
        <w:ind w:left="573" w:right="0"/>
        <w:jc w:val="left"/>
      </w:pPr>
      <w:r>
        <w:rPr>
          <w:rFonts w:ascii="Times New Roman" w:hAnsi="Times New Roman" w:cs="Times New Roman" w:eastAsia="Times New Roman" w:hint="default"/>
        </w:rPr>
        <w:t>2</w:t>
      </w:r>
      <w:r>
        <w:rPr>
          <w:rFonts w:ascii="宋体" w:hAnsi="宋体" w:cs="宋体" w:eastAsia="宋体" w:hint="default"/>
        </w:rPr>
        <w:t>.</w:t>
      </w:r>
      <w:r>
        <w:rPr/>
        <w:t>已经提供的劳务占应提供劳务总量的比例。</w:t>
      </w:r>
    </w:p>
    <w:p>
      <w:pPr>
        <w:pStyle w:val="Heading3"/>
        <w:spacing w:line="386" w:lineRule="auto" w:before="177"/>
        <w:ind w:left="573" w:right="0"/>
        <w:jc w:val="left"/>
      </w:pPr>
      <w:r>
        <w:rPr>
          <w:rFonts w:ascii="Times New Roman" w:hAnsi="Times New Roman" w:cs="Times New Roman" w:eastAsia="Times New Roman" w:hint="default"/>
        </w:rPr>
        <w:t>3</w:t>
      </w:r>
      <w:r>
        <w:rPr>
          <w:rFonts w:ascii="宋体" w:hAnsi="宋体" w:cs="宋体" w:eastAsia="宋体" w:hint="default"/>
        </w:rPr>
        <w:t>.</w:t>
      </w:r>
      <w:r>
        <w:rPr/>
        <w:t>已经发生的成本点估计总成本的比例。</w:t>
      </w:r>
      <w:r>
        <w:rPr>
          <w:w w:val="100"/>
        </w:rPr>
        <w:t> </w:t>
      </w:r>
      <w:r>
        <w:rPr>
          <w:spacing w:val="-2"/>
        </w:rPr>
        <w:t>公司应当按从接受劳务方已收或应收的合同或协议价款确定提供劳务收入总额，但已收或应收的合同</w:t>
      </w:r>
    </w:p>
    <w:p>
      <w:pPr>
        <w:pStyle w:val="Heading3"/>
        <w:spacing w:line="408" w:lineRule="auto" w:before="65"/>
        <w:ind w:left="578" w:right="0" w:hanging="426"/>
        <w:jc w:val="left"/>
      </w:pPr>
      <w:r>
        <w:rPr/>
        <w:t>或协议款不公允的除外。</w:t>
      </w:r>
      <w:r>
        <w:rPr>
          <w:w w:val="100"/>
        </w:rPr>
        <w:t> </w:t>
      </w:r>
      <w:r>
        <w:rPr>
          <w:spacing w:val="2"/>
        </w:rPr>
        <w:t>公司在资产负债表日按照提供劳务收入总额乘以完工进度扣除以前会计期间累计已确认提供劳务收</w:t>
      </w:r>
    </w:p>
    <w:p>
      <w:pPr>
        <w:pStyle w:val="Heading3"/>
        <w:spacing w:line="408" w:lineRule="auto" w:before="46"/>
        <w:ind w:right="0"/>
        <w:jc w:val="left"/>
      </w:pPr>
      <w:r>
        <w:rPr>
          <w:spacing w:val="-2"/>
        </w:rPr>
        <w:t>入后的金额，确认当期提供劳务收入；同时，按照提供劳务估计总成本乘以完工进度扣除以前会计期间累</w:t>
      </w:r>
      <w:r>
        <w:rPr>
          <w:spacing w:val="-43"/>
        </w:rPr>
        <w:t> </w:t>
      </w:r>
      <w:r>
        <w:rPr>
          <w:spacing w:val="-43"/>
        </w:rPr>
      </w:r>
      <w:r>
        <w:rPr/>
        <w:t>计已确认劳务成本后的金额，结转当期劳务成本。</w:t>
      </w:r>
    </w:p>
    <w:p>
      <w:pPr>
        <w:pStyle w:val="Heading3"/>
        <w:spacing w:line="240" w:lineRule="auto" w:before="46"/>
        <w:ind w:left="580" w:right="0"/>
        <w:jc w:val="left"/>
      </w:pPr>
      <w:r>
        <w:rPr/>
        <w:t>公司在资产负债表日提供劳务交易结果不能够可靠估计的，应当分别下列情况处理：</w:t>
      </w:r>
    </w:p>
    <w:p>
      <w:pPr>
        <w:spacing w:line="240" w:lineRule="auto" w:before="11"/>
        <w:rPr>
          <w:rFonts w:ascii="宋体" w:hAnsi="宋体" w:cs="宋体" w:eastAsia="宋体" w:hint="default"/>
          <w:sz w:val="14"/>
          <w:szCs w:val="14"/>
        </w:rPr>
      </w:pPr>
    </w:p>
    <w:p>
      <w:pPr>
        <w:pStyle w:val="Heading3"/>
        <w:spacing w:line="386" w:lineRule="auto"/>
        <w:ind w:right="0" w:firstLine="425"/>
        <w:jc w:val="left"/>
      </w:pPr>
      <w:r>
        <w:rPr>
          <w:rFonts w:ascii="Times New Roman" w:hAnsi="Times New Roman" w:cs="Times New Roman" w:eastAsia="Times New Roman" w:hint="default"/>
          <w:spacing w:val="-2"/>
        </w:rPr>
        <w:t>1</w:t>
      </w:r>
      <w:r>
        <w:rPr>
          <w:rFonts w:ascii="宋体" w:hAnsi="宋体" w:cs="宋体" w:eastAsia="宋体" w:hint="default"/>
          <w:spacing w:val="-2"/>
        </w:rPr>
        <w:t>.</w:t>
      </w:r>
      <w:r>
        <w:rPr>
          <w:spacing w:val="-2"/>
        </w:rPr>
        <w:t>已经发生的劳务成本预计能够得到补偿的，按照已经发生的劳务成本金额确认提供劳务收入，并按</w:t>
      </w:r>
      <w:r>
        <w:rPr>
          <w:w w:val="100"/>
        </w:rPr>
        <w:t> </w:t>
      </w:r>
      <w:r>
        <w:rPr/>
        <w:t>相同金额结转劳务成本。</w:t>
      </w:r>
    </w:p>
    <w:p>
      <w:pPr>
        <w:pStyle w:val="Heading3"/>
        <w:spacing w:line="386" w:lineRule="auto" w:before="65"/>
        <w:ind w:right="0" w:firstLine="425"/>
        <w:jc w:val="left"/>
      </w:pPr>
      <w:r>
        <w:rPr>
          <w:rFonts w:ascii="Times New Roman" w:hAnsi="Times New Roman" w:cs="Times New Roman" w:eastAsia="Times New Roman" w:hint="default"/>
          <w:spacing w:val="-2"/>
        </w:rPr>
        <w:t>2</w:t>
      </w:r>
      <w:r>
        <w:rPr>
          <w:rFonts w:ascii="宋体" w:hAnsi="宋体" w:cs="宋体" w:eastAsia="宋体" w:hint="default"/>
          <w:spacing w:val="-2"/>
        </w:rPr>
        <w:t>.</w:t>
      </w:r>
      <w:r>
        <w:rPr>
          <w:spacing w:val="-2"/>
        </w:rPr>
        <w:t>已经发生的劳务成本预计不能够得到补偿的，应当将已经发生的劳务成本计入当期损益，不确认提</w:t>
      </w:r>
      <w:r>
        <w:rPr>
          <w:w w:val="100"/>
        </w:rPr>
        <w:t> </w:t>
      </w:r>
      <w:r>
        <w:rPr/>
        <w:t>供劳务收入。</w:t>
      </w:r>
    </w:p>
    <w:p>
      <w:pPr>
        <w:pStyle w:val="Heading3"/>
        <w:spacing w:line="408" w:lineRule="auto" w:before="65"/>
        <w:ind w:right="127" w:firstLine="425"/>
        <w:jc w:val="right"/>
      </w:pPr>
      <w:r>
        <w:rPr>
          <w:spacing w:val="-2"/>
        </w:rPr>
        <w:t>公司与其他企业签订的合同或协议包括销售商品和提供劳务时，销售商品部分和提供劳务部分能够区</w:t>
      </w:r>
      <w:r>
        <w:rPr>
          <w:w w:val="100"/>
        </w:rPr>
        <w:t> </w:t>
      </w:r>
      <w:r>
        <w:rPr>
          <w:spacing w:val="-2"/>
        </w:rPr>
        <w:t>分且能够单独计量的，应当将销售商品的部分作为销售商品处理，将提供劳务的部分作为提供劳务处理。</w:t>
      </w:r>
      <w:r>
        <w:rPr>
          <w:spacing w:val="-46"/>
        </w:rPr>
        <w:t> </w:t>
      </w:r>
      <w:r>
        <w:rPr>
          <w:spacing w:val="-46"/>
        </w:rPr>
      </w:r>
      <w:r>
        <w:rPr>
          <w:spacing w:val="-2"/>
        </w:rPr>
        <w:t>销售商品部分和提供劳务部分不能够区分，或虽能区分但不能够单独计量的，应当将销售商品部分和</w:t>
      </w:r>
    </w:p>
    <w:p>
      <w:pPr>
        <w:pStyle w:val="Heading3"/>
        <w:spacing w:line="240" w:lineRule="auto" w:before="46"/>
        <w:ind w:right="0"/>
        <w:jc w:val="left"/>
      </w:pPr>
      <w:r>
        <w:rPr/>
        <w:t>提供劳务部分全部作为销售商品处理。</w:t>
      </w:r>
    </w:p>
    <w:p>
      <w:pPr>
        <w:spacing w:line="240" w:lineRule="auto" w:before="10"/>
        <w:rPr>
          <w:rFonts w:ascii="宋体" w:hAnsi="宋体" w:cs="宋体" w:eastAsia="宋体" w:hint="default"/>
          <w:sz w:val="14"/>
          <w:szCs w:val="14"/>
        </w:rPr>
      </w:pPr>
    </w:p>
    <w:p>
      <w:pPr>
        <w:pStyle w:val="Heading3"/>
        <w:spacing w:line="240" w:lineRule="auto"/>
        <w:ind w:left="578" w:right="0"/>
        <w:jc w:val="left"/>
      </w:pPr>
      <w:r>
        <w:rPr/>
        <w:t>②本公司确认让劳务收入的依据</w:t>
      </w:r>
    </w:p>
    <w:p>
      <w:pPr>
        <w:spacing w:after="0" w:line="240" w:lineRule="auto"/>
        <w:jc w:val="left"/>
        <w:sectPr>
          <w:footerReference w:type="default" r:id="rId36"/>
          <w:pgSz w:w="11910" w:h="16840"/>
          <w:pgMar w:footer="979" w:header="880" w:top="1100" w:bottom="1160" w:left="980" w:right="980"/>
          <w:pgNumType w:start="125"/>
        </w:sectPr>
      </w:pPr>
    </w:p>
    <w:p>
      <w:pPr>
        <w:spacing w:line="240" w:lineRule="auto" w:before="10"/>
        <w:rPr>
          <w:rFonts w:ascii="宋体" w:hAnsi="宋体" w:cs="宋体" w:eastAsia="宋体" w:hint="default"/>
          <w:sz w:val="26"/>
          <w:szCs w:val="26"/>
        </w:rPr>
      </w:pPr>
    </w:p>
    <w:p>
      <w:pPr>
        <w:pStyle w:val="Heading3"/>
        <w:spacing w:line="408" w:lineRule="auto" w:before="36"/>
        <w:ind w:left="578" w:right="0"/>
        <w:jc w:val="left"/>
      </w:pPr>
      <w:r>
        <w:rPr>
          <w:spacing w:val="-2"/>
        </w:rPr>
        <w:t>确认进度收入时，取得对方的阶段任务完成确认书或阶段工作量确认书为进度收入确认的时点。</w:t>
      </w:r>
      <w:r>
        <w:rPr>
          <w:spacing w:val="-25"/>
        </w:rPr>
        <w:t> </w:t>
      </w:r>
      <w:r>
        <w:rPr>
          <w:spacing w:val="-25"/>
        </w:rPr>
      </w:r>
      <w:r>
        <w:rPr/>
        <w:t>项目完成时，取得对方签收的系统验收报告为综验收入确认的时点。</w:t>
      </w:r>
    </w:p>
    <w:p>
      <w:pPr>
        <w:spacing w:line="240" w:lineRule="auto" w:before="1"/>
        <w:rPr>
          <w:rFonts w:ascii="宋体" w:hAnsi="宋体" w:cs="宋体" w:eastAsia="宋体" w:hint="default"/>
          <w:sz w:val="21"/>
          <w:szCs w:val="21"/>
        </w:rPr>
      </w:pPr>
    </w:p>
    <w:p>
      <w:pPr>
        <w:spacing w:before="0"/>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23</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8"/>
        <w:rPr>
          <w:rFonts w:ascii="宋体" w:hAnsi="宋体" w:cs="宋体" w:eastAsia="宋体" w:hint="default"/>
          <w:b/>
          <w:bCs/>
          <w:sz w:val="25"/>
          <w:szCs w:val="25"/>
        </w:rPr>
      </w:pPr>
    </w:p>
    <w:p>
      <w:pPr>
        <w:pStyle w:val="Heading3"/>
        <w:spacing w:line="348" w:lineRule="auto"/>
        <w:ind w:left="578" w:right="0" w:hanging="5"/>
        <w:jc w:val="left"/>
      </w:pPr>
      <w:r>
        <w:rPr/>
        <w:t>（</w:t>
      </w:r>
      <w:r>
        <w:rPr>
          <w:rFonts w:ascii="Times New Roman" w:hAnsi="Times New Roman" w:cs="Times New Roman" w:eastAsia="Times New Roman" w:hint="default"/>
        </w:rPr>
        <w:t>1</w:t>
      </w:r>
      <w:r>
        <w:rPr/>
        <w:t>）类型</w:t>
      </w:r>
      <w:r>
        <w:rPr>
          <w:spacing w:val="-103"/>
        </w:rPr>
        <w:t> </w:t>
      </w:r>
      <w:r>
        <w:rPr>
          <w:spacing w:val="-103"/>
        </w:rPr>
      </w:r>
      <w:r>
        <w:rPr>
          <w:spacing w:val="-2"/>
        </w:rPr>
        <w:t>政府补助，是本公司从政府无偿取得的货币性资产与非货币性资产。分为与资产相关的政府补助和与</w:t>
      </w:r>
    </w:p>
    <w:p>
      <w:pPr>
        <w:pStyle w:val="Heading3"/>
        <w:spacing w:line="331" w:lineRule="auto" w:before="12"/>
        <w:ind w:left="578" w:right="0" w:hanging="426"/>
        <w:jc w:val="left"/>
      </w:pPr>
      <w:r>
        <w:rPr/>
        <w:t>收益相关的政府补助。</w:t>
      </w:r>
      <w:r>
        <w:rPr>
          <w:w w:val="100"/>
        </w:rPr>
        <w:t> </w:t>
      </w:r>
      <w:r>
        <w:rPr>
          <w:spacing w:val="-2"/>
        </w:rPr>
        <w:t>与资产相关的政府补助，是指企业取得的、用于购建或以其他方式形成长期资产的政府补助，包括购</w:t>
      </w:r>
    </w:p>
    <w:p>
      <w:pPr>
        <w:pStyle w:val="Heading3"/>
        <w:spacing w:line="333" w:lineRule="auto" w:before="25"/>
        <w:ind w:right="146"/>
        <w:jc w:val="both"/>
      </w:pPr>
      <w:r>
        <w:rPr>
          <w:spacing w:val="-2"/>
        </w:rPr>
        <w:t>买固定资产或无形资产的财政拨款、固定资产专项借款的财政贴息等。与收益相关的政府补助，是指除与</w:t>
      </w:r>
      <w:r>
        <w:rPr>
          <w:spacing w:val="-43"/>
        </w:rPr>
        <w:t> </w:t>
      </w:r>
      <w:r>
        <w:rPr>
          <w:spacing w:val="-43"/>
        </w:rPr>
      </w:r>
      <w:r>
        <w:rPr/>
        <w:t>资产相关的政府补助之外的政府补助。</w:t>
      </w:r>
    </w:p>
    <w:p>
      <w:pPr>
        <w:pStyle w:val="Heading3"/>
        <w:spacing w:line="331" w:lineRule="auto" w:before="22"/>
        <w:ind w:right="146" w:firstLine="425"/>
        <w:jc w:val="both"/>
      </w:pPr>
      <w:r>
        <w:rPr>
          <w:spacing w:val="-2"/>
        </w:rPr>
        <w:t>本公司将政府补助划分为与资产相关的具体标准为：本公司取得的政府补助用于购建或以其他方式形</w:t>
      </w:r>
      <w:r>
        <w:rPr>
          <w:w w:val="100"/>
        </w:rPr>
        <w:t> </w:t>
      </w:r>
      <w:r>
        <w:rPr/>
        <w:t>成长期资产的作为与资产相关的政府补助。</w:t>
      </w:r>
    </w:p>
    <w:p>
      <w:pPr>
        <w:pStyle w:val="Heading3"/>
        <w:spacing w:line="331" w:lineRule="auto" w:before="27"/>
        <w:ind w:right="146" w:firstLine="425"/>
        <w:jc w:val="both"/>
      </w:pPr>
      <w:r>
        <w:rPr>
          <w:spacing w:val="-3"/>
        </w:rPr>
        <w:t>本公司将政府补助划分为与收益相关的具体标准为：除与资产相关的政府补助之外的政府补助，作为</w:t>
      </w:r>
      <w:r>
        <w:rPr>
          <w:w w:val="100"/>
        </w:rPr>
        <w:t> </w:t>
      </w:r>
      <w:r>
        <w:rPr/>
        <w:t>与收益相关的政府补助。</w:t>
      </w:r>
    </w:p>
    <w:p>
      <w:pPr>
        <w:pStyle w:val="Heading3"/>
        <w:spacing w:line="331" w:lineRule="auto" w:before="24"/>
        <w:ind w:right="146" w:firstLine="425"/>
        <w:jc w:val="both"/>
        <w:rPr>
          <w:rFonts w:ascii="宋体" w:hAnsi="宋体" w:cs="宋体" w:eastAsia="宋体" w:hint="default"/>
        </w:rPr>
      </w:pPr>
      <w:r>
        <w:rPr>
          <w:spacing w:val="-2"/>
        </w:rPr>
        <w:t>对于政府文件未明确规定补助对象的，本公司将该政府补助划分为与资产相关或与收益相关的判断依</w:t>
      </w:r>
      <w:r>
        <w:rPr>
          <w:w w:val="100"/>
        </w:rPr>
        <w:t> </w:t>
      </w:r>
      <w:r>
        <w:rPr>
          <w:spacing w:val="-2"/>
        </w:rPr>
        <w:t>据为：对于政府文件未明确规定补助对象的，能够形成长期资产的，与资产价值相对应的政府补助部分作</w:t>
      </w:r>
      <w:r>
        <w:rPr>
          <w:spacing w:val="-44"/>
        </w:rPr>
        <w:t> </w:t>
      </w:r>
      <w:r>
        <w:rPr>
          <w:spacing w:val="-44"/>
        </w:rPr>
      </w:r>
      <w:r>
        <w:rPr>
          <w:spacing w:val="-2"/>
        </w:rPr>
        <w:t>为与资产相关的政府补助，其余部分作为与收益相关的政府补助；难以区分的，将政府补助整体作为与收</w:t>
      </w:r>
      <w:r>
        <w:rPr>
          <w:spacing w:val="-44"/>
        </w:rPr>
        <w:t> </w:t>
      </w:r>
      <w:r>
        <w:rPr>
          <w:spacing w:val="-44"/>
        </w:rPr>
      </w:r>
      <w:r>
        <w:rPr/>
        <w:t>益相关的政府补助</w:t>
      </w:r>
      <w:r>
        <w:rPr>
          <w:rFonts w:ascii="宋体" w:hAnsi="宋体" w:cs="宋体" w:eastAsia="宋体" w:hint="default"/>
          <w:b/>
          <w:bCs/>
        </w:rPr>
        <w:t>。</w:t>
      </w:r>
      <w:r>
        <w:rPr>
          <w:rFonts w:ascii="宋体" w:hAnsi="宋体" w:cs="宋体" w:eastAsia="宋体" w:hint="default"/>
        </w:rPr>
      </w:r>
    </w:p>
    <w:p>
      <w:pPr>
        <w:pStyle w:val="Heading3"/>
        <w:spacing w:line="343" w:lineRule="auto"/>
        <w:ind w:left="578" w:right="0" w:hanging="5"/>
        <w:jc w:val="left"/>
      </w:pPr>
      <w:r>
        <w:rPr/>
        <w:t>（</w:t>
      </w:r>
      <w:r>
        <w:rPr>
          <w:rFonts w:ascii="Times New Roman" w:hAnsi="Times New Roman" w:cs="Times New Roman" w:eastAsia="Times New Roman" w:hint="default"/>
        </w:rPr>
        <w:t>2</w:t>
      </w:r>
      <w:r>
        <w:rPr/>
        <w:t>）确认时点</w:t>
      </w:r>
      <w:r>
        <w:rPr>
          <w:w w:val="100"/>
        </w:rPr>
        <w:t> </w:t>
      </w:r>
      <w:r>
        <w:rPr>
          <w:spacing w:val="-2"/>
        </w:rPr>
        <w:t>与资产相关的政府补助，在收到政府补助时确认为递延收益，并在所建造或购买的资产投入使用后，</w:t>
      </w:r>
    </w:p>
    <w:p>
      <w:pPr>
        <w:pStyle w:val="Heading3"/>
        <w:spacing w:line="321" w:lineRule="auto" w:before="4"/>
        <w:ind w:right="146"/>
        <w:jc w:val="both"/>
      </w:pPr>
      <w:r>
        <w:rPr>
          <w:spacing w:val="-2"/>
        </w:rPr>
        <w:t>在相关资产使用期限内平均分配，计入当期损益。与收益相关的政府补助，如果用于补偿已发生的相关费</w:t>
      </w:r>
      <w:r>
        <w:rPr>
          <w:spacing w:val="-42"/>
        </w:rPr>
        <w:t> </w:t>
      </w:r>
      <w:r>
        <w:rPr>
          <w:spacing w:val="-42"/>
        </w:rPr>
      </w:r>
      <w:r>
        <w:rPr>
          <w:spacing w:val="-2"/>
        </w:rPr>
        <w:t>用或损失，则在收到时计入当期损益；如果用于补偿以后期间的相关费用或损失，则在收到时计入递延收</w:t>
      </w:r>
      <w:r>
        <w:rPr>
          <w:spacing w:val="-43"/>
        </w:rPr>
        <w:t> </w:t>
      </w:r>
      <w:r>
        <w:rPr>
          <w:spacing w:val="-43"/>
        </w:rPr>
      </w:r>
      <w:r>
        <w:rPr/>
        <w:t>益，于费用确认期间计入当期损益。</w:t>
      </w:r>
    </w:p>
    <w:p>
      <w:pPr>
        <w:pStyle w:val="Heading3"/>
        <w:spacing w:line="333" w:lineRule="auto" w:before="1"/>
        <w:ind w:left="578" w:right="0" w:hanging="5"/>
        <w:jc w:val="left"/>
      </w:pPr>
      <w:r>
        <w:rPr/>
        <w:t>（</w:t>
      </w:r>
      <w:r>
        <w:rPr>
          <w:rFonts w:ascii="Times New Roman" w:hAnsi="Times New Roman" w:cs="Times New Roman" w:eastAsia="Times New Roman" w:hint="default"/>
        </w:rPr>
        <w:t>3</w:t>
      </w:r>
      <w:r>
        <w:rPr/>
        <w:t>）会计处理</w:t>
      </w:r>
      <w:r>
        <w:rPr>
          <w:w w:val="100"/>
        </w:rPr>
        <w:t> </w:t>
      </w:r>
      <w:r>
        <w:rPr/>
        <w:t>与资产相关的政府补助，确认为递延收益，按照所建造或购买的资产使用年限分期计入当期损益。</w:t>
      </w:r>
      <w:r>
        <w:rPr>
          <w:w w:val="100"/>
        </w:rPr>
        <w:t> </w:t>
      </w:r>
      <w:r>
        <w:rPr>
          <w:spacing w:val="-2"/>
        </w:rPr>
        <w:t>与收益相关的政府补助，用于补偿企业以后期间的相关费用或损失的，取得时确认为递延收益，在确</w:t>
      </w:r>
    </w:p>
    <w:p>
      <w:pPr>
        <w:pStyle w:val="Heading3"/>
        <w:spacing w:line="240" w:lineRule="auto" w:before="13"/>
        <w:ind w:right="0"/>
        <w:jc w:val="both"/>
      </w:pPr>
      <w:r>
        <w:rPr/>
        <w:t>认相关费用的期间计入当期损益；用于补偿企业已发生的相关费用或损失的，取得时直接计入当期损益。</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sz w:val="18"/>
          <w:szCs w:val="18"/>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45"/>
        <w:ind w:right="146" w:firstLine="425"/>
        <w:jc w:val="both"/>
      </w:pPr>
      <w:r>
        <w:rPr>
          <w:spacing w:val="-2"/>
        </w:rPr>
        <w:t>对于可抵扣暂时性差异确认递延所得税资产，以未来期间很可能取得的用来抵扣可抵扣暂时性差异的</w:t>
      </w:r>
      <w:r>
        <w:rPr>
          <w:w w:val="100"/>
        </w:rPr>
        <w:t> </w:t>
      </w: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Heading3"/>
        <w:spacing w:line="408" w:lineRule="auto" w:before="46"/>
        <w:ind w:left="578" w:right="0" w:firstLine="2"/>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spacing w:after="0" w:line="408" w:lineRule="auto"/>
        <w:jc w:val="left"/>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08" w:lineRule="auto" w:before="36"/>
        <w:ind w:left="638" w:right="104" w:hanging="426"/>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当拥有以净额结算的法定权利，且意图以净额结算或取得资产、清偿负债同时进行时，本公司当期所</w:t>
      </w:r>
    </w:p>
    <w:p>
      <w:pPr>
        <w:pStyle w:val="Heading3"/>
        <w:spacing w:line="408" w:lineRule="auto" w:before="46"/>
        <w:ind w:left="633" w:right="104" w:hanging="421"/>
        <w:jc w:val="left"/>
      </w:pPr>
      <w:r>
        <w:rPr/>
        <w:t>得税资产及当期所得税负债以抵销后的净额列报。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Heading3"/>
        <w:spacing w:line="408" w:lineRule="auto" w:before="46"/>
        <w:ind w:left="212" w:right="16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债或是同时取得资产、清偿负债时，本公司递延所得税资产及递延所得税负债以抵销后的净额列报。</w:t>
      </w:r>
    </w:p>
    <w:p>
      <w:pPr>
        <w:spacing w:line="240" w:lineRule="auto" w:before="2"/>
        <w:rPr>
          <w:rFonts w:ascii="宋体" w:hAnsi="宋体" w:cs="宋体" w:eastAsia="宋体" w:hint="default"/>
          <w:sz w:val="21"/>
          <w:szCs w:val="21"/>
        </w:rPr>
      </w:pPr>
    </w:p>
    <w:p>
      <w:pPr>
        <w:spacing w:before="0"/>
        <w:ind w:left="212" w:right="104"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25</w:t>
      </w:r>
      <w:r>
        <w:rPr>
          <w:rFonts w:ascii="宋体" w:hAnsi="宋体" w:cs="宋体" w:eastAsia="宋体" w:hint="default"/>
          <w:b/>
          <w:bCs/>
          <w:sz w:val="20"/>
          <w:szCs w:val="20"/>
        </w:rPr>
        <w:t>、租赁</w:t>
      </w:r>
      <w:r>
        <w:rPr>
          <w:rFonts w:ascii="宋体" w:hAnsi="宋体" w:cs="宋体" w:eastAsia="宋体" w:hint="default"/>
          <w:sz w:val="20"/>
          <w:szCs w:val="20"/>
        </w:rPr>
      </w:r>
    </w:p>
    <w:p>
      <w:pPr>
        <w:spacing w:line="240" w:lineRule="auto" w:before="8"/>
        <w:rPr>
          <w:rFonts w:ascii="宋体" w:hAnsi="宋体" w:cs="宋体" w:eastAsia="宋体" w:hint="default"/>
          <w:b/>
          <w:bCs/>
          <w:sz w:val="25"/>
          <w:szCs w:val="25"/>
        </w:rPr>
      </w:pPr>
    </w:p>
    <w:p>
      <w:pPr>
        <w:pStyle w:val="Heading3"/>
        <w:spacing w:line="240" w:lineRule="auto"/>
        <w:ind w:left="527" w:right="104"/>
        <w:jc w:val="left"/>
      </w:pPr>
      <w:r>
        <w:rPr/>
        <w:t>（</w:t>
      </w:r>
      <w:r>
        <w:rPr>
          <w:rFonts w:ascii="Times New Roman" w:hAnsi="Times New Roman" w:cs="Times New Roman" w:eastAsia="Times New Roman" w:hint="default"/>
        </w:rPr>
        <w:t>1</w:t>
      </w:r>
      <w:r>
        <w:rPr/>
        <w:t>）经营租赁的会计处理方法</w:t>
      </w:r>
    </w:p>
    <w:p>
      <w:pPr>
        <w:pStyle w:val="Heading3"/>
        <w:spacing w:line="408" w:lineRule="auto" w:before="136"/>
        <w:ind w:left="212" w:right="166" w:firstLine="420"/>
        <w:jc w:val="both"/>
      </w:pPr>
      <w:r>
        <w:rPr>
          <w:spacing w:val="-2"/>
        </w:rPr>
        <w:t>①公司租入资产所支付的租赁费，在不扣除免租期的整个租赁期内，按直线法进行分摊，计入当期费</w:t>
      </w:r>
      <w:r>
        <w:rPr>
          <w:w w:val="100"/>
        </w:rPr>
        <w:t> </w:t>
      </w:r>
      <w:r>
        <w:rPr/>
        <w:t>用。公司支付的与租赁交易相关的初始直接费用，计入当期费用。</w:t>
      </w:r>
    </w:p>
    <w:p>
      <w:pPr>
        <w:pStyle w:val="Heading3"/>
        <w:spacing w:line="408" w:lineRule="auto" w:before="46"/>
        <w:ind w:left="246" w:right="166" w:firstLine="420"/>
        <w:jc w:val="both"/>
      </w:pPr>
      <w:r>
        <w:rPr>
          <w:spacing w:val="-3"/>
        </w:rPr>
        <w:t>资产出租方承担了应由公司承担的与租赁相关的费用时，公司将该部分费用从租金总额中扣除，按扣</w:t>
      </w:r>
      <w:r>
        <w:rPr>
          <w:w w:val="100"/>
        </w:rPr>
        <w:t> </w:t>
      </w:r>
      <w:r>
        <w:rPr/>
        <w:t>除后的租金费用在租赁期内分摊，计入当期费用。</w:t>
      </w:r>
    </w:p>
    <w:p>
      <w:pPr>
        <w:pStyle w:val="Heading3"/>
        <w:spacing w:line="408" w:lineRule="auto" w:before="46"/>
        <w:ind w:left="246" w:right="111" w:firstLine="420"/>
        <w:jc w:val="both"/>
      </w:pPr>
      <w:r>
        <w:rPr>
          <w:spacing w:val="-3"/>
        </w:rPr>
        <w:t>②公司出租资产所收取的租赁费，在不扣除免租期的整个租赁期内，按直线法进行分摊，确认为租赁</w:t>
      </w:r>
      <w:r>
        <w:rPr>
          <w:w w:val="100"/>
        </w:rPr>
        <w:t> </w:t>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在整个租赁期间内按照与租赁收入确认相同的基础分期计入当期收益。</w:t>
      </w:r>
    </w:p>
    <w:p>
      <w:pPr>
        <w:pStyle w:val="Heading3"/>
        <w:spacing w:line="408" w:lineRule="auto" w:before="46"/>
        <w:ind w:left="246" w:right="166" w:firstLine="420"/>
        <w:jc w:val="both"/>
      </w:pPr>
      <w:r>
        <w:rPr>
          <w:spacing w:val="-3"/>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1"/>
        <w:rPr>
          <w:rFonts w:ascii="宋体" w:hAnsi="宋体" w:cs="宋体" w:eastAsia="宋体" w:hint="default"/>
          <w:sz w:val="21"/>
          <w:szCs w:val="21"/>
        </w:rPr>
      </w:pPr>
    </w:p>
    <w:p>
      <w:pPr>
        <w:pStyle w:val="Heading4"/>
        <w:spacing w:line="240" w:lineRule="auto"/>
        <w:ind w:left="212" w:right="104"/>
        <w:jc w:val="left"/>
        <w:rPr>
          <w:b w:val="0"/>
          <w:bCs w:val="0"/>
        </w:rPr>
      </w:pPr>
      <w:r>
        <w:rPr>
          <w:rFonts w:ascii="Times New Roman" w:hAnsi="Times New Roman" w:cs="Times New Roman" w:eastAsia="Times New Roman" w:hint="default"/>
          <w:sz w:val="18"/>
          <w:szCs w:val="18"/>
        </w:rPr>
        <w:t>26</w:t>
      </w:r>
      <w:r>
        <w:rPr/>
        <w:t>、重要会计政策和会计估计变更</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left="212" w:right="104"/>
        <w:jc w:val="left"/>
        <w:rPr>
          <w:b w:val="0"/>
          <w:bCs w:val="0"/>
        </w:rPr>
      </w:pPr>
      <w:r>
        <w:rPr/>
        <w:t>（</w:t>
      </w:r>
      <w:r>
        <w:rPr>
          <w:rFonts w:ascii="Times New Roman" w:hAnsi="Times New Roman" w:cs="Times New Roman" w:eastAsia="Times New Roman" w:hint="default"/>
          <w:sz w:val="18"/>
          <w:szCs w:val="18"/>
        </w:rPr>
        <w:t>1</w:t>
      </w:r>
      <w:r>
        <w:rPr/>
        <w:t>）重要会计政策变更</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8"/>
        <w:ind w:left="666" w:right="104"/>
        <w:jc w:val="left"/>
      </w:pPr>
      <w:r>
        <w:rPr/>
        <w:t>财政部于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日发布了《关于印发修订</w:t>
      </w:r>
      <w:r>
        <w:rPr>
          <w:rFonts w:ascii="宋体" w:hAnsi="宋体" w:cs="宋体" w:eastAsia="宋体" w:hint="default"/>
        </w:rPr>
        <w:t>&lt;</w:t>
      </w:r>
      <w:r>
        <w:rPr/>
        <w:t>企业会计准则第</w:t>
      </w:r>
      <w:r>
        <w:rPr>
          <w:rFonts w:ascii="宋体" w:hAnsi="宋体" w:cs="宋体" w:eastAsia="宋体" w:hint="default"/>
        </w:rPr>
        <w:t>16</w:t>
      </w:r>
      <w:r>
        <w:rPr/>
        <w:t>号——政府补助</w:t>
      </w:r>
      <w:r>
        <w:rPr>
          <w:rFonts w:ascii="宋体" w:hAnsi="宋体" w:cs="宋体" w:eastAsia="宋体" w:hint="default"/>
        </w:rPr>
        <w:t>&gt;</w:t>
      </w:r>
      <w:r>
        <w:rPr/>
        <w:t>的通知》（财会</w:t>
      </w:r>
    </w:p>
    <w:p>
      <w:pPr>
        <w:spacing w:line="240" w:lineRule="auto" w:before="10"/>
        <w:rPr>
          <w:rFonts w:ascii="宋体" w:hAnsi="宋体" w:cs="宋体" w:eastAsia="宋体" w:hint="default"/>
          <w:sz w:val="14"/>
          <w:szCs w:val="14"/>
        </w:rPr>
      </w:pPr>
    </w:p>
    <w:p>
      <w:pPr>
        <w:pStyle w:val="Heading3"/>
        <w:spacing w:line="408" w:lineRule="auto"/>
        <w:ind w:left="666" w:right="104" w:hanging="421"/>
        <w:jc w:val="left"/>
      </w:pPr>
      <w:r>
        <w:rPr/>
        <w:t>〔</w:t>
      </w:r>
      <w:r>
        <w:rPr>
          <w:rFonts w:ascii="宋体" w:hAnsi="宋体" w:cs="宋体" w:eastAsia="宋体" w:hint="default"/>
        </w:rPr>
        <w:t>2017</w:t>
      </w:r>
      <w:r>
        <w:rPr/>
        <w:t>〕</w:t>
      </w:r>
      <w:r>
        <w:rPr>
          <w:rFonts w:ascii="宋体" w:hAnsi="宋体" w:cs="宋体" w:eastAsia="宋体" w:hint="default"/>
        </w:rPr>
        <w:t>15</w:t>
      </w:r>
      <w:r>
        <w:rPr/>
        <w:t>号），对《企业会计准则第</w:t>
      </w:r>
      <w:r>
        <w:rPr>
          <w:rFonts w:ascii="宋体" w:hAnsi="宋体" w:cs="宋体" w:eastAsia="宋体" w:hint="default"/>
        </w:rPr>
        <w:t>16</w:t>
      </w:r>
      <w:r>
        <w:rPr/>
        <w:t>号—政府补助》进行了修订，自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w:t>
      </w:r>
      <w:r>
        <w:rPr>
          <w:w w:val="100"/>
        </w:rPr>
        <w:t> </w:t>
      </w:r>
      <w:r>
        <w:rPr>
          <w:spacing w:val="-2"/>
        </w:rPr>
        <w:t>财政部与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日发布了《关于修订印发一般企业财务报表格式的通知》（财会</w:t>
      </w:r>
      <w:r>
        <w:rPr>
          <w:rFonts w:ascii="宋体" w:hAnsi="宋体" w:cs="宋体" w:eastAsia="宋体" w:hint="default"/>
          <w:spacing w:val="-2"/>
        </w:rPr>
        <w:t>[2017]30</w:t>
      </w:r>
      <w:r>
        <w:rPr>
          <w:spacing w:val="-2"/>
        </w:rPr>
        <w:t>号）</w:t>
      </w:r>
      <w:r>
        <w:rPr/>
      </w:r>
    </w:p>
    <w:p>
      <w:pPr>
        <w:pStyle w:val="Heading3"/>
        <w:spacing w:line="408" w:lineRule="auto" w:before="46"/>
        <w:ind w:left="246" w:right="168"/>
        <w:jc w:val="both"/>
      </w:pPr>
      <w:r>
        <w:rPr>
          <w:spacing w:val="-3"/>
        </w:rPr>
        <w:t>对于利润表新增“资产处置收益”行项目，将原列报于“营业外收入”和“营业外支出”的非流动资产处</w:t>
      </w:r>
      <w:r>
        <w:rPr>
          <w:spacing w:val="-35"/>
        </w:rPr>
        <w:t> </w:t>
      </w:r>
      <w:r>
        <w:rPr>
          <w:spacing w:val="-35"/>
        </w:rPr>
      </w:r>
      <w:r>
        <w:rPr/>
        <w:t>置利得和损失变更为列报于“资产处置收益”，对可比期间的比较数据按照《通知》进行调整。</w:t>
      </w:r>
    </w:p>
    <w:p>
      <w:pPr>
        <w:pStyle w:val="Heading3"/>
        <w:spacing w:line="240" w:lineRule="auto" w:before="46"/>
        <w:ind w:left="666" w:right="104"/>
        <w:jc w:val="left"/>
      </w:pPr>
      <w:r>
        <w:rPr/>
        <w:t>本公司执行上述规定的主要影响如下：</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254"/>
        <w:gridCol w:w="1244"/>
        <w:gridCol w:w="4073"/>
      </w:tblGrid>
      <w:tr>
        <w:trPr>
          <w:trHeight w:val="40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0"/>
              <w:jc w:val="right"/>
              <w:rPr>
                <w:rFonts w:ascii="宋体" w:hAnsi="宋体" w:cs="宋体" w:eastAsia="宋体" w:hint="default"/>
                <w:sz w:val="21"/>
                <w:szCs w:val="21"/>
              </w:rPr>
            </w:pPr>
            <w:r>
              <w:rPr>
                <w:rFonts w:ascii="宋体" w:hAnsi="宋体" w:cs="宋体" w:eastAsia="宋体" w:hint="default"/>
                <w:spacing w:val="-1"/>
                <w:sz w:val="21"/>
                <w:szCs w:val="21"/>
              </w:rPr>
              <w:t>审批程序</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日存在的政府补助采用未来适</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6"/>
              <w:jc w:val="right"/>
              <w:rPr>
                <w:rFonts w:ascii="宋体" w:hAnsi="宋体" w:cs="宋体" w:eastAsia="宋体" w:hint="default"/>
                <w:sz w:val="18"/>
                <w:szCs w:val="18"/>
              </w:rPr>
            </w:pPr>
            <w:r>
              <w:rPr>
                <w:rFonts w:ascii="宋体" w:hAnsi="宋体" w:cs="宋体" w:eastAsia="宋体" w:hint="default"/>
                <w:sz w:val="18"/>
                <w:szCs w:val="18"/>
              </w:rPr>
              <w:t>董事会批准</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与企业日常经营活动相关的政府补助从“营业外</w:t>
            </w:r>
          </w:p>
        </w:tc>
      </w:tr>
    </w:tbl>
    <w:p>
      <w:pPr>
        <w:spacing w:after="0" w:line="240" w:lineRule="auto"/>
        <w:jc w:val="center"/>
        <w:rPr>
          <w:rFonts w:ascii="宋体" w:hAnsi="宋体" w:cs="宋体" w:eastAsia="宋体" w:hint="default"/>
          <w:sz w:val="18"/>
          <w:szCs w:val="18"/>
        </w:rPr>
        <w:sectPr>
          <w:pgSz w:w="11910" w:h="16840"/>
          <w:pgMar w:header="880" w:footer="979" w:top="1100" w:bottom="1160" w:left="920" w:right="96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254"/>
        <w:gridCol w:w="1244"/>
        <w:gridCol w:w="4073"/>
      </w:tblGrid>
      <w:tr>
        <w:trPr>
          <w:trHeight w:val="987"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3"/>
                <w:sz w:val="18"/>
                <w:szCs w:val="18"/>
              </w:rPr>
              <w:t>用法处理，对</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日至新准则施行日之间 新增的政府补助根据新准则进行调整。本次会计政 策变更不影响损益，不涉及以往年度的追溯调整。</w:t>
            </w:r>
          </w:p>
        </w:tc>
        <w:tc>
          <w:tcPr>
            <w:tcW w:w="1244" w:type="dxa"/>
            <w:tcBorders>
              <w:top w:val="single" w:sz="4" w:space="0" w:color="000000"/>
              <w:left w:val="single" w:sz="4" w:space="0" w:color="000000"/>
              <w:bottom w:val="single" w:sz="4" w:space="0" w:color="000000"/>
              <w:right w:val="single" w:sz="4" w:space="0" w:color="000000"/>
            </w:tcBorders>
          </w:tcPr>
          <w:p>
            <w:pP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收入”重分类到“其他收益”项目的金额为</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151,339,485.14 </w:t>
            </w:r>
            <w:r>
              <w:rPr>
                <w:rFonts w:ascii="宋体" w:hAnsi="宋体" w:cs="宋体" w:eastAsia="宋体" w:hint="default"/>
                <w:sz w:val="18"/>
                <w:szCs w:val="18"/>
              </w:rPr>
              <w:t>元。</w:t>
            </w:r>
          </w:p>
        </w:tc>
      </w:tr>
      <w:tr>
        <w:trPr>
          <w:trHeight w:val="164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4"/>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日起将原列报于“营业外收入”</w:t>
            </w:r>
            <w:r>
              <w:rPr>
                <w:rFonts w:ascii="宋体" w:hAnsi="宋体" w:cs="宋体" w:eastAsia="宋体" w:hint="default"/>
                <w:sz w:val="18"/>
                <w:szCs w:val="18"/>
              </w:rPr>
              <w:t> 和“营业外支出”的非流动资产处置利得和损失按 照《通知》变更为列报于“资产处置收益”，对可 比期间比较数据的列报进行相应调整。</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年度营业外收入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2,248,342.75 </w:t>
            </w:r>
            <w:r>
              <w:rPr>
                <w:rFonts w:ascii="宋体" w:hAnsi="宋体" w:cs="宋体" w:eastAsia="宋体" w:hint="default"/>
                <w:sz w:val="18"/>
                <w:szCs w:val="18"/>
              </w:rPr>
              <w:t>元、营业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外支出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500,498.03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元，相应调增资产处置收益</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1,747,844.72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年度营业外收入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741,843.43 </w:t>
            </w:r>
            <w:r>
              <w:rPr>
                <w:rFonts w:ascii="宋体" w:hAnsi="宋体" w:cs="宋体" w:eastAsia="宋体" w:hint="default"/>
                <w:spacing w:val="-5"/>
                <w:sz w:val="18"/>
                <w:szCs w:val="18"/>
              </w:rPr>
              <w:t>元、营业外支出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381,860.90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元，相应调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增资产处置收益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359,982.53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spacing w:line="240" w:lineRule="auto" w:before="8"/>
        <w:rPr>
          <w:rFonts w:ascii="宋体" w:hAnsi="宋体" w:cs="宋体" w:eastAsia="宋体" w:hint="default"/>
          <w:sz w:val="19"/>
          <w:szCs w:val="19"/>
        </w:rPr>
      </w:pPr>
    </w:p>
    <w:p>
      <w:pPr>
        <w:spacing w:line="542" w:lineRule="auto" w:before="37"/>
        <w:ind w:left="513" w:right="5284" w:hanging="301"/>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18"/>
          <w:szCs w:val="18"/>
        </w:rPr>
        <w:t>2</w:t>
      </w:r>
      <w:r>
        <w:rPr>
          <w:rFonts w:ascii="宋体" w:hAnsi="宋体" w:cs="宋体" w:eastAsia="宋体" w:hint="default"/>
          <w:b/>
          <w:bCs/>
          <w:sz w:val="20"/>
          <w:szCs w:val="20"/>
        </w:rPr>
        <w:t>）重要会计估计变更</w:t>
      </w:r>
      <w:r>
        <w:rPr>
          <w:rFonts w:ascii="宋体" w:hAnsi="宋体" w:cs="宋体" w:eastAsia="宋体" w:hint="default"/>
          <w:b/>
          <w:bCs/>
          <w:w w:val="99"/>
          <w:sz w:val="20"/>
          <w:szCs w:val="20"/>
        </w:rPr>
        <w:t> </w:t>
      </w:r>
      <w:r>
        <w:rPr>
          <w:rFonts w:ascii="宋体" w:hAnsi="宋体" w:cs="宋体" w:eastAsia="宋体" w:hint="default"/>
          <w:w w:val="95"/>
          <w:sz w:val="20"/>
          <w:szCs w:val="20"/>
        </w:rPr>
        <w:t>本公司本期末未发生会计估计变更。</w:t>
      </w:r>
      <w:r>
        <w:rPr>
          <w:rFonts w:ascii="宋体" w:hAnsi="宋体" w:cs="宋体" w:eastAsia="宋体" w:hint="default"/>
          <w:sz w:val="20"/>
          <w:szCs w:val="20"/>
        </w:rPr>
      </w:r>
    </w:p>
    <w:p>
      <w:pPr>
        <w:pStyle w:val="Heading2"/>
        <w:spacing w:line="240" w:lineRule="auto" w:before="68"/>
        <w:ind w:left="212" w:right="0"/>
        <w:jc w:val="left"/>
        <w:rPr>
          <w:b w:val="0"/>
          <w:bCs w:val="0"/>
        </w:rPr>
      </w:pPr>
      <w:r>
        <w:rPr/>
        <w:t>六、税项</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212" w:right="0"/>
        <w:jc w:val="left"/>
        <w:rPr>
          <w:b w:val="0"/>
          <w:bCs w:val="0"/>
        </w:rPr>
      </w:pPr>
      <w:r>
        <w:rPr>
          <w:rFonts w:ascii="Times New Roman" w:hAnsi="Times New Roman" w:cs="Times New Roman" w:eastAsia="Times New Roman" w:hint="default"/>
          <w:sz w:val="18"/>
          <w:szCs w:val="18"/>
        </w:rPr>
        <w:t>1</w:t>
      </w:r>
      <w:r>
        <w:rPr/>
        <w:t>、主要税种及税率</w:t>
      </w:r>
      <w:r>
        <w:rPr>
          <w:b w:val="0"/>
          <w:bCs w:val="0"/>
        </w:rPr>
      </w:r>
    </w:p>
    <w:p>
      <w:pPr>
        <w:spacing w:line="240" w:lineRule="auto" w:before="7"/>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1527"/>
        <w:gridCol w:w="5387"/>
        <w:gridCol w:w="2657"/>
      </w:tblGrid>
      <w:tr>
        <w:trPr>
          <w:trHeight w:val="401"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6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 在扣除当期允许抵扣的进项税额后，差额部分为应交增值税</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b/>
          <w:bCs/>
          <w:sz w:val="5"/>
          <w:szCs w:val="5"/>
        </w:rPr>
      </w:pPr>
    </w:p>
    <w:p>
      <w:pPr>
        <w:pStyle w:val="Heading3"/>
        <w:spacing w:line="240" w:lineRule="auto" w:before="36"/>
        <w:ind w:left="212" w:right="0"/>
        <w:jc w:val="left"/>
      </w:pPr>
      <w:r>
        <w:rPr/>
        <w:t>存在不同企业所得税税率纳税主体的，披露情况说明：</w:t>
      </w:r>
    </w:p>
    <w:p>
      <w:pPr>
        <w:spacing w:line="240" w:lineRule="auto" w:before="10"/>
        <w:rPr>
          <w:rFonts w:ascii="宋体" w:hAnsi="宋体" w:cs="宋体" w:eastAsia="宋体" w:hint="default"/>
          <w:sz w:val="12"/>
          <w:szCs w:val="12"/>
        </w:rPr>
      </w:pPr>
    </w:p>
    <w:tbl>
      <w:tblPr>
        <w:tblW w:w="0" w:type="auto"/>
        <w:jc w:val="left"/>
        <w:tblInd w:w="207"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16"/>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GRG Banking Equipment (HK) Co.,</w:t>
            </w:r>
            <w:r>
              <w:rPr>
                <w:rFonts w:ascii="宋体"/>
                <w:spacing w:val="-16"/>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53"/>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GRG HT (HK)</w:t>
            </w:r>
            <w:r>
              <w:rPr>
                <w:rFonts w:ascii="宋体"/>
                <w:spacing w:val="-8"/>
                <w:sz w:val="18"/>
              </w:rPr>
              <w:t> </w:t>
            </w:r>
            <w:r>
              <w:rPr>
                <w:rFonts w:ascii="宋体"/>
                <w:sz w:val="18"/>
              </w:rPr>
              <w:t>Co.,Limited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53"/>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GRG Equipment (Singapore) Pte.</w:t>
            </w:r>
            <w:r>
              <w:rPr>
                <w:rFonts w:ascii="宋体"/>
                <w:spacing w:val="-14"/>
                <w:sz w:val="18"/>
              </w:rPr>
              <w:t> </w:t>
            </w:r>
            <w:r>
              <w:rPr>
                <w:rFonts w:ascii="宋体"/>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16"/>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2</w:t>
      </w:r>
      <w:r>
        <w:rPr/>
        <w:t>、税收优惠</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47"/>
        <w:ind w:left="578" w:right="0"/>
        <w:jc w:val="left"/>
      </w:pPr>
      <w:r>
        <w:rPr/>
        <w:t>（</w:t>
      </w:r>
      <w:r>
        <w:rPr>
          <w:rFonts w:ascii="Times New Roman" w:hAnsi="Times New Roman" w:cs="Times New Roman" w:eastAsia="Times New Roman" w:hint="default"/>
        </w:rPr>
        <w:t>1</w:t>
      </w:r>
      <w:r>
        <w:rPr/>
        <w:t>）增值税</w:t>
      </w:r>
      <w:r>
        <w:rPr>
          <w:w w:val="100"/>
        </w:rPr>
        <w:t> </w:t>
      </w:r>
      <w:r>
        <w:rPr>
          <w:spacing w:val="-3"/>
        </w:rPr>
        <w:t>根据</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[2011]100</w:t>
      </w:r>
      <w:r>
        <w:rPr>
          <w:spacing w:val="-3"/>
        </w:rPr>
        <w:t>号</w:t>
      </w:r>
      <w:r>
        <w:rPr>
          <w:rFonts w:ascii="Times New Roman" w:hAnsi="Times New Roman" w:cs="Times New Roman" w:eastAsia="Times New Roman" w:hint="default"/>
          <w:spacing w:val="-3"/>
        </w:rPr>
        <w:t>”</w:t>
      </w:r>
      <w:r>
        <w:rPr>
          <w:spacing w:val="-3"/>
        </w:rPr>
        <w:t>文《关于软件产品增值税政策的通知》的规定，增值税一般纳税人销售其自行</w:t>
      </w:r>
    </w:p>
    <w:p>
      <w:pPr>
        <w:pStyle w:val="Heading3"/>
        <w:spacing w:line="400" w:lineRule="auto" w:before="35"/>
        <w:ind w:left="0" w:right="111"/>
        <w:jc w:val="right"/>
      </w:pPr>
      <w:r>
        <w:rPr>
          <w:spacing w:val="-2"/>
        </w:rPr>
        <w:t>开发生产的软件产品，按</w:t>
      </w:r>
      <w:r>
        <w:rPr>
          <w:rFonts w:ascii="Times New Roman" w:hAnsi="Times New Roman" w:cs="Times New Roman" w:eastAsia="Times New Roman" w:hint="default"/>
          <w:spacing w:val="-2"/>
        </w:rPr>
        <w:t>17%</w:t>
      </w:r>
      <w:r>
        <w:rPr>
          <w:spacing w:val="-2"/>
        </w:rPr>
        <w:t>税率征收增值税后，对其增值税实际税负超过</w:t>
      </w:r>
      <w:r>
        <w:rPr>
          <w:rFonts w:ascii="Times New Roman" w:hAnsi="Times New Roman" w:cs="Times New Roman" w:eastAsia="Times New Roman" w:hint="default"/>
          <w:spacing w:val="-2"/>
        </w:rPr>
        <w:t>3%</w:t>
      </w:r>
      <w:r>
        <w:rPr>
          <w:spacing w:val="-2"/>
        </w:rPr>
        <w:t>的部分实行即征即退政策。</w:t>
      </w:r>
      <w:r>
        <w:rPr>
          <w:spacing w:val="-42"/>
        </w:rPr>
        <w:t> </w:t>
      </w:r>
      <w:r>
        <w:rPr>
          <w:spacing w:val="-42"/>
        </w:rPr>
      </w:r>
      <w:r>
        <w:rPr>
          <w:spacing w:val="-3"/>
        </w:rPr>
        <w:t>根据《财政部、国家税务总局关于贯彻落实《中共中央国务院关于加强技术创新，发展高科技，实现</w:t>
      </w:r>
      <w:r>
        <w:rPr>
          <w:w w:val="100"/>
        </w:rPr>
        <w:t> </w:t>
      </w:r>
      <w:r>
        <w:rPr>
          <w:spacing w:val="-3"/>
        </w:rPr>
        <w:t>产业化的决定》有关税收问题的通知》（财税字</w:t>
      </w:r>
      <w:r>
        <w:rPr>
          <w:rFonts w:ascii="Times New Roman" w:hAnsi="Times New Roman" w:cs="Times New Roman" w:eastAsia="Times New Roman" w:hint="default"/>
          <w:spacing w:val="-3"/>
        </w:rPr>
        <w:t>[1999]273</w:t>
      </w:r>
      <w:r>
        <w:rPr>
          <w:spacing w:val="-3"/>
        </w:rPr>
        <w:t>号），对单位和个人（包括外商投资企业、外商</w:t>
      </w:r>
      <w:r>
        <w:rPr>
          <w:spacing w:val="-103"/>
        </w:rPr>
        <w:t> </w:t>
      </w:r>
      <w:r>
        <w:rPr>
          <w:spacing w:val="-103"/>
        </w:rPr>
      </w:r>
      <w:r>
        <w:rPr>
          <w:spacing w:val="-2"/>
        </w:rPr>
        <w:t>投资设立的研究开发中心、外国企业和外籍个人）从事技术转让、技术开发业务和与之相关的技术咨询、</w:t>
      </w:r>
      <w:r>
        <w:rPr>
          <w:spacing w:val="-76"/>
        </w:rPr>
        <w:t> </w:t>
      </w:r>
      <w:r>
        <w:rPr>
          <w:spacing w:val="-76"/>
        </w:rPr>
      </w:r>
      <w:r>
        <w:rPr/>
        <w:t>技术服务业务取得的收入，免征营业税。同时，根据《财政部</w:t>
      </w:r>
      <w:r>
        <w:rPr>
          <w:spacing w:val="83"/>
        </w:rPr>
        <w:t> </w:t>
      </w:r>
      <w:r>
        <w:rPr/>
        <w:t>国家税务总局关于印发《营业税改征增值</w:t>
      </w:r>
      <w:r>
        <w:rPr>
          <w:w w:val="100"/>
        </w:rPr>
        <w:t> </w:t>
      </w:r>
      <w:r>
        <w:rPr>
          <w:spacing w:val="-3"/>
        </w:rPr>
        <w:t>税试点方案》的通知》（财税</w:t>
      </w:r>
      <w:r>
        <w:rPr>
          <w:rFonts w:ascii="Times New Roman" w:hAnsi="Times New Roman" w:cs="Times New Roman" w:eastAsia="Times New Roman" w:hint="default"/>
          <w:spacing w:val="-3"/>
        </w:rPr>
        <w:t>[2011]110</w:t>
      </w:r>
      <w:r>
        <w:rPr>
          <w:spacing w:val="-3"/>
        </w:rPr>
        <w:t>号），国家给予试点行业的原营业税优惠政策可以延续。因此，广</w:t>
      </w:r>
    </w:p>
    <w:p>
      <w:pPr>
        <w:pStyle w:val="Heading3"/>
        <w:spacing w:line="240" w:lineRule="auto" w:before="22"/>
        <w:ind w:right="0"/>
        <w:jc w:val="left"/>
      </w:pPr>
      <w:r>
        <w:rPr/>
        <w:t>州广电运通信息科技有限公司的部分技术转让、技术开发收入免征增值税。</w:t>
      </w:r>
    </w:p>
    <w:p>
      <w:pPr>
        <w:spacing w:line="240" w:lineRule="auto" w:before="10"/>
        <w:rPr>
          <w:rFonts w:ascii="宋体" w:hAnsi="宋体" w:cs="宋体" w:eastAsia="宋体" w:hint="default"/>
          <w:sz w:val="14"/>
          <w:szCs w:val="14"/>
        </w:rPr>
      </w:pPr>
    </w:p>
    <w:p>
      <w:pPr>
        <w:pStyle w:val="Heading3"/>
        <w:spacing w:line="240" w:lineRule="auto"/>
        <w:ind w:left="578" w:right="0"/>
        <w:jc w:val="left"/>
      </w:pPr>
      <w:r>
        <w:rPr/>
        <w:t>（</w:t>
      </w:r>
      <w:r>
        <w:rPr>
          <w:rFonts w:ascii="Times New Roman" w:hAnsi="Times New Roman" w:cs="Times New Roman" w:eastAsia="Times New Roman" w:hint="default"/>
        </w:rPr>
        <w:t>2</w:t>
      </w:r>
      <w:r>
        <w:rPr/>
        <w:t>）企业所得税</w:t>
      </w:r>
    </w:p>
    <w:p>
      <w:pPr>
        <w:pStyle w:val="Heading3"/>
        <w:spacing w:line="240" w:lineRule="auto" w:before="177"/>
        <w:ind w:left="578" w:right="0"/>
        <w:jc w:val="left"/>
      </w:pPr>
      <w:r>
        <w:rPr/>
        <w:t>①广州广电运通金融电子股份有限公司被认定为高新技术企业，</w:t>
      </w:r>
      <w:r>
        <w:rPr>
          <w:rFonts w:ascii="Times New Roman" w:hAnsi="Times New Roman" w:cs="Times New Roman" w:eastAsia="Times New Roman" w:hint="default"/>
        </w:rPr>
        <w:t>2017</w:t>
      </w:r>
      <w:r>
        <w:rPr/>
        <w:t>年取得编号为</w:t>
      </w:r>
      <w:r>
        <w:rPr>
          <w:rFonts w:ascii="宋体" w:hAnsi="宋体" w:cs="宋体" w:eastAsia="宋体" w:hint="default"/>
        </w:rPr>
        <w:t>GR</w:t>
      </w:r>
      <w:r>
        <w:rPr>
          <w:rFonts w:ascii="Times New Roman" w:hAnsi="Times New Roman" w:cs="Times New Roman" w:eastAsia="Times New Roman" w:hint="default"/>
        </w:rPr>
        <w:t>201744011270</w:t>
      </w:r>
      <w:r>
        <w:rPr/>
        <w:t>的</w:t>
      </w:r>
    </w:p>
    <w:p>
      <w:pPr>
        <w:pStyle w:val="Heading3"/>
        <w:spacing w:line="240" w:lineRule="auto" w:before="177"/>
        <w:ind w:right="0"/>
        <w:jc w:val="left"/>
      </w:pPr>
      <w:r>
        <w:rPr/>
        <w:t>《高新技术企业证书》，有效期为三年，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386" w:lineRule="auto" w:before="177"/>
        <w:ind w:right="0" w:firstLine="425"/>
        <w:jc w:val="left"/>
      </w:pPr>
      <w:r>
        <w:rPr>
          <w:spacing w:val="2"/>
        </w:rPr>
        <w:t>②本公司的子公司广州广电银通金融电子科技有限公司被认定为高新技术企业，</w:t>
      </w:r>
      <w:r>
        <w:rPr>
          <w:rFonts w:ascii="Times New Roman" w:hAnsi="Times New Roman" w:cs="Times New Roman" w:eastAsia="Times New Roman" w:hint="default"/>
          <w:spacing w:val="2"/>
        </w:rPr>
        <w:t>2015</w:t>
      </w:r>
      <w:r>
        <w:rPr>
          <w:spacing w:val="2"/>
        </w:rPr>
        <w:t>年取得编号为</w:t>
      </w:r>
      <w:r>
        <w:rPr>
          <w:w w:val="100"/>
        </w:rPr>
        <w:t> </w:t>
      </w:r>
      <w:r>
        <w:rPr>
          <w:rFonts w:ascii="宋体" w:hAnsi="宋体" w:cs="宋体" w:eastAsia="宋体" w:hint="default"/>
        </w:rPr>
        <w:t>GR</w:t>
      </w:r>
      <w:r>
        <w:rPr>
          <w:rFonts w:ascii="Times New Roman" w:hAnsi="Times New Roman" w:cs="Times New Roman" w:eastAsia="Times New Roman" w:hint="default"/>
        </w:rPr>
        <w:t>201544000463</w:t>
      </w:r>
      <w:r>
        <w:rPr/>
        <w:t>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410" w:lineRule="auto" w:before="35"/>
        <w:ind w:right="0" w:firstLine="425"/>
        <w:jc w:val="left"/>
      </w:pPr>
      <w:r>
        <w:rPr>
          <w:spacing w:val="-2"/>
        </w:rPr>
        <w:t>③本公司的控股子公司广州穗通金融服务有限公司，</w:t>
      </w:r>
      <w:r>
        <w:rPr>
          <w:rFonts w:ascii="宋体" w:hAnsi="宋体" w:cs="宋体" w:eastAsia="宋体" w:hint="default"/>
          <w:spacing w:val="-2"/>
        </w:rPr>
        <w:t>2017</w:t>
      </w:r>
      <w:r>
        <w:rPr>
          <w:spacing w:val="-2"/>
        </w:rPr>
        <w:t>年已经公示被认定为高新技术企业，暂未取</w:t>
      </w:r>
      <w:r>
        <w:rPr>
          <w:w w:val="100"/>
        </w:rPr>
        <w:t> </w:t>
      </w:r>
      <w:r>
        <w:rPr/>
        <w:t>得《高新技术企业证书》，</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386" w:lineRule="auto" w:before="12"/>
        <w:ind w:right="0" w:firstLine="425"/>
        <w:jc w:val="left"/>
      </w:pPr>
      <w:r>
        <w:rPr>
          <w:spacing w:val="11"/>
        </w:rPr>
        <w:t>④本公司的子公司广州广电运通信息科技有限公司被认定为高新技术企业，</w:t>
      </w:r>
      <w:r>
        <w:rPr>
          <w:rFonts w:ascii="Times New Roman" w:hAnsi="Times New Roman" w:cs="Times New Roman" w:eastAsia="Times New Roman" w:hint="default"/>
          <w:spacing w:val="11"/>
        </w:rPr>
        <w:t>2016</w:t>
      </w:r>
      <w:r>
        <w:rPr>
          <w:spacing w:val="11"/>
        </w:rPr>
        <w:t>年取得编号为</w:t>
      </w:r>
      <w:r>
        <w:rPr>
          <w:w w:val="100"/>
        </w:rPr>
        <w:t> </w:t>
      </w:r>
      <w:r>
        <w:rPr>
          <w:rFonts w:ascii="宋体" w:hAnsi="宋体" w:cs="宋体" w:eastAsia="宋体" w:hint="default"/>
        </w:rPr>
        <w:t>GR</w:t>
      </w:r>
      <w:r>
        <w:rPr>
          <w:rFonts w:ascii="Times New Roman" w:hAnsi="Times New Roman" w:cs="Times New Roman" w:eastAsia="Times New Roman" w:hint="default"/>
        </w:rPr>
        <w:t>201644005599</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386" w:lineRule="auto" w:before="35"/>
        <w:ind w:right="0" w:firstLine="425"/>
        <w:jc w:val="left"/>
      </w:pPr>
      <w:r>
        <w:rPr>
          <w:spacing w:val="11"/>
        </w:rPr>
        <w:t>⑤本公司的子公司广州中智融通金融科技有限公司被认定为高新技术企业，</w:t>
      </w:r>
      <w:r>
        <w:rPr>
          <w:rFonts w:ascii="Times New Roman" w:hAnsi="Times New Roman" w:cs="Times New Roman" w:eastAsia="Times New Roman" w:hint="default"/>
          <w:spacing w:val="11"/>
        </w:rPr>
        <w:t>2015</w:t>
      </w:r>
      <w:r>
        <w:rPr>
          <w:spacing w:val="11"/>
        </w:rPr>
        <w:t>年取得编号为</w:t>
      </w:r>
      <w:r>
        <w:rPr>
          <w:w w:val="100"/>
        </w:rPr>
        <w:t> </w:t>
      </w:r>
      <w:r>
        <w:rPr>
          <w:rFonts w:ascii="宋体" w:hAnsi="宋体" w:cs="宋体" w:eastAsia="宋体" w:hint="default"/>
        </w:rPr>
        <w:t>GR</w:t>
      </w:r>
      <w:r>
        <w:rPr>
          <w:rFonts w:ascii="Times New Roman" w:hAnsi="Times New Roman" w:cs="Times New Roman" w:eastAsia="Times New Roman" w:hint="default"/>
        </w:rPr>
        <w:t>201544000582</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240" w:lineRule="auto" w:before="35"/>
        <w:ind w:left="578" w:right="0"/>
        <w:jc w:val="left"/>
      </w:pPr>
      <w:r>
        <w:rPr>
          <w:spacing w:val="2"/>
        </w:rPr>
        <w:t>⑥本公司的孙公司深圳广电银通金融电子科技有限公司被认定为高新技术企业，</w:t>
      </w:r>
      <w:r>
        <w:rPr>
          <w:rFonts w:ascii="Times New Roman" w:hAnsi="Times New Roman" w:cs="Times New Roman" w:eastAsia="Times New Roman" w:hint="default"/>
          <w:spacing w:val="2"/>
        </w:rPr>
        <w:t>2015</w:t>
      </w:r>
      <w:r>
        <w:rPr>
          <w:spacing w:val="2"/>
        </w:rPr>
        <w:t>年取得编号为</w:t>
      </w:r>
    </w:p>
    <w:p>
      <w:pPr>
        <w:pStyle w:val="Heading3"/>
        <w:spacing w:line="240" w:lineRule="auto" w:before="177"/>
        <w:ind w:right="0"/>
        <w:jc w:val="left"/>
      </w:pPr>
      <w:r>
        <w:rPr>
          <w:rFonts w:ascii="Times New Roman" w:hAnsi="Times New Roman" w:cs="Times New Roman" w:eastAsia="Times New Roman" w:hint="default"/>
        </w:rPr>
        <w:t>GR201544200414</w:t>
      </w:r>
      <w:r>
        <w:rPr/>
        <w:t>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Heading3"/>
        <w:spacing w:line="240" w:lineRule="auto" w:before="177"/>
        <w:ind w:left="578" w:right="0"/>
        <w:jc w:val="left"/>
      </w:pPr>
      <w:r>
        <w:rPr>
          <w:spacing w:val="18"/>
        </w:rPr>
        <w:t>⑦本公司的曾孙公司深圳鹏通金融服务有限公司被认定为高新技术企业， </w:t>
      </w:r>
      <w:r>
        <w:rPr>
          <w:rFonts w:ascii="Times New Roman" w:hAnsi="Times New Roman" w:cs="Times New Roman" w:eastAsia="Times New Roman" w:hint="default"/>
        </w:rPr>
        <w:t>2017</w:t>
      </w:r>
      <w:r>
        <w:rPr>
          <w:rFonts w:ascii="Times New Roman" w:hAnsi="Times New Roman" w:cs="Times New Roman" w:eastAsia="Times New Roman" w:hint="default"/>
          <w:spacing w:val="-35"/>
        </w:rPr>
        <w:t> </w:t>
      </w:r>
      <w:r>
        <w:rPr>
          <w:spacing w:val="15"/>
        </w:rPr>
        <w:t>年取得编号为</w:t>
      </w:r>
    </w:p>
    <w:p>
      <w:pPr>
        <w:spacing w:after="0" w:line="240" w:lineRule="auto"/>
        <w:jc w:val="left"/>
        <w:sectPr>
          <w:pgSz w:w="11910" w:h="16840"/>
          <w:pgMar w:header="880" w:footer="979" w:top="1100" w:bottom="1160" w:left="980" w:right="960"/>
        </w:sectPr>
      </w:pPr>
    </w:p>
    <w:p>
      <w:pPr>
        <w:spacing w:line="240" w:lineRule="auto" w:before="10"/>
        <w:rPr>
          <w:rFonts w:ascii="宋体" w:hAnsi="宋体" w:cs="宋体" w:eastAsia="宋体" w:hint="default"/>
          <w:sz w:val="26"/>
          <w:szCs w:val="26"/>
        </w:rPr>
      </w:pPr>
    </w:p>
    <w:p>
      <w:pPr>
        <w:pStyle w:val="Heading3"/>
        <w:spacing w:line="240" w:lineRule="auto" w:before="36"/>
        <w:ind w:right="0"/>
        <w:jc w:val="left"/>
      </w:pPr>
      <w:r>
        <w:rPr>
          <w:rFonts w:ascii="Times New Roman" w:hAnsi="Times New Roman" w:cs="Times New Roman" w:eastAsia="Times New Roman" w:hint="default"/>
        </w:rPr>
        <w:t>GR201744200056</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Heading3"/>
        <w:spacing w:line="386" w:lineRule="auto" w:before="177"/>
        <w:ind w:right="0" w:firstLine="425"/>
        <w:jc w:val="left"/>
      </w:pPr>
      <w:r>
        <w:rPr>
          <w:spacing w:val="6"/>
        </w:rPr>
        <w:t>⑧本公司的控股子公司深圳市创自技术有限公司被认定为高新技术企业，</w:t>
      </w:r>
      <w:r>
        <w:rPr>
          <w:spacing w:val="-42"/>
        </w:rPr>
        <w:t>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月取得编号为</w:t>
      </w:r>
      <w:r>
        <w:rPr>
          <w:w w:val="100"/>
        </w:rPr>
        <w:t> </w:t>
      </w:r>
      <w:r>
        <w:rPr>
          <w:rFonts w:ascii="Times New Roman" w:hAnsi="Times New Roman" w:cs="Times New Roman" w:eastAsia="Times New Roman" w:hint="default"/>
        </w:rPr>
        <w:t>GR201744204661</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Heading3"/>
        <w:spacing w:line="240" w:lineRule="auto" w:before="35"/>
        <w:ind w:left="578" w:right="0"/>
        <w:jc w:val="left"/>
      </w:pPr>
      <w:r>
        <w:rPr>
          <w:spacing w:val="2"/>
        </w:rPr>
        <w:t>⑨本公司的曾孙公司上海欣辰通金融电子科技有限公司被认定为高新技术企业，</w:t>
      </w:r>
      <w:r>
        <w:rPr>
          <w:rFonts w:ascii="Times New Roman" w:hAnsi="Times New Roman" w:cs="Times New Roman" w:eastAsia="Times New Roman" w:hint="default"/>
          <w:spacing w:val="2"/>
        </w:rPr>
        <w:t>2015</w:t>
      </w:r>
      <w:r>
        <w:rPr>
          <w:spacing w:val="2"/>
        </w:rPr>
        <w:t>年取得编号为</w:t>
      </w:r>
    </w:p>
    <w:p>
      <w:pPr>
        <w:pStyle w:val="Heading3"/>
        <w:spacing w:line="240" w:lineRule="auto" w:before="177"/>
        <w:ind w:right="0"/>
        <w:jc w:val="left"/>
      </w:pPr>
      <w:r>
        <w:rPr>
          <w:rFonts w:ascii="Times New Roman" w:hAnsi="Times New Roman" w:cs="Times New Roman" w:eastAsia="Times New Roman" w:hint="default"/>
        </w:rPr>
        <w:t>GR201531001455</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Heading3"/>
        <w:spacing w:line="240" w:lineRule="auto" w:before="177"/>
        <w:ind w:left="578" w:right="0"/>
        <w:jc w:val="left"/>
      </w:pPr>
      <w:r>
        <w:rPr>
          <w:spacing w:val="2"/>
        </w:rPr>
        <w:t>⑩本公司的控股子公司江苏汇通金融数据股份有限公司被认定为高新技术企业，</w:t>
      </w:r>
      <w:r>
        <w:rPr>
          <w:rFonts w:ascii="Times New Roman" w:hAnsi="Times New Roman" w:cs="Times New Roman" w:eastAsia="Times New Roman" w:hint="default"/>
          <w:spacing w:val="2"/>
        </w:rPr>
        <w:t>2015</w:t>
      </w:r>
      <w:r>
        <w:rPr>
          <w:spacing w:val="2"/>
        </w:rPr>
        <w:t>年取得编号为</w:t>
      </w:r>
    </w:p>
    <w:p>
      <w:pPr>
        <w:pStyle w:val="Heading3"/>
        <w:spacing w:line="175" w:lineRule="exact" w:before="177"/>
        <w:ind w:right="0"/>
        <w:jc w:val="left"/>
      </w:pPr>
      <w:r>
        <w:rPr>
          <w:rFonts w:ascii="Times New Roman" w:hAnsi="Times New Roman" w:cs="Times New Roman" w:eastAsia="Times New Roman" w:hint="default"/>
        </w:rPr>
        <w:t>GR201532002985</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Heading3"/>
        <w:spacing w:line="905" w:lineRule="exact"/>
        <w:ind w:left="578" w:right="0"/>
        <w:jc w:val="left"/>
        <w:rPr>
          <w:rFonts w:ascii="Times New Roman" w:hAnsi="Times New Roman" w:cs="Times New Roman" w:eastAsia="Times New Roman" w:hint="default"/>
        </w:rPr>
      </w:pPr>
      <w:r>
        <w:rPr>
          <w:rFonts w:ascii="Cambria Math" w:hAnsi="Cambria Math" w:cs="Cambria Math" w:eastAsia="Cambria Math" w:hint="default"/>
        </w:rPr>
        <w:t>⑪</w:t>
      </w:r>
      <w:r>
        <w:rPr/>
        <w:t>本公司的控股曾孙公司宜昌市金牛押运护卫保安服务有限责任公司被认定为高新技术企业，</w:t>
      </w:r>
      <w:r>
        <w:rPr>
          <w:rFonts w:ascii="Times New Roman" w:hAnsi="Times New Roman" w:cs="Times New Roman" w:eastAsia="Times New Roman" w:hint="default"/>
        </w:rPr>
        <w:t>2016</w:t>
      </w:r>
    </w:p>
    <w:p>
      <w:pPr>
        <w:pStyle w:val="Heading3"/>
        <w:spacing w:line="147" w:lineRule="exact"/>
        <w:ind w:right="0"/>
        <w:jc w:val="left"/>
      </w:pPr>
      <w:r>
        <w:rPr>
          <w:spacing w:val="-3"/>
        </w:rPr>
        <w:t>年取得编号为</w:t>
      </w:r>
      <w:r>
        <w:rPr>
          <w:rFonts w:ascii="Times New Roman" w:hAnsi="Times New Roman" w:cs="Times New Roman" w:eastAsia="Times New Roman" w:hint="default"/>
          <w:spacing w:val="-3"/>
        </w:rPr>
        <w:t>GR201642000406</w:t>
      </w:r>
      <w:r>
        <w:rPr>
          <w:spacing w:val="-3"/>
        </w:rPr>
        <w:t>号的《高新技术企业证书》，有效期三年，</w:t>
      </w:r>
      <w:r>
        <w:rPr>
          <w:rFonts w:ascii="Times New Roman" w:hAnsi="Times New Roman" w:cs="Times New Roman" w:eastAsia="Times New Roman" w:hint="default"/>
          <w:spacing w:val="-3"/>
        </w:rPr>
        <w:t>2017</w:t>
      </w:r>
      <w:r>
        <w:rPr>
          <w:spacing w:val="-3"/>
        </w:rPr>
        <w:t>年按</w:t>
      </w:r>
      <w:r>
        <w:rPr>
          <w:rFonts w:ascii="Times New Roman" w:hAnsi="Times New Roman" w:cs="Times New Roman" w:eastAsia="Times New Roman" w:hint="default"/>
          <w:spacing w:val="-3"/>
        </w:rPr>
        <w:t>15%</w:t>
      </w:r>
      <w:r>
        <w:rPr>
          <w:spacing w:val="-3"/>
        </w:rPr>
        <w:t>的税率计缴企业所</w:t>
      </w:r>
    </w:p>
    <w:p>
      <w:pPr>
        <w:pStyle w:val="Heading3"/>
        <w:spacing w:line="167" w:lineRule="exact" w:before="177"/>
        <w:ind w:right="0"/>
        <w:jc w:val="left"/>
      </w:pPr>
      <w:r>
        <w:rPr/>
        <w:t>得税。</w:t>
      </w:r>
    </w:p>
    <w:p>
      <w:pPr>
        <w:pStyle w:val="Heading3"/>
        <w:spacing w:line="180" w:lineRule="auto" w:before="55"/>
        <w:ind w:right="0" w:firstLine="425"/>
        <w:jc w:val="left"/>
      </w:pPr>
      <w:r>
        <w:rPr>
          <w:rFonts w:ascii="Cambria Math" w:hAnsi="Cambria Math" w:cs="Cambria Math" w:eastAsia="Cambria Math" w:hint="default"/>
          <w:spacing w:val="-4"/>
        </w:rPr>
        <w:t>⑫</w:t>
      </w:r>
      <w:r>
        <w:rPr>
          <w:spacing w:val="-4"/>
        </w:rPr>
        <w:t>本公司的曾孙公司资阳保安有限责任公司依据《财政部、海关总署、国家税务总局关于深入实施西</w:t>
      </w:r>
      <w:r>
        <w:rPr>
          <w:w w:val="100"/>
        </w:rPr>
        <w:t> </w:t>
      </w:r>
      <w:r>
        <w:rPr>
          <w:spacing w:val="-1"/>
        </w:rPr>
        <w:t>部大开发战略有关税收政策问题的通知》财税</w:t>
      </w:r>
      <w:r>
        <w:rPr>
          <w:rFonts w:ascii="Times New Roman" w:hAnsi="Times New Roman" w:cs="Times New Roman" w:eastAsia="Times New Roman" w:hint="default"/>
          <w:spacing w:val="-1"/>
        </w:rPr>
        <w:t>[2011]58</w:t>
      </w:r>
      <w:r>
        <w:rPr>
          <w:spacing w:val="-1"/>
        </w:rPr>
        <w:t>号，符合西部大开发税收优惠政策条件，</w:t>
      </w:r>
      <w:r>
        <w:rPr>
          <w:rFonts w:ascii="Times New Roman" w:hAnsi="Times New Roman" w:cs="Times New Roman" w:eastAsia="Times New Roman" w:hint="default"/>
          <w:spacing w:val="-1"/>
        </w:rPr>
        <w:t>2017</w:t>
      </w:r>
      <w:r>
        <w:rPr>
          <w:spacing w:val="-1"/>
        </w:rPr>
        <w:t>年减</w:t>
      </w:r>
      <w:r>
        <w:rPr/>
      </w:r>
    </w:p>
    <w:p>
      <w:pPr>
        <w:pStyle w:val="Heading3"/>
        <w:spacing w:line="175" w:lineRule="exact" w:before="188"/>
        <w:ind w:right="0"/>
        <w:jc w:val="left"/>
      </w:pPr>
      <w:r>
        <w:rPr/>
        <w:t>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180" w:lineRule="auto" w:before="47"/>
        <w:ind w:right="0" w:firstLine="425"/>
        <w:jc w:val="left"/>
      </w:pPr>
      <w:r>
        <w:rPr>
          <w:rFonts w:ascii="Cambria Math" w:hAnsi="Cambria Math" w:cs="Cambria Math" w:eastAsia="Cambria Math" w:hint="default"/>
          <w:spacing w:val="-4"/>
        </w:rPr>
        <w:t>⑬</w:t>
      </w:r>
      <w:r>
        <w:rPr>
          <w:spacing w:val="-4"/>
        </w:rPr>
        <w:t>本公司的曾孙公司黔南州蓝盾武装护运有限责任公司依据《财政部、海关总署、国家税务总局关于</w:t>
      </w:r>
      <w:r>
        <w:rPr>
          <w:w w:val="100"/>
        </w:rPr>
        <w:t> </w:t>
      </w:r>
      <w:r>
        <w:rPr>
          <w:spacing w:val="-4"/>
        </w:rPr>
        <w:t>深入实施西部大开发战略有关税收政策问题的通知》财税</w:t>
      </w:r>
      <w:r>
        <w:rPr>
          <w:rFonts w:ascii="宋体" w:hAnsi="宋体" w:cs="宋体" w:eastAsia="宋体" w:hint="default"/>
          <w:spacing w:val="-4"/>
        </w:rPr>
        <w:t>[</w:t>
      </w:r>
      <w:r>
        <w:rPr>
          <w:rFonts w:ascii="Times New Roman" w:hAnsi="Times New Roman" w:cs="Times New Roman" w:eastAsia="Times New Roman" w:hint="default"/>
          <w:spacing w:val="-4"/>
        </w:rPr>
        <w:t>2011</w:t>
      </w:r>
      <w:r>
        <w:rPr>
          <w:rFonts w:ascii="宋体" w:hAnsi="宋体" w:cs="宋体" w:eastAsia="宋体" w:hint="default"/>
          <w:spacing w:val="-4"/>
        </w:rPr>
        <w:t>]</w:t>
      </w:r>
      <w:r>
        <w:rPr>
          <w:rFonts w:ascii="Times New Roman" w:hAnsi="Times New Roman" w:cs="Times New Roman" w:eastAsia="Times New Roman" w:hint="default"/>
          <w:spacing w:val="-4"/>
        </w:rPr>
        <w:t>58</w:t>
      </w:r>
      <w:r>
        <w:rPr>
          <w:spacing w:val="-4"/>
        </w:rPr>
        <w:t>号，符合西部大开发税收优惠政策条件，</w:t>
      </w:r>
    </w:p>
    <w:p>
      <w:pPr>
        <w:pStyle w:val="Heading3"/>
        <w:spacing w:line="175" w:lineRule="exact" w:before="188"/>
        <w:ind w:right="0"/>
        <w:jc w:val="left"/>
      </w:pPr>
      <w:r>
        <w:rPr>
          <w:rFonts w:ascii="Times New Roman" w:hAnsi="Times New Roman" w:cs="Times New Roman" w:eastAsia="Times New Roman" w:hint="default"/>
        </w:rPr>
        <w:t>2017</w:t>
      </w:r>
      <w:r>
        <w:rPr/>
        <w:t>年减按</w:t>
      </w:r>
      <w:r>
        <w:rPr>
          <w:rFonts w:ascii="Times New Roman" w:hAnsi="Times New Roman" w:cs="Times New Roman" w:eastAsia="Times New Roman" w:hint="default"/>
        </w:rPr>
        <w:t>15</w:t>
      </w:r>
      <w:r>
        <w:rPr>
          <w:rFonts w:ascii="宋体" w:hAnsi="宋体" w:cs="宋体" w:eastAsia="宋体" w:hint="default"/>
        </w:rPr>
        <w:t>%</w:t>
      </w:r>
      <w:r>
        <w:rPr/>
        <w:t>的税率计缴企业所得税。</w:t>
      </w:r>
    </w:p>
    <w:p>
      <w:pPr>
        <w:pStyle w:val="Heading3"/>
        <w:spacing w:line="905" w:lineRule="exact"/>
        <w:ind w:left="578" w:right="0"/>
        <w:jc w:val="left"/>
      </w:pPr>
      <w:r>
        <w:rPr>
          <w:rFonts w:ascii="Cambria Math" w:hAnsi="Cambria Math" w:cs="Cambria Math" w:eastAsia="Cambria Math" w:hint="default"/>
          <w:spacing w:val="17"/>
        </w:rPr>
        <w:t>⑭</w:t>
      </w:r>
      <w:r>
        <w:rPr>
          <w:spacing w:val="17"/>
        </w:rPr>
        <w:t>本公司的孙公司深圳市创自软件有限公司被认定为高新技术企业，</w:t>
      </w:r>
      <w:r>
        <w:rPr>
          <w:spacing w:val="-6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spacing w:val="15"/>
        </w:rPr>
        <w:t>月取得编号为</w:t>
      </w:r>
      <w:r>
        <w:rPr>
          <w:spacing w:val="-86"/>
        </w:rPr>
        <w:t> </w:t>
      </w:r>
      <w:r>
        <w:rPr/>
      </w:r>
    </w:p>
    <w:p>
      <w:pPr>
        <w:pStyle w:val="Heading3"/>
        <w:spacing w:line="147" w:lineRule="exact"/>
        <w:ind w:right="0"/>
        <w:jc w:val="left"/>
      </w:pPr>
      <w:r>
        <w:rPr>
          <w:rFonts w:ascii="Times New Roman" w:hAnsi="Times New Roman" w:cs="Times New Roman" w:eastAsia="Times New Roman" w:hint="default"/>
        </w:rPr>
        <w:t>GR201644202173</w:t>
      </w:r>
      <w:r>
        <w:rPr/>
        <w:t>号的《高新技术企业证书》，有效期为三年，</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0" w:footer="979" w:top="1100" w:bottom="1160" w:left="980" w:right="920"/>
        </w:sectPr>
      </w:pPr>
    </w:p>
    <w:p>
      <w:pPr>
        <w:pStyle w:val="Heading4"/>
        <w:spacing w:line="240" w:lineRule="auto" w:before="37"/>
        <w:ind w:right="-20"/>
        <w:jc w:val="left"/>
        <w:rPr>
          <w:b w:val="0"/>
          <w:bCs w:val="0"/>
        </w:rPr>
      </w:pPr>
      <w:r>
        <w:rPr>
          <w:rFonts w:ascii="Times New Roman" w:hAnsi="Times New Roman" w:cs="Times New Roman" w:eastAsia="Times New Roman" w:hint="default"/>
          <w:sz w:val="18"/>
          <w:szCs w:val="18"/>
        </w:rPr>
        <w:t>1</w:t>
      </w:r>
      <w:r>
        <w:rPr/>
        <w:t>、货币资金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2"/>
        <w:ind w:right="0"/>
        <w:jc w:val="left"/>
      </w:pPr>
      <w:r>
        <w:rPr/>
        <w:t>单位：元</w:t>
      </w:r>
    </w:p>
    <w:p>
      <w:pPr>
        <w:spacing w:after="0" w:line="240" w:lineRule="auto"/>
        <w:jc w:val="left"/>
        <w:sectPr>
          <w:type w:val="continuous"/>
          <w:pgSz w:w="11910" w:h="16840"/>
          <w:pgMar w:top="1100" w:bottom="1160" w:left="980" w:right="920"/>
          <w:cols w:num="2" w:equalWidth="0">
            <w:col w:w="1247" w:space="7673"/>
            <w:col w:w="1090"/>
          </w:cols>
        </w:sectPr>
      </w:pP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3,403,471.34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4,374,746.36</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3,697,784,219.77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3,200,752,596.82</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161,153.52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5,529,671.97</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3,701,348,844.63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3,210,657,015.15</w:t>
            </w:r>
          </w:p>
        </w:tc>
      </w:tr>
      <w:tr>
        <w:trPr>
          <w:trHeight w:val="108"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12" w:space="0" w:color="D2D2D2"/>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84,188,645.25</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59,412,160.51</w:t>
            </w:r>
          </w:p>
        </w:tc>
      </w:tr>
      <w:tr>
        <w:trPr>
          <w:trHeight w:val="420"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vMerge/>
            <w:tcBorders>
              <w:left w:val="single" w:sz="12"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8"/>
          <w:szCs w:val="8"/>
        </w:rPr>
      </w:pPr>
    </w:p>
    <w:p>
      <w:pPr>
        <w:pStyle w:val="Heading3"/>
        <w:spacing w:line="240" w:lineRule="auto" w:before="36"/>
        <w:ind w:left="573" w:right="0"/>
        <w:jc w:val="left"/>
        <w:rPr>
          <w:rFonts w:ascii="Times New Roman" w:hAnsi="Times New Roman" w:cs="Times New Roman" w:eastAsia="Times New Roman" w:hint="default"/>
        </w:rPr>
      </w:pPr>
      <w:r>
        <w:rPr/>
        <w:t>其中因抵押、质押或冻结等对使用有限制，以及放在境外且资金汇回受到限制的货币资金明细如下</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211"/>
        <w:jc w:val="right"/>
      </w:pPr>
      <w:r>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200"/>
        <w:gridCol w:w="3180"/>
        <w:gridCol w:w="3121"/>
      </w:tblGrid>
      <w:tr>
        <w:trPr>
          <w:trHeight w:val="348" w:hRule="exact"/>
        </w:trPr>
        <w:tc>
          <w:tcPr>
            <w:tcW w:w="32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32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141,153.52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5,529,671.97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92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200"/>
        <w:gridCol w:w="3180"/>
        <w:gridCol w:w="3121"/>
      </w:tblGrid>
      <w:tr>
        <w:trPr>
          <w:trHeight w:val="348"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w:t>
            </w: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161,153.52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5,529,671.97</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2</w:t>
      </w:r>
      <w:r>
        <w:rPr/>
        <w:t>、应收票据</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）应收票据分类列示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9,802,421.00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14,718,505.20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2,825,637.00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6,082,651.00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12,628,058.00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20,801,156.20</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）期末公司已质押的应收票据</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期末没有已质押的应收票据。</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7,433,754.37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7,433,754.37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）期末公司因出票人未履约而将其转应收账款的票据</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573" w:right="0"/>
        <w:jc w:val="left"/>
      </w:pPr>
      <w:r>
        <w:rPr/>
        <w:t>期末没有因出票人未履约而将票据转为应收账款的票据。</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3</w:t>
      </w:r>
      <w:r>
        <w:rPr/>
        <w:t>、应收账款</w:t>
      </w:r>
      <w:r>
        <w:rPr>
          <w:b w:val="0"/>
          <w:bCs w:val="0"/>
        </w:rPr>
      </w:r>
    </w:p>
    <w:p>
      <w:pPr>
        <w:spacing w:line="240" w:lineRule="auto" w:before="5"/>
        <w:rPr>
          <w:rFonts w:ascii="宋体" w:hAnsi="宋体" w:cs="宋体" w:eastAsia="宋体" w:hint="default"/>
          <w:b/>
          <w:bCs/>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990"/>
        <w:gridCol w:w="865"/>
        <w:gridCol w:w="850"/>
        <w:gridCol w:w="574"/>
        <w:gridCol w:w="788"/>
        <w:gridCol w:w="907"/>
        <w:gridCol w:w="708"/>
        <w:gridCol w:w="994"/>
        <w:gridCol w:w="566"/>
        <w:gridCol w:w="919"/>
      </w:tblGrid>
      <w:tr>
        <w:trPr>
          <w:trHeight w:val="398"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0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6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9"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423"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615" w:type="dxa"/>
            <w:gridSpan w:val="2"/>
            <w:vMerge/>
            <w:tcBorders>
              <w:left w:val="single" w:sz="4" w:space="0" w:color="000000"/>
              <w:bottom w:val="single" w:sz="4" w:space="0" w:color="000000"/>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 w:right="10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9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2"/>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990" w:type="dxa"/>
            <w:tcBorders>
              <w:top w:val="single" w:sz="4" w:space="0" w:color="000000"/>
              <w:left w:val="single" w:sz="12" w:space="0" w:color="D2D2D2"/>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18"/>
        <w:gridCol w:w="979"/>
        <w:gridCol w:w="865"/>
        <w:gridCol w:w="850"/>
        <w:gridCol w:w="574"/>
        <w:gridCol w:w="788"/>
        <w:gridCol w:w="907"/>
        <w:gridCol w:w="708"/>
        <w:gridCol w:w="994"/>
        <w:gridCol w:w="566"/>
        <w:gridCol w:w="919"/>
      </w:tblGrid>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829,947,262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29,684,68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8.11</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800,262,5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74.88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783,731,98</w:t>
            </w:r>
          </w:p>
          <w:p>
            <w:pPr>
              <w:pStyle w:val="TableParagraph"/>
              <w:spacing w:line="240" w:lineRule="auto" w:before="105"/>
              <w:ind w:left="561" w:right="0"/>
              <w:jc w:val="left"/>
              <w:rPr>
                <w:rFonts w:ascii="Times New Roman" w:hAnsi="Times New Roman" w:cs="Times New Roman" w:eastAsia="Times New Roman" w:hint="default"/>
                <w:sz w:val="18"/>
                <w:szCs w:val="18"/>
              </w:rPr>
            </w:pPr>
            <w:r>
              <w:rPr>
                <w:rFonts w:ascii="Times New Roman"/>
                <w:sz w:val="18"/>
              </w:rPr>
              <w:t>9.74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26,814,132.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756,917,85</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7.48</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3"/>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348,620.00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348,620.0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348,620.00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348,620.00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830,295,882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30,033,30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8.11</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800,262,5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74.88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784,080,60</w:t>
            </w:r>
          </w:p>
          <w:p>
            <w:pPr>
              <w:pStyle w:val="TableParagraph"/>
              <w:spacing w:line="240" w:lineRule="auto" w:before="105"/>
              <w:ind w:left="561" w:right="0"/>
              <w:jc w:val="left"/>
              <w:rPr>
                <w:rFonts w:ascii="Times New Roman" w:hAnsi="Times New Roman" w:cs="Times New Roman" w:eastAsia="Times New Roman" w:hint="default"/>
                <w:sz w:val="18"/>
                <w:szCs w:val="18"/>
              </w:rPr>
            </w:pPr>
            <w:r>
              <w:rPr>
                <w:rFonts w:ascii="Times New Roman"/>
                <w:sz w:val="18"/>
              </w:rPr>
              <w:t>9.74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27,162,752.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756,917,85</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7.48</w:t>
            </w:r>
          </w:p>
        </w:tc>
      </w:tr>
    </w:tbl>
    <w:p>
      <w:pPr>
        <w:spacing w:line="240" w:lineRule="auto" w:before="3"/>
        <w:rPr>
          <w:rFonts w:ascii="宋体" w:hAnsi="宋体" w:cs="宋体" w:eastAsia="宋体" w:hint="default"/>
          <w:sz w:val="5"/>
          <w:szCs w:val="5"/>
        </w:rPr>
      </w:pPr>
    </w:p>
    <w:p>
      <w:pPr>
        <w:pStyle w:val="Heading3"/>
        <w:spacing w:line="441" w:lineRule="auto" w:before="36"/>
        <w:ind w:left="573" w:right="0"/>
        <w:jc w:val="left"/>
      </w:pPr>
      <w:r>
        <w:rPr>
          <w:spacing w:val="-2"/>
        </w:rPr>
        <w:t>期末没有单项金额重大并单项计提坏账准备的应收账款。</w:t>
      </w:r>
      <w:r>
        <w:rPr>
          <w:spacing w:val="-55"/>
        </w:rPr>
        <w:t> </w:t>
      </w:r>
      <w:r>
        <w:rPr>
          <w:spacing w:val="-55"/>
        </w:rPr>
      </w:r>
      <w:r>
        <w:rPr/>
        <w:t>组合中，按账龄分析法计提坏账准备的应收账款：</w:t>
      </w:r>
    </w:p>
    <w:p>
      <w:pPr>
        <w:pStyle w:val="BodyText"/>
        <w:spacing w:line="240" w:lineRule="auto" w:before="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591,416,025.96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2,957,080.54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130,491,786.65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6,524,589.39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85,028,392.18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8,502,839.23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23,011,058.20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11,700,178.95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50.85%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7,047,395.88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2,114,218.78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12,755,404.32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6,377,702.17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3,208,258.00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3,208,258.00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829,947,262.99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29,684,688.11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bl>
    <w:p>
      <w:pPr>
        <w:spacing w:line="240" w:lineRule="auto" w:before="3"/>
        <w:rPr>
          <w:rFonts w:ascii="宋体" w:hAnsi="宋体" w:cs="宋体" w:eastAsia="宋体" w:hint="default"/>
          <w:sz w:val="5"/>
          <w:szCs w:val="5"/>
        </w:rPr>
      </w:pPr>
    </w:p>
    <w:p>
      <w:pPr>
        <w:pStyle w:val="Heading3"/>
        <w:spacing w:line="240" w:lineRule="auto" w:before="36"/>
        <w:ind w:left="573" w:right="0"/>
        <w:jc w:val="left"/>
      </w:pPr>
      <w:r>
        <w:rPr/>
        <w:t>确定该组合依据的说明：详见本附注五、</w:t>
      </w:r>
      <w:r>
        <w:rPr>
          <w:rFonts w:ascii="Times New Roman" w:hAnsi="Times New Roman" w:cs="Times New Roman" w:eastAsia="Times New Roman" w:hint="default"/>
          <w:sz w:val="18"/>
          <w:szCs w:val="18"/>
        </w:rPr>
        <w:t>11</w:t>
      </w:r>
      <w:r>
        <w:rPr/>
        <w:t>。</w:t>
      </w:r>
    </w:p>
    <w:p>
      <w:pPr>
        <w:spacing w:line="240" w:lineRule="auto" w:before="8"/>
        <w:rPr>
          <w:rFonts w:ascii="宋体" w:hAnsi="宋体" w:cs="宋体" w:eastAsia="宋体" w:hint="default"/>
          <w:sz w:val="31"/>
          <w:szCs w:val="31"/>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2</w:t>
      </w:r>
      <w:r>
        <w:rPr/>
        <w:t>）本期计提、收回或转回的坏账准备情况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本期计提坏账准备金额</w:t>
      </w:r>
      <w:r>
        <w:rPr>
          <w:spacing w:val="-54"/>
        </w:rPr>
        <w:t> </w:t>
      </w:r>
      <w:r>
        <w:rPr>
          <w:rFonts w:ascii="Times New Roman" w:hAnsi="Times New Roman" w:cs="Times New Roman" w:eastAsia="Times New Roman" w:hint="default"/>
        </w:rPr>
        <w:t>2,896,714.63</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3</w:t>
      </w:r>
      <w:r>
        <w:rPr/>
        <w:t>）本期实际核销的应收账款情况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49,042.32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pStyle w:val="Heading3"/>
        <w:spacing w:line="240" w:lineRule="auto" w:before="28"/>
        <w:ind w:right="0"/>
        <w:jc w:val="left"/>
      </w:pPr>
      <w:r>
        <w:rPr>
          <w:spacing w:val="-2"/>
        </w:rPr>
        <w:t>其中重要的应收账款核销情况：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160" w:left="980" w:right="980"/>
          <w:cols w:num="2" w:equalWidth="0">
            <w:col w:w="3098" w:space="5731"/>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7,680.00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6,010.00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750.00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4" w:right="0"/>
              <w:jc w:val="left"/>
              <w:rPr>
                <w:rFonts w:ascii="Times New Roman" w:hAnsi="Times New Roman" w:cs="Times New Roman" w:eastAsia="Times New Roman" w:hint="default"/>
                <w:sz w:val="18"/>
                <w:szCs w:val="18"/>
              </w:rPr>
            </w:pPr>
            <w:r>
              <w:rPr>
                <w:rFonts w:ascii="Times New Roman"/>
                <w:sz w:val="18"/>
              </w:rPr>
              <w:t>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单位十一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1,300.00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单位十二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单位十三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8,592.00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47,932.00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47"/>
        <w:ind w:right="0" w:firstLine="425"/>
        <w:jc w:val="left"/>
      </w:pPr>
      <w:r>
        <w:rPr>
          <w:spacing w:val="-2"/>
        </w:rPr>
        <w:t>按欠款方归集的期末余额前五名应收账款汇总金额</w:t>
      </w:r>
      <w:r>
        <w:rPr>
          <w:rFonts w:ascii="Times New Roman" w:hAnsi="Times New Roman" w:cs="Times New Roman" w:eastAsia="Times New Roman" w:hint="default"/>
          <w:spacing w:val="-2"/>
        </w:rPr>
        <w:t>211</w:t>
      </w:r>
      <w:r>
        <w:rPr>
          <w:rFonts w:ascii="宋体" w:hAnsi="宋体" w:cs="宋体" w:eastAsia="宋体" w:hint="default"/>
          <w:spacing w:val="-2"/>
        </w:rPr>
        <w:t>,</w:t>
      </w:r>
      <w:r>
        <w:rPr>
          <w:rFonts w:ascii="Times New Roman" w:hAnsi="Times New Roman" w:cs="Times New Roman" w:eastAsia="Times New Roman" w:hint="default"/>
          <w:spacing w:val="-2"/>
        </w:rPr>
        <w:t>991</w:t>
      </w:r>
      <w:r>
        <w:rPr>
          <w:rFonts w:ascii="宋体" w:hAnsi="宋体" w:cs="宋体" w:eastAsia="宋体" w:hint="default"/>
          <w:spacing w:val="-2"/>
        </w:rPr>
        <w:t>,</w:t>
      </w:r>
      <w:r>
        <w:rPr>
          <w:rFonts w:ascii="Times New Roman" w:hAnsi="Times New Roman" w:cs="Times New Roman" w:eastAsia="Times New Roman" w:hint="default"/>
          <w:spacing w:val="-2"/>
        </w:rPr>
        <w:t>189</w:t>
      </w:r>
      <w:r>
        <w:rPr>
          <w:rFonts w:ascii="宋体" w:hAnsi="宋体" w:cs="宋体" w:eastAsia="宋体" w:hint="default"/>
          <w:spacing w:val="-2"/>
        </w:rPr>
        <w:t>.</w:t>
      </w:r>
      <w:r>
        <w:rPr>
          <w:rFonts w:ascii="Times New Roman" w:hAnsi="Times New Roman" w:cs="Times New Roman" w:eastAsia="Times New Roman" w:hint="default"/>
          <w:spacing w:val="-2"/>
        </w:rPr>
        <w:t>86</w:t>
      </w:r>
      <w:r>
        <w:rPr>
          <w:spacing w:val="-2"/>
        </w:rPr>
        <w:t>元，占应收账款期末余额合计数的</w:t>
      </w:r>
      <w:r>
        <w:rPr>
          <w:w w:val="100"/>
        </w:rPr>
        <w:t> </w:t>
      </w:r>
      <w:r>
        <w:rPr/>
        <w:t>比例</w:t>
      </w:r>
      <w:r>
        <w:rPr>
          <w:rFonts w:ascii="Times New Roman" w:hAnsi="Times New Roman" w:cs="Times New Roman" w:eastAsia="Times New Roman" w:hint="default"/>
        </w:rPr>
        <w:t>25</w:t>
      </w:r>
      <w:r>
        <w:rPr>
          <w:rFonts w:ascii="宋体" w:hAnsi="宋体" w:cs="宋体" w:eastAsia="宋体" w:hint="default"/>
        </w:rPr>
        <w:t>.</w:t>
      </w:r>
      <w:r>
        <w:rPr>
          <w:rFonts w:ascii="Times New Roman" w:hAnsi="Times New Roman" w:cs="Times New Roman" w:eastAsia="Times New Roman" w:hint="default"/>
        </w:rPr>
        <w:t>54</w:t>
      </w:r>
      <w:r>
        <w:rPr>
          <w:rFonts w:ascii="宋体" w:hAnsi="宋体" w:cs="宋体" w:eastAsia="宋体" w:hint="default"/>
        </w:rPr>
        <w:t>%</w:t>
      </w:r>
      <w:r>
        <w:rPr/>
        <w:t>，相应计提的坏账准备期末余额汇总金额</w:t>
      </w:r>
      <w:r>
        <w:rPr>
          <w:rFonts w:ascii="Times New Roman" w:hAnsi="Times New Roman" w:cs="Times New Roman" w:eastAsia="Times New Roman" w:hint="default"/>
        </w:rPr>
        <w:t>8</w:t>
      </w:r>
      <w:r>
        <w:rPr>
          <w:rFonts w:ascii="宋体" w:hAnsi="宋体" w:cs="宋体" w:eastAsia="宋体" w:hint="default"/>
        </w:rPr>
        <w:t>,</w:t>
      </w:r>
      <w:r>
        <w:rPr>
          <w:rFonts w:ascii="Times New Roman" w:hAnsi="Times New Roman" w:cs="Times New Roman" w:eastAsia="Times New Roman" w:hint="default"/>
        </w:rPr>
        <w:t>830</w:t>
      </w:r>
      <w:r>
        <w:rPr>
          <w:rFonts w:ascii="宋体" w:hAnsi="宋体" w:cs="宋体" w:eastAsia="宋体" w:hint="default"/>
        </w:rPr>
        <w:t>,</w:t>
      </w:r>
      <w:r>
        <w:rPr>
          <w:rFonts w:ascii="Times New Roman" w:hAnsi="Times New Roman" w:cs="Times New Roman" w:eastAsia="Times New Roman" w:hint="default"/>
        </w:rPr>
        <w:t>818</w:t>
      </w:r>
      <w:r>
        <w:rPr>
          <w:rFonts w:ascii="宋体" w:hAnsi="宋体" w:cs="宋体" w:eastAsia="宋体" w:hint="default"/>
        </w:rPr>
        <w:t>.</w:t>
      </w:r>
      <w:r>
        <w:rPr>
          <w:rFonts w:ascii="Times New Roman" w:hAnsi="Times New Roman" w:cs="Times New Roman" w:eastAsia="Times New Roman" w:hint="default"/>
        </w:rPr>
        <w:t>80</w:t>
      </w:r>
      <w:r>
        <w:rPr/>
        <w:t>元。</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5</w:t>
      </w:r>
      <w:r>
        <w:rPr/>
        <w:t>）因金融资产转移而终止确认的应收账款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本期没有因金融资产转移而终止确认的应收账款。</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6</w:t>
      </w:r>
      <w:r>
        <w:rPr/>
        <w:t>）转移应收账款且继续涉入形成的资产、负债金额</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573" w:right="0"/>
        <w:jc w:val="left"/>
      </w:pPr>
      <w:r>
        <w:rPr/>
        <w:t>本期没有转移应收账款且继续涉入形成的资产、负债。</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4</w:t>
      </w:r>
      <w:r>
        <w:rPr/>
        <w:t>、预付款项</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）预付款项按账龄列示</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14,171,380.96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21,941,361.08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1,705,617.90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723,372.88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348,802.48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609,298.80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543,947.95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286,314.60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3"/>
        <w:gridCol w:w="1915"/>
        <w:gridCol w:w="1904"/>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16,769,749.29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23,560,347.36</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47"/>
        <w:ind w:right="0" w:firstLine="425"/>
        <w:jc w:val="left"/>
      </w:pPr>
      <w:r>
        <w:rPr>
          <w:spacing w:val="-2"/>
        </w:rPr>
        <w:t>按预付对象集中度归集的期末余额前五名预付款项汇总金额</w:t>
      </w:r>
      <w:r>
        <w:rPr>
          <w:rFonts w:ascii="Times New Roman" w:hAnsi="Times New Roman" w:cs="Times New Roman" w:eastAsia="Times New Roman" w:hint="default"/>
          <w:spacing w:val="-2"/>
        </w:rPr>
        <w:t>7</w:t>
      </w:r>
      <w:r>
        <w:rPr>
          <w:rFonts w:ascii="宋体" w:hAnsi="宋体" w:cs="宋体" w:eastAsia="宋体" w:hint="default"/>
          <w:spacing w:val="-2"/>
        </w:rPr>
        <w:t>,</w:t>
      </w:r>
      <w:r>
        <w:rPr>
          <w:rFonts w:ascii="Times New Roman" w:hAnsi="Times New Roman" w:cs="Times New Roman" w:eastAsia="Times New Roman" w:hint="default"/>
          <w:spacing w:val="-2"/>
        </w:rPr>
        <w:t>539</w:t>
      </w:r>
      <w:r>
        <w:rPr>
          <w:rFonts w:ascii="宋体" w:hAnsi="宋体" w:cs="宋体" w:eastAsia="宋体" w:hint="default"/>
          <w:spacing w:val="-2"/>
        </w:rPr>
        <w:t>,</w:t>
      </w:r>
      <w:r>
        <w:rPr>
          <w:rFonts w:ascii="Times New Roman" w:hAnsi="Times New Roman" w:cs="Times New Roman" w:eastAsia="Times New Roman" w:hint="default"/>
          <w:spacing w:val="-2"/>
        </w:rPr>
        <w:t>683</w:t>
      </w:r>
      <w:r>
        <w:rPr>
          <w:rFonts w:ascii="宋体" w:hAnsi="宋体" w:cs="宋体" w:eastAsia="宋体" w:hint="default"/>
          <w:spacing w:val="-2"/>
        </w:rPr>
        <w:t>.</w:t>
      </w:r>
      <w:r>
        <w:rPr>
          <w:rFonts w:ascii="Times New Roman" w:hAnsi="Times New Roman" w:cs="Times New Roman" w:eastAsia="Times New Roman" w:hint="default"/>
          <w:spacing w:val="-2"/>
        </w:rPr>
        <w:t>38</w:t>
      </w:r>
      <w:r>
        <w:rPr>
          <w:spacing w:val="-2"/>
        </w:rPr>
        <w:t>元，占预付款项期末余额合</w:t>
      </w:r>
      <w:r>
        <w:rPr>
          <w:w w:val="100"/>
        </w:rPr>
        <w:t> </w:t>
      </w:r>
      <w:r>
        <w:rPr/>
        <w:t>计数的比例</w:t>
      </w:r>
      <w:r>
        <w:rPr>
          <w:rFonts w:ascii="Times New Roman" w:hAnsi="Times New Roman" w:cs="Times New Roman" w:eastAsia="Times New Roman" w:hint="default"/>
        </w:rPr>
        <w:t>44</w:t>
      </w:r>
      <w:r>
        <w:rPr>
          <w:rFonts w:ascii="宋体" w:hAnsi="宋体" w:cs="宋体" w:eastAsia="宋体" w:hint="default"/>
        </w:rPr>
        <w:t>.</w:t>
      </w:r>
      <w:r>
        <w:rPr>
          <w:rFonts w:ascii="Times New Roman" w:hAnsi="Times New Roman" w:cs="Times New Roman" w:eastAsia="Times New Roman" w:hint="default"/>
        </w:rPr>
        <w:t>97</w:t>
      </w:r>
      <w:r>
        <w:rPr>
          <w:rFonts w:ascii="宋体" w:hAnsi="宋体" w:cs="宋体" w:eastAsia="宋体" w:hint="default"/>
        </w:rPr>
        <w:t>%</w:t>
      </w:r>
      <w:r>
        <w:rPr/>
        <w:t>。</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5</w:t>
      </w:r>
      <w:r>
        <w:rPr/>
        <w:t>、应收利息</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）应收利息分类</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194,917.81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194,917.81</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）重要逾期利息</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364" w:right="0"/>
        <w:jc w:val="left"/>
      </w:pPr>
      <w:r>
        <w:rPr/>
        <w:t>期末没有重要逾期利息。</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6</w:t>
      </w:r>
      <w:r>
        <w:rPr/>
        <w:t>、其他应收款</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）其他应收款分类披露</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1072"/>
        <w:gridCol w:w="566"/>
        <w:gridCol w:w="991"/>
        <w:gridCol w:w="566"/>
        <w:gridCol w:w="852"/>
        <w:gridCol w:w="850"/>
        <w:gridCol w:w="710"/>
        <w:gridCol w:w="850"/>
        <w:gridCol w:w="55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40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6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639" w:type="dxa"/>
            <w:gridSpan w:val="2"/>
            <w:vMerge/>
            <w:tcBorders>
              <w:left w:val="single" w:sz="4" w:space="0" w:color="000000"/>
              <w:bottom w:val="single" w:sz="4" w:space="0" w:color="000000"/>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107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99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107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1072" w:type="dxa"/>
            <w:tcBorders>
              <w:top w:val="single" w:sz="4" w:space="0" w:color="000000"/>
              <w:left w:val="single" w:sz="9"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102,534,835.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6,982,216.5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95,552,61</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91,731,62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93.39%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5,238,744.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86,492,878.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1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6,488,458.79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6,488,458.7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6,488,458.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6,488,458.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109,023,293.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13,470,675.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95,552,61</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8.54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98,220,08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2.50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11,727,20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3.53</w:t>
            </w:r>
          </w:p>
        </w:tc>
        <w:tc>
          <w:tcPr>
            <w:tcW w:w="5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86,492,878.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2"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5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44" w:lineRule="auto" w:before="36"/>
        <w:ind w:left="633" w:right="0"/>
        <w:jc w:val="left"/>
      </w:pPr>
      <w:r>
        <w:rPr>
          <w:spacing w:val="-2"/>
        </w:rPr>
        <w:t>期末没有单项金额重大并单项计提坏账准备的其他应收款。</w:t>
      </w:r>
      <w:r>
        <w:rPr>
          <w:spacing w:val="-55"/>
        </w:rPr>
        <w:t> </w:t>
      </w:r>
      <w:r>
        <w:rPr>
          <w:spacing w:val="-55"/>
        </w:rPr>
      </w:r>
      <w:r>
        <w:rPr/>
        <w:t>组合中，按账龄分析法计提坏账准备的其他应收款：</w:t>
      </w:r>
    </w:p>
    <w:p>
      <w:pPr>
        <w:pStyle w:val="BodyText"/>
        <w:spacing w:line="235" w:lineRule="exact"/>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368"/>
        <w:gridCol w:w="2404"/>
        <w:gridCol w:w="2393"/>
        <w:gridCol w:w="2393"/>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66,412,544.01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332,063.17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14,363,165.07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718,158.40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13,383,961.85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1,338,396.20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7,564,193.22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4,593,598.79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60.73%</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3,796,249.45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1,138,874.85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626,439.71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313,219.88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3,141,504.06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3,141,504.06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101,723,864.15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6,982,216.56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6.86%</w:t>
            </w:r>
          </w:p>
        </w:tc>
      </w:tr>
    </w:tbl>
    <w:p>
      <w:pPr>
        <w:spacing w:line="240" w:lineRule="auto" w:before="3"/>
        <w:rPr>
          <w:rFonts w:ascii="宋体" w:hAnsi="宋体" w:cs="宋体" w:eastAsia="宋体" w:hint="default"/>
          <w:sz w:val="5"/>
          <w:szCs w:val="5"/>
        </w:rPr>
      </w:pPr>
    </w:p>
    <w:p>
      <w:pPr>
        <w:pStyle w:val="Heading3"/>
        <w:spacing w:line="240" w:lineRule="auto" w:before="36"/>
        <w:ind w:left="212" w:right="0"/>
        <w:jc w:val="left"/>
      </w:pPr>
      <w:r>
        <w:rPr/>
        <w:t>确定该组合依据的说明：详见本附注五、</w:t>
      </w:r>
      <w:r>
        <w:rPr>
          <w:rFonts w:ascii="Times New Roman" w:hAnsi="Times New Roman" w:cs="Times New Roman" w:eastAsia="Times New Roman" w:hint="default"/>
          <w:sz w:val="18"/>
          <w:szCs w:val="18"/>
        </w:rPr>
        <w:t>11</w:t>
      </w:r>
      <w:r>
        <w:rPr/>
        <w:t>。</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0" w:footer="979" w:top="1100" w:bottom="1160" w:left="920" w:right="980"/>
        </w:sectPr>
      </w:pPr>
    </w:p>
    <w:p>
      <w:pPr>
        <w:pStyle w:val="Heading3"/>
        <w:spacing w:line="240" w:lineRule="auto" w:before="36"/>
        <w:ind w:left="212" w:right="0"/>
        <w:jc w:val="left"/>
      </w:pPr>
      <w:r>
        <w:rPr>
          <w:spacing w:val="-2"/>
        </w:rPr>
        <w:t>组合中，采用其他方法计提坏账准备的其他应收款：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pStyle w:val="BodyText"/>
        <w:spacing w:line="240" w:lineRule="auto"/>
        <w:ind w:left="212" w:right="0"/>
        <w:jc w:val="left"/>
      </w:pPr>
      <w:r>
        <w:rPr/>
        <w:t>单位：元</w:t>
      </w:r>
    </w:p>
    <w:p>
      <w:pPr>
        <w:spacing w:after="0" w:line="240" w:lineRule="auto"/>
        <w:jc w:val="left"/>
        <w:sectPr>
          <w:type w:val="continuous"/>
          <w:pgSz w:w="11910" w:h="16840"/>
          <w:pgMar w:top="1100" w:bottom="1160" w:left="920" w:right="980"/>
          <w:cols w:num="2" w:equalWidth="0">
            <w:col w:w="5048" w:space="3872"/>
            <w:col w:w="1090"/>
          </w:cols>
        </w:sectPr>
      </w:pP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340"/>
        <w:gridCol w:w="2480"/>
        <w:gridCol w:w="1985"/>
        <w:gridCol w:w="2696"/>
      </w:tblGrid>
      <w:tr>
        <w:trPr>
          <w:trHeight w:val="322" w:hRule="exact"/>
        </w:trPr>
        <w:tc>
          <w:tcPr>
            <w:tcW w:w="23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6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340" w:type="dxa"/>
            <w:vMerge/>
            <w:tcBorders>
              <w:left w:val="single" w:sz="4" w:space="0" w:color="000000"/>
              <w:bottom w:val="single" w:sz="4" w:space="0" w:color="000000"/>
              <w:right w:val="single" w:sz="4" w:space="0" w:color="000000"/>
            </w:tcBorders>
            <w:shd w:val="clear" w:color="auto" w:fill="D9D9D9"/>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自主加钞</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664</w:t>
            </w:r>
            <w:r>
              <w:rPr>
                <w:rFonts w:ascii="宋体"/>
                <w:spacing w:val="-1"/>
                <w:sz w:val="18"/>
              </w:rPr>
              <w:t>,</w:t>
            </w:r>
            <w:r>
              <w:rPr>
                <w:rFonts w:ascii="Times New Roman"/>
                <w:spacing w:val="-1"/>
                <w:sz w:val="18"/>
              </w:rPr>
              <w:t>490</w:t>
            </w:r>
            <w:r>
              <w:rPr>
                <w:rFonts w:ascii="宋体"/>
                <w:spacing w:val="-1"/>
                <w:sz w:val="18"/>
              </w:rPr>
              <w:t>.</w:t>
            </w:r>
            <w:r>
              <w:rPr>
                <w:rFonts w:ascii="Times New Roman"/>
                <w:spacing w:val="-1"/>
                <w:sz w:val="18"/>
              </w:rPr>
              <w:t>00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应收补贴款</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146</w:t>
            </w:r>
            <w:r>
              <w:rPr>
                <w:rFonts w:ascii="宋体"/>
                <w:spacing w:val="-1"/>
                <w:sz w:val="18"/>
              </w:rPr>
              <w:t>,</w:t>
            </w:r>
            <w:r>
              <w:rPr>
                <w:rFonts w:ascii="Times New Roman"/>
                <w:spacing w:val="-1"/>
                <w:sz w:val="18"/>
              </w:rPr>
              <w:t>480</w:t>
            </w:r>
            <w:r>
              <w:rPr>
                <w:rFonts w:ascii="宋体"/>
                <w:spacing w:val="-1"/>
                <w:sz w:val="18"/>
              </w:rPr>
              <w:t>.</w:t>
            </w:r>
            <w:r>
              <w:rPr>
                <w:rFonts w:ascii="Times New Roman"/>
                <w:spacing w:val="-1"/>
                <w:sz w:val="18"/>
              </w:rPr>
              <w:t>95</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810</w:t>
            </w:r>
            <w:r>
              <w:rPr>
                <w:rFonts w:ascii="宋体"/>
                <w:spacing w:val="-1"/>
                <w:sz w:val="18"/>
              </w:rPr>
              <w:t>,</w:t>
            </w:r>
            <w:r>
              <w:rPr>
                <w:rFonts w:ascii="Times New Roman"/>
                <w:spacing w:val="-1"/>
                <w:sz w:val="18"/>
              </w:rPr>
              <w:t>970</w:t>
            </w:r>
            <w:r>
              <w:rPr>
                <w:rFonts w:ascii="宋体"/>
                <w:spacing w:val="-1"/>
                <w:sz w:val="18"/>
              </w:rPr>
              <w:t>.</w:t>
            </w:r>
            <w:r>
              <w:rPr>
                <w:rFonts w:ascii="Times New Roman"/>
                <w:spacing w:val="-1"/>
                <w:sz w:val="18"/>
              </w:rPr>
              <w:t>95</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2</w:t>
      </w:r>
      <w:r>
        <w:rPr/>
        <w:t>）本期计提、收回或转回的坏账准备情况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27" w:right="0"/>
        <w:jc w:val="left"/>
      </w:pPr>
      <w:r>
        <w:rPr/>
        <w:t>本期计提坏账准备金额</w:t>
      </w:r>
      <w:r>
        <w:rPr>
          <w:spacing w:val="-54"/>
        </w:rPr>
        <w:t> </w:t>
      </w:r>
      <w:r>
        <w:rPr>
          <w:rFonts w:ascii="Times New Roman" w:hAnsi="Times New Roman" w:cs="Times New Roman" w:eastAsia="Times New Roman" w:hint="default"/>
        </w:rPr>
        <w:t>1,740,522.31</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12"/>
        <w:rPr>
          <w:rFonts w:ascii="宋体" w:hAnsi="宋体" w:cs="宋体" w:eastAsia="宋体" w:hint="default"/>
          <w:sz w:val="24"/>
          <w:szCs w:val="24"/>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3</w:t>
      </w:r>
      <w:r>
        <w:rPr/>
        <w:t>）本期实际核销的其他应收款情况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20" w:right="980"/>
        </w:sectPr>
      </w:pPr>
    </w:p>
    <w:p>
      <w:pPr>
        <w:pStyle w:val="Heading3"/>
        <w:spacing w:line="240" w:lineRule="auto" w:before="28"/>
        <w:ind w:left="212" w:right="0"/>
        <w:jc w:val="left"/>
      </w:pPr>
      <w:r>
        <w:rPr>
          <w:spacing w:val="-2"/>
        </w:rPr>
        <w:t>其中重要的其他应收款核销情况：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left="212" w:right="0"/>
        <w:jc w:val="left"/>
      </w:pPr>
      <w:r>
        <w:rPr/>
        <w:t>单位：元</w:t>
      </w:r>
    </w:p>
    <w:p>
      <w:pPr>
        <w:spacing w:after="0" w:line="240" w:lineRule="auto"/>
        <w:jc w:val="left"/>
        <w:sectPr>
          <w:type w:val="continuous"/>
          <w:pgSz w:w="11910" w:h="16840"/>
          <w:pgMar w:top="1100" w:bottom="1160" w:left="920" w:right="980"/>
          <w:cols w:num="2" w:equalWidth="0">
            <w:col w:w="3367" w:space="5553"/>
            <w:col w:w="1090"/>
          </w:cols>
        </w:sectPr>
      </w:pP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100" w:bottom="1160" w:left="92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83"/>
        <w:gridCol w:w="1619"/>
        <w:gridCol w:w="1582"/>
        <w:gridCol w:w="1595"/>
        <w:gridCol w:w="1595"/>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61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2,000.00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）其他应收款按款项性质分类情况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36,471,182.57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27,892,917.30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43,411,684.98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34,602,592.44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146,480.95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28,993,945.39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35,724,572.76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109,023,293.89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98,220,082.50</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12,812,595.00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64,062.98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4,684,234.66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4,684,234.66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2,730,655.13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13,653.28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29,057,484.79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6,324,950.92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6</w:t>
      </w:r>
      <w:r>
        <w:rPr/>
        <w:t>）涉及政府补助的应收款项</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700"/>
        <w:gridCol w:w="1277"/>
        <w:gridCol w:w="1277"/>
        <w:gridCol w:w="3193"/>
      </w:tblGrid>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1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146,480.95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、收取的时间：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月；</w:t>
            </w:r>
            <w:r>
              <w:rPr>
                <w:rFonts w:ascii="宋体" w:hAnsi="宋体" w:cs="宋体" w:eastAsia="宋体" w:hint="default"/>
                <w:sz w:val="18"/>
                <w:szCs w:val="18"/>
              </w:rPr>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、收取的金额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146,480.95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、依据出口退税的申报表核算。</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146,480.95</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7</w:t>
      </w:r>
      <w:r>
        <w:rPr/>
        <w:t>）因金融资产转移而终止确认的其他应收款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本期没有因金融资产转移而终止确认的其他应收款。</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8</w:t>
      </w:r>
      <w:r>
        <w:rPr/>
        <w:t>）转移其他应收款且继续涉入形成的资产、负债金额</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本期没有转移其他应收款且继续涉入形成的资产、负债。</w:t>
      </w:r>
    </w:p>
    <w:p>
      <w:pPr>
        <w:spacing w:line="240" w:lineRule="auto" w:before="4"/>
        <w:rPr>
          <w:rFonts w:ascii="宋体" w:hAnsi="宋体" w:cs="宋体" w:eastAsia="宋体" w:hint="default"/>
          <w:sz w:val="26"/>
          <w:szCs w:val="26"/>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7</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）存货分类</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218,075,213.62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3,738,027.87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214,337,185.75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211,172,615.47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274,234.69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210,898,380.78</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141,835,539.48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972,267.55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140,863,271.93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136,038,500.14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136,038,500.14</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1,609,893,072.50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45,625,586.09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1,564,267,486.41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1,557,825,263.33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16,829,982.37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1,540,995,280.96</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15,479,820.59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15,479,820.59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38,715,209.19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38,715,209.19</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1,985,283,646.19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50,335,881.51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1,934,947,764.68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1,943,751,588.13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17,104,217.06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1,926,647,371.07</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）存货跌价准备</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274,234.69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3,463,793.18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3,738,027.87</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972,267.55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972,267.55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16,829,982.37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33,151,221.38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4,299.64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4,359,917.30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45,625,586.09</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17,104,217.06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37,587,282.11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4,299.64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4,359,917.30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50,335,881.51</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8</w:t>
      </w:r>
      <w:r>
        <w:rPr/>
        <w:t>、其他流动资产</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23,255,952.58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10,585,234.22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2,372,100,000.00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2,107,503,258.71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4,162,606.79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4,544,710.76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股票交易预存金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8,079,847.63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2,407,598,407.00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2,122,633,203.69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9</w:t>
      </w:r>
      <w:r>
        <w:rPr/>
        <w:t>、可供出售金融资产</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1</w:t>
      </w:r>
      <w:r>
        <w:rPr/>
        <w:t>）可供出售金融资产情况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679"/>
        <w:gridCol w:w="1430"/>
        <w:gridCol w:w="1133"/>
        <w:gridCol w:w="1419"/>
        <w:gridCol w:w="1416"/>
        <w:gridCol w:w="1117"/>
        <w:gridCol w:w="1366"/>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6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1" w:type="dxa"/>
            <w:gridSpan w:val="3"/>
            <w:vMerge/>
            <w:tcBorders>
              <w:left w:val="single" w:sz="4" w:space="0" w:color="000000"/>
              <w:bottom w:val="single" w:sz="4" w:space="0" w:color="000000"/>
              <w:right w:val="single" w:sz="4" w:space="0" w:color="000000"/>
            </w:tcBorders>
            <w:shd w:val="clear" w:color="auto" w:fill="D2D2D2"/>
          </w:tcPr>
          <w:p>
            <w:pPr/>
          </w:p>
        </w:tc>
        <w:tc>
          <w:tcPr>
            <w:tcW w:w="389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430" w:type="dxa"/>
            <w:tcBorders>
              <w:top w:val="single" w:sz="4" w:space="0" w:color="000000"/>
              <w:left w:val="single" w:sz="12"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1,141,791,814.22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1,133,532,039.09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2,043,982,435.45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8,259,775.13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2,035,722,660.32</w:t>
            </w:r>
          </w:p>
        </w:tc>
      </w:tr>
      <w:tr>
        <w:trPr>
          <w:trHeight w:val="71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的</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1,080,145,915.44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1,080,145,915.44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2,002,248,536.67</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2,002,248,536.67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61,645,898.78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53,386,123.65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41,733,898.78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8,259,775.13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33,474,123.65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1,141,791,814.22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1,133,532,039.09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2,043,982,435.45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8,259,775.13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2,035,722,660.32</w:t>
            </w: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2</w:t>
      </w:r>
      <w:r>
        <w:rPr/>
        <w:t>）期末按公允价值计量的可供出售金融资产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112"/>
        <w:gridCol w:w="2693"/>
        <w:gridCol w:w="2696"/>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5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1,186,032,682.93</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1,186,032,682.93</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1,080,145,915.44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1,080,145,915.44</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-105,886,767.49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-105,886,767.49</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3</w:t>
      </w:r>
      <w:r>
        <w:rPr/>
        <w:t>）期末按成本计量的可供出售金融资产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77"/>
        <w:gridCol w:w="1133"/>
        <w:gridCol w:w="1136"/>
        <w:gridCol w:w="566"/>
        <w:gridCol w:w="1133"/>
        <w:gridCol w:w="1136"/>
        <w:gridCol w:w="425"/>
        <w:gridCol w:w="427"/>
        <w:gridCol w:w="1133"/>
        <w:gridCol w:w="708"/>
        <w:gridCol w:w="492"/>
      </w:tblGrid>
      <w:tr>
        <w:trPr>
          <w:trHeight w:val="402" w:hRule="exact"/>
        </w:trPr>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68"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08"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167" w:right="168"/>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tc>
        <w:tc>
          <w:tcPr>
            <w:tcW w:w="492"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151" w:right="149"/>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1561" w:hRule="exact"/>
        </w:trPr>
        <w:tc>
          <w:tcPr>
            <w:tcW w:w="1277" w:type="dxa"/>
            <w:vMerge/>
            <w:tcBorders>
              <w:left w:val="single" w:sz="4" w:space="0" w:color="000000"/>
              <w:bottom w:val="single" w:sz="4" w:space="0" w:color="000000"/>
              <w:right w:val="single" w:sz="4" w:space="0" w:color="000000"/>
            </w:tcBorders>
            <w:shd w:val="clear" w:color="auto" w:fill="D9D9D9"/>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87" w:right="187"/>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本 期 增 加</w:t>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17" w:right="119"/>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7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08" w:type="dxa"/>
            <w:vMerge/>
            <w:tcBorders>
              <w:left w:val="single" w:sz="4" w:space="0" w:color="000000"/>
              <w:bottom w:val="single" w:sz="4" w:space="0" w:color="000000"/>
              <w:right w:val="single" w:sz="4" w:space="0" w:color="000000"/>
            </w:tcBorders>
            <w:shd w:val="clear" w:color="auto" w:fill="D9D9D9"/>
          </w:tcPr>
          <w:p>
            <w:pPr/>
          </w:p>
        </w:tc>
        <w:tc>
          <w:tcPr>
            <w:tcW w:w="492" w:type="dxa"/>
            <w:vMerge/>
            <w:tcBorders>
              <w:left w:val="single" w:sz="4" w:space="0" w:color="000000"/>
              <w:bottom w:val="single" w:sz="4" w:space="0" w:color="000000"/>
              <w:right w:val="single" w:sz="4" w:space="0" w:color="000000"/>
            </w:tcBorders>
            <w:shd w:val="clear" w:color="auto" w:fill="D9D9D9"/>
          </w:tcPr>
          <w:p>
            <w:pP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珠海国信运 通股权投资 </w:t>
            </w:r>
            <w:r>
              <w:rPr>
                <w:rFonts w:ascii="宋体" w:hAnsi="宋体" w:cs="宋体" w:eastAsia="宋体" w:hint="default"/>
                <w:spacing w:val="-4"/>
                <w:sz w:val="18"/>
                <w:szCs w:val="18"/>
              </w:rPr>
              <w:t>基金（有限合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10,518,800.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19,512,000.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30,030,800.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48.78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GRG</w:t>
            </w:r>
          </w:p>
          <w:p>
            <w:pPr>
              <w:pStyle w:val="TableParagraph"/>
              <w:spacing w:line="362" w:lineRule="auto" w:before="102"/>
              <w:ind w:left="103" w:right="241"/>
              <w:jc w:val="left"/>
              <w:rPr>
                <w:rFonts w:ascii="Times New Roman" w:hAnsi="Times New Roman" w:cs="Times New Roman" w:eastAsia="Times New Roman" w:hint="default"/>
                <w:sz w:val="18"/>
                <w:szCs w:val="18"/>
              </w:rPr>
            </w:pPr>
            <w:r>
              <w:rPr>
                <w:rFonts w:ascii="Times New Roman"/>
                <w:sz w:val="18"/>
              </w:rPr>
              <w:t>International</w:t>
            </w:r>
            <w:r>
              <w:rPr>
                <w:rFonts w:ascii="Times New Roman"/>
                <w:w w:val="99"/>
                <w:sz w:val="18"/>
              </w:rPr>
              <w:t> </w:t>
            </w:r>
            <w:r>
              <w:rPr>
                <w:rFonts w:ascii="Times New Roman"/>
                <w:sz w:val="18"/>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8,615,098.7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8</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8,615,098.7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8,259,775.1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8,259,775.1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7.17%</w:t>
            </w: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277"/>
        <w:gridCol w:w="1133"/>
        <w:gridCol w:w="1136"/>
        <w:gridCol w:w="566"/>
        <w:gridCol w:w="1133"/>
        <w:gridCol w:w="1136"/>
        <w:gridCol w:w="425"/>
        <w:gridCol w:w="427"/>
        <w:gridCol w:w="1133"/>
        <w:gridCol w:w="708"/>
        <w:gridCol w:w="492"/>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广东安达金 融保安押运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5.00%</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262"/>
              <w:jc w:val="left"/>
              <w:rPr>
                <w:rFonts w:ascii="宋体" w:hAnsi="宋体" w:cs="宋体" w:eastAsia="宋体" w:hint="default"/>
                <w:sz w:val="18"/>
                <w:szCs w:val="18"/>
              </w:rPr>
            </w:pPr>
            <w:r>
              <w:rPr>
                <w:rFonts w:ascii="宋体" w:hAnsi="宋体" w:cs="宋体" w:eastAsia="宋体" w:hint="default"/>
                <w:sz w:val="18"/>
                <w:szCs w:val="18"/>
              </w:rPr>
              <w:t>资阳雁江农 村合作银行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1.00%</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浙江投融天 下投资管理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8.00%</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41,733,898.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19,912,000.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61,645,898.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8,259,775.1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8,259,775.1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4</w:t>
      </w:r>
      <w:r>
        <w:rPr/>
        <w:t>）报告期内可供出售金融资产减值的变动情况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665"/>
        <w:gridCol w:w="3129"/>
        <w:gridCol w:w="2835"/>
      </w:tblGrid>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3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4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31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p>
        </w:tc>
      </w:tr>
      <w:tr>
        <w:trPr>
          <w:trHeight w:val="40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3129" w:type="dxa"/>
            <w:tcBorders>
              <w:top w:val="single" w:sz="4" w:space="0" w:color="000000"/>
              <w:left w:val="single" w:sz="9" w:space="0" w:color="D2D2D2"/>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3129" w:type="dxa"/>
            <w:tcBorders>
              <w:top w:val="single" w:sz="4" w:space="0" w:color="000000"/>
              <w:left w:val="single" w:sz="9" w:space="0" w:color="D2D2D2"/>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129" w:type="dxa"/>
            <w:tcBorders>
              <w:top w:val="single" w:sz="4" w:space="0" w:color="000000"/>
              <w:left w:val="single" w:sz="9" w:space="0" w:color="D2D2D2"/>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3129" w:type="dxa"/>
            <w:tcBorders>
              <w:top w:val="single" w:sz="4" w:space="0" w:color="000000"/>
              <w:left w:val="single" w:sz="9" w:space="0" w:color="D2D2D2"/>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31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8,259,775.13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8,259,775.13</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10</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136"/>
        <w:gridCol w:w="850"/>
        <w:gridCol w:w="710"/>
        <w:gridCol w:w="567"/>
        <w:gridCol w:w="991"/>
        <w:gridCol w:w="710"/>
        <w:gridCol w:w="708"/>
        <w:gridCol w:w="1133"/>
        <w:gridCol w:w="566"/>
        <w:gridCol w:w="711"/>
        <w:gridCol w:w="991"/>
        <w:gridCol w:w="499"/>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098"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153" w:right="155"/>
              <w:jc w:val="both"/>
              <w:rPr>
                <w:rFonts w:ascii="宋体" w:hAnsi="宋体" w:cs="宋体" w:eastAsia="宋体" w:hint="default"/>
                <w:sz w:val="18"/>
                <w:szCs w:val="18"/>
              </w:rPr>
            </w:pPr>
            <w:r>
              <w:rPr>
                <w:rFonts w:ascii="宋体" w:hAnsi="宋体" w:cs="宋体" w:eastAsia="宋体" w:hint="default"/>
                <w:sz w:val="18"/>
                <w:szCs w:val="18"/>
              </w:rPr>
              <w:t>减 值 准 备 期 末 余 额</w:t>
            </w:r>
          </w:p>
        </w:tc>
      </w:tr>
      <w:tr>
        <w:trPr>
          <w:trHeight w:val="2185" w:hRule="exact"/>
        </w:trPr>
        <w:tc>
          <w:tcPr>
            <w:tcW w:w="1136"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0" w:right="168"/>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29" w:right="1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68"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0" w:right="110"/>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tcBorders>
              <w:left w:val="single" w:sz="4" w:space="0" w:color="000000"/>
              <w:bottom w:val="single" w:sz="4" w:space="0" w:color="000000"/>
              <w:right w:val="single" w:sz="4" w:space="0" w:color="000000"/>
            </w:tcBorders>
            <w:shd w:val="clear" w:color="auto" w:fill="D9D9D9"/>
          </w:tcPr>
          <w:p>
            <w:pPr/>
          </w:p>
        </w:tc>
        <w:tc>
          <w:tcPr>
            <w:tcW w:w="499"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广州市广百 小额贷款有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62,372,8</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76.52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1,723,274.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86</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1,366,794.8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62,729,35</w:t>
            </w:r>
          </w:p>
          <w:p>
            <w:pPr>
              <w:pStyle w:val="TableParagraph"/>
              <w:spacing w:line="240" w:lineRule="auto" w:before="105"/>
              <w:ind w:left="564" w:right="0"/>
              <w:jc w:val="left"/>
              <w:rPr>
                <w:rFonts w:ascii="Times New Roman" w:hAnsi="Times New Roman" w:cs="Times New Roman" w:eastAsia="Times New Roman" w:hint="default"/>
                <w:sz w:val="18"/>
                <w:szCs w:val="18"/>
              </w:rPr>
            </w:pPr>
            <w:r>
              <w:rPr>
                <w:rFonts w:ascii="Times New Roman"/>
                <w:sz w:val="18"/>
              </w:rPr>
              <w:t>6.53</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广州市力沛 企业管理咨 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1,335,75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5.91</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250,179.0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783,768.32</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802,166.6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136"/>
        <w:gridCol w:w="850"/>
        <w:gridCol w:w="710"/>
        <w:gridCol w:w="567"/>
        <w:gridCol w:w="991"/>
        <w:gridCol w:w="710"/>
        <w:gridCol w:w="708"/>
        <w:gridCol w:w="1133"/>
        <w:gridCol w:w="566"/>
        <w:gridCol w:w="711"/>
        <w:gridCol w:w="991"/>
        <w:gridCol w:w="499"/>
      </w:tblGrid>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深圳市国信 运通基金管 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2,460,81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5.30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93,263.57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2,554,078.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20"/>
              <w:jc w:val="both"/>
              <w:rPr>
                <w:rFonts w:ascii="宋体" w:hAnsi="宋体" w:cs="宋体" w:eastAsia="宋体" w:hint="default"/>
                <w:sz w:val="18"/>
                <w:szCs w:val="18"/>
              </w:rPr>
            </w:pPr>
            <w:r>
              <w:rPr>
                <w:rFonts w:ascii="宋体" w:hAnsi="宋体" w:cs="宋体" w:eastAsia="宋体" w:hint="default"/>
                <w:sz w:val="18"/>
                <w:szCs w:val="18"/>
              </w:rPr>
              <w:t>中山市保安 服务有限公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35,611,6</w:t>
            </w:r>
          </w:p>
          <w:p>
            <w:pPr>
              <w:pStyle w:val="TableParagraph"/>
              <w:spacing w:line="240" w:lineRule="auto" w:before="102"/>
              <w:ind w:left="333" w:right="0"/>
              <w:jc w:val="left"/>
              <w:rPr>
                <w:rFonts w:ascii="Times New Roman" w:hAnsi="Times New Roman" w:cs="Times New Roman" w:eastAsia="Times New Roman" w:hint="default"/>
                <w:sz w:val="18"/>
                <w:szCs w:val="18"/>
              </w:rPr>
            </w:pPr>
            <w:r>
              <w:rPr>
                <w:rFonts w:ascii="Times New Roman"/>
                <w:sz w:val="18"/>
              </w:rPr>
              <w:t>26.70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773,747.0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36,385,37</w:t>
            </w:r>
          </w:p>
          <w:p>
            <w:pPr>
              <w:pStyle w:val="TableParagraph"/>
              <w:spacing w:line="240" w:lineRule="auto" w:before="102"/>
              <w:ind w:left="564" w:right="0"/>
              <w:jc w:val="left"/>
              <w:rPr>
                <w:rFonts w:ascii="Times New Roman" w:hAnsi="Times New Roman" w:cs="Times New Roman" w:eastAsia="Times New Roman" w:hint="default"/>
                <w:sz w:val="18"/>
                <w:szCs w:val="18"/>
              </w:rPr>
            </w:pPr>
            <w:r>
              <w:rPr>
                <w:rFonts w:ascii="Times New Roman"/>
                <w:sz w:val="18"/>
              </w:rPr>
              <w:t>3.77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重庆中余锦 通科技有限 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-18,871.0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1,181,128.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98</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20"/>
              <w:jc w:val="both"/>
              <w:rPr>
                <w:rFonts w:ascii="宋体" w:hAnsi="宋体" w:cs="宋体" w:eastAsia="宋体" w:hint="default"/>
                <w:sz w:val="18"/>
                <w:szCs w:val="18"/>
              </w:rPr>
            </w:pPr>
            <w:r>
              <w:rPr>
                <w:rFonts w:ascii="宋体" w:hAnsi="宋体" w:cs="宋体" w:eastAsia="宋体" w:hint="default"/>
                <w:sz w:val="18"/>
                <w:szCs w:val="18"/>
              </w:rPr>
              <w:t>广东美电贝 尔科技集团 股份有限公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64,02</w:t>
            </w:r>
          </w:p>
          <w:p>
            <w:pPr>
              <w:pStyle w:val="TableParagraph"/>
              <w:spacing w:line="240" w:lineRule="auto" w:before="103"/>
              <w:ind w:left="146" w:right="0"/>
              <w:jc w:val="left"/>
              <w:rPr>
                <w:rFonts w:ascii="Times New Roman" w:hAnsi="Times New Roman" w:cs="Times New Roman" w:eastAsia="Times New Roman" w:hint="default"/>
                <w:sz w:val="18"/>
                <w:szCs w:val="18"/>
              </w:rPr>
            </w:pPr>
            <w:r>
              <w:rPr>
                <w:rFonts w:ascii="Times New Roman"/>
                <w:sz w:val="18"/>
              </w:rPr>
              <w:t>8,891.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48</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6,298,988.</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47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70,327,87</w:t>
            </w:r>
          </w:p>
          <w:p>
            <w:pPr>
              <w:pStyle w:val="TableParagraph"/>
              <w:spacing w:line="240" w:lineRule="auto" w:before="103"/>
              <w:ind w:left="564" w:right="0"/>
              <w:jc w:val="left"/>
              <w:rPr>
                <w:rFonts w:ascii="Times New Roman" w:hAnsi="Times New Roman" w:cs="Times New Roman" w:eastAsia="Times New Roman" w:hint="default"/>
                <w:sz w:val="18"/>
                <w:szCs w:val="18"/>
              </w:rPr>
            </w:pPr>
            <w:r>
              <w:rPr>
                <w:rFonts w:ascii="Times New Roman"/>
                <w:sz w:val="18"/>
              </w:rPr>
              <w:t>9.95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广州广电计 量检测股份 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12,066,07</w:t>
            </w:r>
          </w:p>
          <w:p>
            <w:pPr>
              <w:pStyle w:val="TableParagraph"/>
              <w:spacing w:line="240" w:lineRule="auto" w:before="105"/>
              <w:ind w:left="563" w:right="0"/>
              <w:jc w:val="left"/>
              <w:rPr>
                <w:rFonts w:ascii="Times New Roman" w:hAnsi="Times New Roman" w:cs="Times New Roman" w:eastAsia="Times New Roman" w:hint="default"/>
                <w:sz w:val="18"/>
                <w:szCs w:val="18"/>
              </w:rPr>
            </w:pPr>
            <w:r>
              <w:rPr>
                <w:rFonts w:ascii="Times New Roman"/>
                <w:sz w:val="18"/>
              </w:rPr>
              <w:t>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262,5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210,0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484,566,0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73.37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20"/>
              <w:jc w:val="both"/>
              <w:rPr>
                <w:rFonts w:ascii="宋体" w:hAnsi="宋体" w:cs="宋体" w:eastAsia="宋体" w:hint="default"/>
                <w:sz w:val="18"/>
                <w:szCs w:val="18"/>
              </w:rPr>
            </w:pPr>
            <w:r>
              <w:rPr>
                <w:rFonts w:ascii="宋体" w:hAnsi="宋体" w:cs="宋体" w:eastAsia="宋体" w:hint="default"/>
                <w:sz w:val="18"/>
                <w:szCs w:val="18"/>
              </w:rPr>
              <w:t>湖北融信押 运保安服务 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29,40</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-4,585,33</w:t>
            </w:r>
          </w:p>
          <w:p>
            <w:pPr>
              <w:pStyle w:val="TableParagraph"/>
              <w:spacing w:line="240" w:lineRule="auto" w:before="102"/>
              <w:ind w:left="563" w:right="0"/>
              <w:jc w:val="left"/>
              <w:rPr>
                <w:rFonts w:ascii="Times New Roman" w:hAnsi="Times New Roman" w:cs="Times New Roman" w:eastAsia="Times New Roman" w:hint="default"/>
                <w:sz w:val="18"/>
                <w:szCs w:val="18"/>
              </w:rPr>
            </w:pPr>
            <w:r>
              <w:rPr>
                <w:rFonts w:ascii="Times New Roman"/>
                <w:sz w:val="18"/>
              </w:rPr>
              <w:t>6.37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24,814,66</w:t>
            </w:r>
          </w:p>
          <w:p>
            <w:pPr>
              <w:pStyle w:val="TableParagraph"/>
              <w:spacing w:line="240" w:lineRule="auto" w:before="102"/>
              <w:ind w:left="564" w:right="0"/>
              <w:jc w:val="left"/>
              <w:rPr>
                <w:rFonts w:ascii="Times New Roman" w:hAnsi="Times New Roman" w:cs="Times New Roman" w:eastAsia="Times New Roman" w:hint="default"/>
                <w:sz w:val="18"/>
                <w:szCs w:val="18"/>
              </w:rPr>
            </w:pPr>
            <w:r>
              <w:rPr>
                <w:rFonts w:ascii="Times New Roman"/>
                <w:sz w:val="18"/>
              </w:rPr>
              <w:t>3.63</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江苏宝易通 信息科技有 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-593,671.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1,986,328.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20"/>
              <w:jc w:val="both"/>
              <w:rPr>
                <w:rFonts w:ascii="宋体" w:hAnsi="宋体" w:cs="宋体" w:eastAsia="宋体" w:hint="default"/>
                <w:sz w:val="18"/>
                <w:szCs w:val="18"/>
              </w:rPr>
            </w:pPr>
            <w:r>
              <w:rPr>
                <w:rFonts w:ascii="宋体" w:hAnsi="宋体" w:cs="宋体" w:eastAsia="宋体" w:hint="default"/>
                <w:sz w:val="18"/>
                <w:szCs w:val="18"/>
              </w:rPr>
              <w:t>广州辉远电 子技术有限 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1,750,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-327,010.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23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1,422,989.</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6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101,781,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074.43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98,95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8,891.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48</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15,680,63</w:t>
            </w:r>
          </w:p>
          <w:p>
            <w:pPr>
              <w:pStyle w:val="TableParagraph"/>
              <w:spacing w:line="240" w:lineRule="auto" w:before="105"/>
              <w:ind w:left="563" w:right="0"/>
              <w:jc w:val="left"/>
              <w:rPr>
                <w:rFonts w:ascii="Times New Roman" w:hAnsi="Times New Roman" w:cs="Times New Roman" w:eastAsia="Times New Roman" w:hint="default"/>
                <w:sz w:val="18"/>
                <w:szCs w:val="18"/>
              </w:rPr>
            </w:pPr>
            <w:r>
              <w:rPr>
                <w:rFonts w:ascii="Times New Roman"/>
                <w:sz w:val="18"/>
              </w:rPr>
              <w:t>7.10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262,5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2,150,563.1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210,0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686,770,0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39.84</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11</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1</w:t>
      </w:r>
      <w:r>
        <w:rPr/>
        <w:t>）采用成本计量模式的投资性房地产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46,835,520.98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46,835,520.98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14,409,008.16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14,409,008.16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14,409,008.16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14,409,008.16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4,689,625.50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4,689,625.50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4,689,625.50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4,689,625.50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56,554,903.64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56,554,903.64</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4,510,660.04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4,510,660.04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1,417,364.22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1,417,364.22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1,417,364.22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1,417,364.22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352,660.64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352,660.64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352,660.64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352,660.64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5,575,363.62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5,575,363.62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50,979,540.02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50,979,540.02</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42,324,860.94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42,324,860.94</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）未办妥产权证书的投资性房地产情况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期末没有未办妥产权证书的投资性房地产。</w:t>
      </w:r>
    </w:p>
    <w:p>
      <w:pPr>
        <w:spacing w:line="240" w:lineRule="auto" w:before="1"/>
        <w:rPr>
          <w:rFonts w:ascii="宋体" w:hAnsi="宋体" w:cs="宋体" w:eastAsia="宋体" w:hint="default"/>
          <w:sz w:val="26"/>
          <w:szCs w:val="26"/>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12</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9"/>
        <w:gridCol w:w="868"/>
        <w:gridCol w:w="869"/>
        <w:gridCol w:w="869"/>
        <w:gridCol w:w="869"/>
        <w:gridCol w:w="872"/>
        <w:gridCol w:w="869"/>
        <w:gridCol w:w="869"/>
        <w:gridCol w:w="869"/>
        <w:gridCol w:w="869"/>
        <w:gridCol w:w="858"/>
      </w:tblGrid>
      <w:tr>
        <w:trPr>
          <w:trHeight w:val="403" w:hRule="exact"/>
        </w:trPr>
        <w:tc>
          <w:tcPr>
            <w:tcW w:w="869"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8" w:type="dxa"/>
            <w:tcBorders>
              <w:top w:val="single" w:sz="4" w:space="0" w:color="000000"/>
              <w:left w:val="single" w:sz="12" w:space="0" w:color="D2D2D2"/>
              <w:bottom w:val="single" w:sz="4" w:space="0" w:color="000000"/>
              <w:right w:val="single" w:sz="4" w:space="0" w:color="000000"/>
            </w:tcBorders>
            <w:shd w:val="clear" w:color="auto" w:fill="D9D9D9"/>
          </w:tcPr>
          <w:p>
            <w:pPr>
              <w:pStyle w:val="TableParagraph"/>
              <w:spacing w:line="240" w:lineRule="auto" w:before="73"/>
              <w:ind w:left="57" w:right="0"/>
              <w:jc w:val="left"/>
              <w:rPr>
                <w:rFonts w:ascii="宋体" w:hAnsi="宋体" w:cs="宋体" w:eastAsia="宋体" w:hint="default"/>
                <w:sz w:val="18"/>
                <w:szCs w:val="18"/>
              </w:rPr>
            </w:pPr>
            <w:r>
              <w:rPr>
                <w:rFonts w:ascii="宋体" w:hAnsi="宋体" w:cs="宋体" w:eastAsia="宋体" w:hint="default"/>
                <w:sz w:val="18"/>
                <w:szCs w:val="18"/>
              </w:rPr>
              <w:t>房屋及建</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3"/>
              <w:ind w:left="69" w:right="0"/>
              <w:jc w:val="left"/>
              <w:rPr>
                <w:rFonts w:ascii="宋体" w:hAnsi="宋体" w:cs="宋体" w:eastAsia="宋体" w:hint="default"/>
                <w:sz w:val="18"/>
                <w:szCs w:val="18"/>
              </w:rPr>
            </w:pPr>
            <w:r>
              <w:rPr>
                <w:rFonts w:ascii="宋体" w:hAnsi="宋体" w:cs="宋体" w:eastAsia="宋体" w:hint="default"/>
                <w:sz w:val="18"/>
                <w:szCs w:val="18"/>
              </w:rPr>
              <w:t>营运业务</w:t>
            </w:r>
          </w:p>
        </w:tc>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68"/>
        <w:gridCol w:w="869"/>
        <w:gridCol w:w="869"/>
        <w:gridCol w:w="869"/>
        <w:gridCol w:w="869"/>
        <w:gridCol w:w="872"/>
        <w:gridCol w:w="869"/>
        <w:gridCol w:w="869"/>
        <w:gridCol w:w="869"/>
        <w:gridCol w:w="869"/>
        <w:gridCol w:w="869"/>
      </w:tblGrid>
      <w:tr>
        <w:trPr>
          <w:trHeight w:val="363" w:hRule="exact"/>
        </w:trPr>
        <w:tc>
          <w:tcPr>
            <w:tcW w:w="868" w:type="dxa"/>
            <w:tcBorders>
              <w:top w:val="single" w:sz="4" w:space="0" w:color="000000"/>
              <w:left w:val="single" w:sz="4" w:space="0" w:color="000000"/>
              <w:bottom w:val="single" w:sz="4" w:space="0" w:color="000000"/>
              <w:right w:val="single" w:sz="13" w:space="0" w:color="D9D9D9"/>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筑物</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ATM</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497,826,88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1.17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307,203,34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2.53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128,845,37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89,058,683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35,292,128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27,673,811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1,215,445.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9,149,369.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108,561,71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2.39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1,204,826,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751.18</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232,090,10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2.73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85,914,900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36,393,363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21,531,247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6,448,486.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982,443.69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678,847.53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13,767,898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397,807,28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9.55</w:t>
            </w: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85,188,101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33,800,623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17,437,384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19,054,115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5,545,727.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982,443.69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678,847.53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11,827,090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174,514,33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3.34</w:t>
            </w:r>
          </w:p>
        </w:tc>
      </w:tr>
      <w:tr>
        <w:trPr>
          <w:trHeight w:val="102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在建工程 转入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136,698,84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17,330,741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126,213.94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1,940,807.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156,096,61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0.71</w:t>
            </w:r>
          </w:p>
        </w:tc>
      </w:tr>
      <w:tr>
        <w:trPr>
          <w:trHeight w:val="1027"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 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10,203,153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52,114,277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1,625,238.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2,477,131.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776,544.92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67,196,345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27,344,465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5,347,624.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8,569,071.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327,726.49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1,928,730.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44,614,938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1028"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27,344,465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5,347,624.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8,569,071.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327,726.49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1,928,730.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44,614,938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729,916,98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365,773,77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159,891,11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102,020,85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40,646,654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28,328,528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1,215,445.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9,824,857.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120,400,87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1,558,019,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101.96</w:t>
            </w: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二、累计折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74,272,172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179,872,91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63,313,673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56,350,265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16,251,637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18,866,069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1,154,108.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5,285,920.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39,547,009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454,913,77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4.67</w:t>
            </w: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69"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20,286,131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71,256,944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26,600,142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18,509,673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3,364,489.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2,663,172.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272,622.33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21,619,176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164,633,68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9.51</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39,042,241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25,743,272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16,900,323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2,663,172.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272,622.33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21,619,176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127,914,49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8.88</w:t>
            </w:r>
          </w:p>
        </w:tc>
      </w:tr>
      <w:tr>
        <w:trPr>
          <w:trHeight w:val="1027" w:hRule="exact"/>
        </w:trPr>
        <w:tc>
          <w:tcPr>
            <w:tcW w:w="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19" w:firstLine="1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 加</w:t>
            </w:r>
          </w:p>
        </w:tc>
        <w:tc>
          <w:tcPr>
            <w:tcW w:w="869"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1,536,027.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32,214,702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856,870.77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1,609,350.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502,239.20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36,719,190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12" w:space="0" w:color="D9D9D9"/>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20,097,563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3,172,448.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6,922,534.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433,604.63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286,698.38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3,192.00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1,928,730.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32,844,772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1028"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20,097,563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3,172,448.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6,922,534.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433,604.63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286,698.38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3,192.00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1,928,730.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32,844,772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362"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94,558,304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231,032,29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86,741,367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67,937,405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19,182,521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21,242,543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1,215,445.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59,237,455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586,702,69</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8"/>
        <w:gridCol w:w="880"/>
        <w:gridCol w:w="869"/>
        <w:gridCol w:w="869"/>
        <w:gridCol w:w="869"/>
        <w:gridCol w:w="872"/>
        <w:gridCol w:w="869"/>
        <w:gridCol w:w="869"/>
        <w:gridCol w:w="869"/>
        <w:gridCol w:w="869"/>
        <w:gridCol w:w="869"/>
      </w:tblGrid>
      <w:tr>
        <w:trPr>
          <w:trHeight w:val="36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1.62</w:t>
            </w:r>
          </w:p>
        </w:tc>
      </w:tr>
      <w:tr>
        <w:trPr>
          <w:trHeight w:val="71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4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1,465,375.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1,564,826.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137,026.98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27,617.17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4,874,950.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71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22,443.46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491,995.51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66,206.15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57,092.77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639,066.89</w:t>
            </w:r>
          </w:p>
        </w:tc>
      </w:tr>
      <w:tr>
        <w:trPr>
          <w:trHeight w:val="715" w:hRule="exact"/>
        </w:trPr>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80" w:type="dxa"/>
            <w:tcBorders>
              <w:top w:val="single" w:sz="4" w:space="0" w:color="000000"/>
              <w:left w:val="single" w:sz="12" w:space="0" w:color="D9D9D9"/>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67,895.99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4,136.68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72,032.67</w:t>
            </w:r>
          </w:p>
        </w:tc>
      </w:tr>
      <w:tr>
        <w:trPr>
          <w:trHeight w:val="1025" w:hRule="exact"/>
        </w:trPr>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2"/>
              <w:ind w:left="24" w:right="8" w:firstLine="1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 加</w:t>
            </w:r>
          </w:p>
        </w:tc>
        <w:tc>
          <w:tcPr>
            <w:tcW w:w="880"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22,443.46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424,099.52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66,206.15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52,956.09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567,034.22</w:t>
            </w:r>
          </w:p>
        </w:tc>
      </w:tr>
      <w:tr>
        <w:trPr>
          <w:trHeight w:val="715" w:hRule="exact"/>
        </w:trPr>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4" w:right="10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80" w:type="dxa"/>
            <w:tcBorders>
              <w:top w:val="single" w:sz="4" w:space="0" w:color="000000"/>
              <w:left w:val="single" w:sz="12" w:space="0" w:color="D9D9D9"/>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509,927.51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4,136.68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514,064.19</w:t>
            </w:r>
          </w:p>
        </w:tc>
      </w:tr>
      <w:tr>
        <w:trPr>
          <w:trHeight w:val="102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509,927.51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4,136.68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514,064.19</w:t>
            </w:r>
          </w:p>
        </w:tc>
      </w:tr>
      <w:tr>
        <w:trPr>
          <w:trHeight w:val="716"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4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1,702,548.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1,447,443.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1,631,032.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189,983.07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27,617.17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4,999,952.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r>
      <w:tr>
        <w:trPr>
          <w:trHeight w:val="71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633,656,13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1.57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133,294,03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73,148,419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32,452,421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21,274,149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7,085,984.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61,163,424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966,316,45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7.46</w:t>
            </w:r>
          </w:p>
        </w:tc>
      </w:tr>
      <w:tr>
        <w:trPr>
          <w:trHeight w:val="71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421,874,60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125,865,05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65,531,703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31,143,591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8,807,741.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69,014,702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745,038,02</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6.33</w:t>
            </w:r>
          </w:p>
        </w:tc>
      </w:tr>
    </w:tbl>
    <w:p>
      <w:pPr>
        <w:spacing w:line="240" w:lineRule="auto" w:before="4"/>
        <w:rPr>
          <w:rFonts w:ascii="Times New Roman" w:hAnsi="Times New Roman" w:cs="Times New Roman" w:eastAsia="Times New Roman" w:hint="default"/>
          <w:sz w:val="22"/>
          <w:szCs w:val="22"/>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）暂时闲置的固定资产情况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期末没有暂时闲置的固定资产。</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3</w:t>
      </w:r>
      <w:r>
        <w:rPr/>
        <w:t>）通过融资租赁租入的固定资产情况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5" w:right="0"/>
        <w:jc w:val="left"/>
      </w:pPr>
      <w:r>
        <w:rPr/>
        <w:t>本期没有通过融资租赁租入的固定资产。</w:t>
      </w: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4</w:t>
      </w:r>
      <w:r>
        <w:rPr/>
        <w:t>）通过经营租赁租出的固定资产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本期没有通过经营租赁租出的固定资产。</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5</w:t>
      </w:r>
      <w:r>
        <w:rPr/>
        <w:t>）未办妥产权证书的固定资产情况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after="0" w:line="240" w:lineRule="auto"/>
        <w:jc w:val="right"/>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175,128,330.90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13</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1</w:t>
      </w:r>
      <w:r>
        <w:rPr/>
        <w:t>）在建工程情况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410"/>
        <w:gridCol w:w="1277"/>
        <w:gridCol w:w="850"/>
        <w:gridCol w:w="1277"/>
        <w:gridCol w:w="1418"/>
        <w:gridCol w:w="973"/>
        <w:gridCol w:w="1368"/>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37,911,641.60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37,911,641.60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18,427,899.14</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18,427,899.14</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广州金融外包服务总部平台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67,482,591.38</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67,482,591.38</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武汉浙商国际大厦</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45,606,097.23</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45,606,097.23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宜昌高端产业园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19,445,180.21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19,445,180.21</w:t>
            </w:r>
          </w:p>
        </w:tc>
        <w:tc>
          <w:tcPr>
            <w:tcW w:w="141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57,356,821.81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57,356,821.81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131,516,587.75</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131,516,587.75</w:t>
            </w: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2</w:t>
      </w:r>
      <w:r>
        <w:rPr/>
        <w:t>）重要在建工程项目本期变动情况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08"/>
        <w:gridCol w:w="852"/>
        <w:gridCol w:w="850"/>
        <w:gridCol w:w="853"/>
        <w:gridCol w:w="850"/>
        <w:gridCol w:w="708"/>
        <w:gridCol w:w="569"/>
        <w:gridCol w:w="708"/>
        <w:gridCol w:w="708"/>
        <w:gridCol w:w="708"/>
        <w:gridCol w:w="569"/>
        <w:gridCol w:w="816"/>
        <w:gridCol w:w="667"/>
      </w:tblGrid>
      <w:tr>
        <w:trPr>
          <w:trHeight w:val="3521"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8" w:right="168"/>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28" w:right="14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53" w:right="147"/>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48" w:right="14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7" w:right="168"/>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9" w:right="189"/>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8" w:right="168"/>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8" w:right="168"/>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7" w:right="168"/>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5" w:right="92" w:hanging="12"/>
              <w:jc w:val="center"/>
              <w:rPr>
                <w:rFonts w:ascii="宋体" w:hAnsi="宋体" w:cs="宋体" w:eastAsia="宋体" w:hint="default"/>
                <w:sz w:val="18"/>
                <w:szCs w:val="18"/>
              </w:rPr>
            </w:pPr>
            <w:r>
              <w:rPr>
                <w:rFonts w:ascii="宋体" w:hAnsi="宋体" w:cs="宋体" w:eastAsia="宋体" w:hint="default"/>
                <w:sz w:val="18"/>
                <w:szCs w:val="18"/>
              </w:rPr>
              <w:t>其 中： 本</w:t>
            </w:r>
          </w:p>
          <w:p>
            <w:pPr>
              <w:pStyle w:val="TableParagraph"/>
              <w:spacing w:line="316" w:lineRule="auto" w:before="19"/>
              <w:ind w:left="189" w:right="188"/>
              <w:jc w:val="both"/>
              <w:rPr>
                <w:rFonts w:ascii="宋体" w:hAnsi="宋体" w:cs="宋体" w:eastAsia="宋体" w:hint="default"/>
                <w:sz w:val="18"/>
                <w:szCs w:val="18"/>
              </w:rPr>
            </w:pPr>
            <w:r>
              <w:rPr>
                <w:rFonts w:ascii="宋体" w:hAnsi="宋体" w:cs="宋体" w:eastAsia="宋体" w:hint="default"/>
                <w:sz w:val="18"/>
                <w:szCs w:val="18"/>
              </w:rPr>
              <w:t>期 利 息 资 本 化 金 额</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2" w:right="132"/>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6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51" w:right="144"/>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9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3"/>
              <w:jc w:val="both"/>
              <w:rPr>
                <w:rFonts w:ascii="宋体" w:hAnsi="宋体" w:cs="宋体" w:eastAsia="宋体" w:hint="default"/>
                <w:sz w:val="18"/>
                <w:szCs w:val="18"/>
              </w:rPr>
            </w:pPr>
            <w:r>
              <w:rPr>
                <w:rFonts w:ascii="宋体" w:hAnsi="宋体" w:cs="宋体" w:eastAsia="宋体" w:hint="default"/>
                <w:sz w:val="18"/>
                <w:szCs w:val="18"/>
              </w:rPr>
              <w:t>广州 金融 外包 服务 总部 平台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89,838,5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96.48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67,482,5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91.38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22,356,0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89,838,5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96.48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91"/>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89,838,5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96.48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67,482,5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91.38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22,356,0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89,838,5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96.48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4"/>
        <w:rPr>
          <w:rFonts w:ascii="宋体" w:hAnsi="宋体" w:cs="宋体" w:eastAsia="宋体" w:hint="default"/>
          <w:sz w:val="21"/>
          <w:szCs w:val="21"/>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14</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5"/>
        <w:rPr>
          <w:rFonts w:ascii="宋体" w:hAnsi="宋体" w:cs="宋体" w:eastAsia="宋体" w:hint="default"/>
          <w:b/>
          <w:bCs/>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2554"/>
        <w:gridCol w:w="1841"/>
        <w:gridCol w:w="2552"/>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110,433,012.33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19,069,737.49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129,502,749.82</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34,021,983.48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5,303,804.52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39,325,788.00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34,017,779.35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4,008,865.95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38,026,645.30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）在建工程转入</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1,294,938.57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1,294,938.57</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4,204.13</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4,204.13</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7,800.00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7,800.00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7,800.00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7,800.00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144,454,995.81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24,365,742.01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168,820,737.82</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7,850,489.88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9,015,683.03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16,866,172.91</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2,393,682.95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3,872,025.06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6,265,708.01</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2,389,478.82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3,872,025.06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6,261,503.88</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4,204.13</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4,204.13</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7,800.00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7,800.00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7,800.00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7,800.00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10,244,172.83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12,879,908.09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23,124,080.92</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916.67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916.67</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916.67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916.67</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55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134,210,822.98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11,484,917.25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145,695,740.23</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102,582,522.45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10,053,137.79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112,635,660.24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pPr>
      <w:r>
        <w:rPr>
          <w:spacing w:val="-2"/>
        </w:rPr>
        <w:t>本期末通过公司内部研发形成的无形资产占无形资产余额的比例</w:t>
      </w:r>
      <w:r>
        <w:rPr>
          <w:spacing w:val="6"/>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1"/>
        </w:rPr>
        <w:t>%</w:t>
      </w:r>
      <w:r>
        <w:rPr>
          <w:spacing w:val="-1"/>
        </w:rPr>
        <w:t>。</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2</w:t>
      </w:r>
      <w:r>
        <w:rPr/>
        <w:t>）未办妥产权证书的土地使用权情况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34,017,779.35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15</w:t>
      </w:r>
      <w:r>
        <w:rPr>
          <w:rFonts w:ascii="宋体" w:hAnsi="宋体" w:cs="宋体" w:eastAsia="宋体" w:hint="default"/>
          <w:b/>
          <w:bCs/>
          <w:sz w:val="20"/>
          <w:szCs w:val="20"/>
        </w:rPr>
        <w:t>、开发支出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1419"/>
        <w:gridCol w:w="1133"/>
        <w:gridCol w:w="1277"/>
        <w:gridCol w:w="1416"/>
        <w:gridCol w:w="1985"/>
      </w:tblGrid>
      <w:tr>
        <w:trPr>
          <w:trHeight w:val="403" w:hRule="exact"/>
        </w:trPr>
        <w:tc>
          <w:tcPr>
            <w:tcW w:w="12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2" w:right="93"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开发项目支出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369,017,475.84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369,017,475.84</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369,017,475.84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369,017,475.84</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16</w:t>
      </w:r>
      <w:r>
        <w:rPr>
          <w:rFonts w:ascii="宋体" w:hAnsi="宋体" w:cs="宋体" w:eastAsia="宋体" w:hint="default"/>
          <w:b/>
          <w:bCs/>
          <w:sz w:val="20"/>
          <w:szCs w:val="20"/>
        </w:rPr>
        <w:t>、商誉</w:t>
      </w:r>
      <w:r>
        <w:rPr>
          <w:rFonts w:ascii="宋体" w:hAnsi="宋体" w:cs="宋体" w:eastAsia="宋体" w:hint="default"/>
          <w:sz w:val="20"/>
          <w:szCs w:val="20"/>
        </w:rPr>
      </w:r>
    </w:p>
    <w:p>
      <w:pPr>
        <w:spacing w:line="240" w:lineRule="auto" w:before="5"/>
        <w:rPr>
          <w:rFonts w:ascii="宋体" w:hAnsi="宋体" w:cs="宋体" w:eastAsia="宋体" w:hint="default"/>
          <w:b/>
          <w:bCs/>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555"/>
        <w:gridCol w:w="1288"/>
        <w:gridCol w:w="1416"/>
        <w:gridCol w:w="569"/>
        <w:gridCol w:w="566"/>
        <w:gridCol w:w="992"/>
        <w:gridCol w:w="1277"/>
      </w:tblGrid>
      <w:tr>
        <w:trPr>
          <w:trHeight w:val="206" w:hRule="exact"/>
        </w:trPr>
        <w:tc>
          <w:tcPr>
            <w:tcW w:w="3555" w:type="dxa"/>
            <w:tcBorders>
              <w:top w:val="single" w:sz="4" w:space="0" w:color="000000"/>
              <w:left w:val="single" w:sz="4" w:space="0" w:color="000000"/>
              <w:bottom w:val="nil" w:sz="6" w:space="0" w:color="auto"/>
              <w:right w:val="single" w:sz="4" w:space="0" w:color="000000"/>
            </w:tcBorders>
            <w:shd w:val="clear" w:color="auto" w:fill="D9D9D9"/>
          </w:tcPr>
          <w:p>
            <w:pPr/>
          </w:p>
        </w:tc>
        <w:tc>
          <w:tcPr>
            <w:tcW w:w="1288" w:type="dxa"/>
            <w:tcBorders>
              <w:top w:val="single" w:sz="4" w:space="0" w:color="000000"/>
              <w:left w:val="single" w:sz="4" w:space="0" w:color="000000"/>
              <w:bottom w:val="nil" w:sz="6" w:space="0" w:color="auto"/>
              <w:right w:val="single" w:sz="4" w:space="0" w:color="000000"/>
            </w:tcBorders>
            <w:shd w:val="clear" w:color="auto" w:fill="D9D9D9"/>
          </w:tcPr>
          <w:p>
            <w:pPr/>
          </w:p>
        </w:tc>
        <w:tc>
          <w:tcPr>
            <w:tcW w:w="1985"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vMerge w:val="restart"/>
            <w:tcBorders>
              <w:top w:val="single" w:sz="4" w:space="0" w:color="000000"/>
              <w:left w:val="single" w:sz="10" w:space="0" w:color="D9D9D9"/>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355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8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vMerge/>
            <w:tcBorders>
              <w:left w:val="single" w:sz="4" w:space="0" w:color="000000"/>
              <w:bottom w:val="single" w:sz="4" w:space="0" w:color="000000"/>
              <w:right w:val="single" w:sz="4" w:space="0" w:color="000000"/>
            </w:tcBorders>
            <w:shd w:val="clear" w:color="auto" w:fill="D9D9D9"/>
          </w:tcPr>
          <w:p>
            <w:pPr/>
          </w:p>
        </w:tc>
        <w:tc>
          <w:tcPr>
            <w:tcW w:w="1558" w:type="dxa"/>
            <w:gridSpan w:val="2"/>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10" w:space="0" w:color="D9D9D9"/>
              <w:right w:val="single" w:sz="4" w:space="0" w:color="000000"/>
            </w:tcBorders>
            <w:shd w:val="clear" w:color="auto" w:fill="D2D2D2"/>
          </w:tcPr>
          <w:p>
            <w:pPr/>
          </w:p>
        </w:tc>
      </w:tr>
      <w:tr>
        <w:trPr>
          <w:trHeight w:val="194" w:hRule="exact"/>
        </w:trPr>
        <w:tc>
          <w:tcPr>
            <w:tcW w:w="3555" w:type="dxa"/>
            <w:vMerge/>
            <w:tcBorders>
              <w:left w:val="single" w:sz="4" w:space="0" w:color="000000"/>
              <w:bottom w:val="nil" w:sz="6" w:space="0" w:color="auto"/>
              <w:right w:val="single" w:sz="4" w:space="0" w:color="000000"/>
            </w:tcBorders>
            <w:shd w:val="clear" w:color="auto" w:fill="D9D9D9"/>
          </w:tcPr>
          <w:p>
            <w:pPr/>
          </w:p>
        </w:tc>
        <w:tc>
          <w:tcPr>
            <w:tcW w:w="1288" w:type="dxa"/>
            <w:vMerge/>
            <w:tcBorders>
              <w:left w:val="single" w:sz="4" w:space="0" w:color="000000"/>
              <w:bottom w:val="nil" w:sz="6" w:space="0" w:color="auto"/>
              <w:right w:val="single" w:sz="4" w:space="0" w:color="000000"/>
            </w:tcBorders>
            <w:shd w:val="clear" w:color="auto" w:fill="D9D9D9"/>
          </w:tcPr>
          <w:p>
            <w:pPr/>
          </w:p>
        </w:tc>
        <w:tc>
          <w:tcPr>
            <w:tcW w:w="14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10" w:space="0" w:color="D9D9D9"/>
              <w:right w:val="single" w:sz="4" w:space="0" w:color="000000"/>
            </w:tcBorders>
            <w:shd w:val="clear" w:color="auto" w:fill="D2D2D2"/>
          </w:tcPr>
          <w:p>
            <w:pPr/>
          </w:p>
        </w:tc>
      </w:tr>
      <w:tr>
        <w:trPr>
          <w:trHeight w:val="206" w:hRule="exact"/>
        </w:trPr>
        <w:tc>
          <w:tcPr>
            <w:tcW w:w="3555" w:type="dxa"/>
            <w:tcBorders>
              <w:top w:val="nil" w:sz="6" w:space="0" w:color="auto"/>
              <w:left w:val="single" w:sz="4" w:space="0" w:color="000000"/>
              <w:bottom w:val="single" w:sz="4" w:space="0" w:color="000000"/>
              <w:right w:val="single" w:sz="4" w:space="0" w:color="000000"/>
            </w:tcBorders>
            <w:shd w:val="clear" w:color="auto" w:fill="D9D9D9"/>
          </w:tcPr>
          <w:p>
            <w:pPr/>
          </w:p>
        </w:tc>
        <w:tc>
          <w:tcPr>
            <w:tcW w:w="1288"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6" w:type="dxa"/>
            <w:vMerge/>
            <w:tcBorders>
              <w:left w:val="single" w:sz="4" w:space="0" w:color="000000"/>
              <w:bottom w:val="single" w:sz="4" w:space="0" w:color="000000"/>
              <w:right w:val="single" w:sz="4" w:space="0" w:color="000000"/>
            </w:tcBorders>
            <w:shd w:val="clear" w:color="auto" w:fill="D9D9D9"/>
          </w:tcPr>
          <w:p>
            <w:pPr/>
          </w:p>
        </w:tc>
        <w:tc>
          <w:tcPr>
            <w:tcW w:w="569"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992"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10" w:space="0" w:color="D9D9D9"/>
              <w:bottom w:val="single" w:sz="4" w:space="0" w:color="000000"/>
              <w:right w:val="single" w:sz="4" w:space="0" w:color="000000"/>
            </w:tcBorders>
            <w:shd w:val="clear" w:color="auto" w:fill="D2D2D2"/>
          </w:tcPr>
          <w:p>
            <w:pP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946,852.52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946,852.52</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104,450,394.76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104,450,394.76</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69,022.39</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69,022.39</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7,349,628.70</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7,349,628.70</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86,016,126.37</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86,016,126.37</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13,860,917.93</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13,860,917.93</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707,499.91</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707,499.91</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20,020,597.80</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20,020,597.80</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32,676,926.40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15,637,856.63</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782,345.57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14,855,511.06</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10,054,173.17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10,054,173.17</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10,797,386.84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10,797,386.84</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文山州金盾保安守护押运有限责任公司</w:t>
            </w:r>
          </w:p>
        </w:tc>
        <w:tc>
          <w:tcPr>
            <w:tcW w:w="128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11,486,574.62</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11,486,574.62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3578"/>
        <w:gridCol w:w="1277"/>
        <w:gridCol w:w="1416"/>
        <w:gridCol w:w="569"/>
        <w:gridCol w:w="566"/>
        <w:gridCol w:w="992"/>
        <w:gridCol w:w="1277"/>
      </w:tblGrid>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1,374,476.82</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1,374,476.82</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5,305,011.05</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5,305,011.05</w:t>
            </w:r>
          </w:p>
        </w:tc>
      </w:tr>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4,316,476.36</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4,316,476.36</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3,714,303.14</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3,714,303.14</w:t>
            </w:r>
          </w:p>
        </w:tc>
      </w:tr>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20,677,686.66</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20,677,686.66</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53,971,925.17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53,971,925.17</w:t>
            </w:r>
          </w:p>
        </w:tc>
      </w:tr>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黄石市金安押运保安服务有限公司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14,425,818.16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14,425,818.16</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16,044,354.43</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16,044,354.43</w:t>
            </w:r>
          </w:p>
        </w:tc>
      </w:tr>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4,530,121.22</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4,530,121.22</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117,975,035.01</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117,975,035.01</w:t>
            </w:r>
          </w:p>
        </w:tc>
      </w:tr>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4,188,062.71</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4,188,062.71</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3,485,556.41</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3,485,556.41</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403,433,837.24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160,648,947.94</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782,345.57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563,300,439.61</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）商誉减值准备</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1277"/>
        <w:gridCol w:w="1985"/>
        <w:gridCol w:w="1982"/>
        <w:gridCol w:w="2199"/>
      </w:tblGrid>
      <w:tr>
        <w:trPr>
          <w:trHeight w:val="8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本期处置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32,676,926.40</w:t>
            </w:r>
          </w:p>
        </w:tc>
        <w:tc>
          <w:tcPr>
            <w:tcW w:w="1982"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32,676,926.40</w:t>
            </w:r>
          </w:p>
        </w:tc>
        <w:tc>
          <w:tcPr>
            <w:tcW w:w="1982"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32,676,926.40</w:t>
            </w:r>
          </w:p>
        </w:tc>
      </w:tr>
    </w:tbl>
    <w:p>
      <w:pPr>
        <w:pStyle w:val="Heading3"/>
        <w:spacing w:line="307" w:lineRule="auto" w:before="28"/>
        <w:ind w:left="573" w:right="0"/>
        <w:jc w:val="left"/>
      </w:pPr>
      <w:r>
        <w:rPr/>
        <w:t>说明商誉减值测试过程、参数及商誉减值损失的确认方法：</w:t>
      </w:r>
      <w:r>
        <w:rPr>
          <w:w w:val="100"/>
        </w:rPr>
        <w:t> </w:t>
      </w:r>
      <w:r>
        <w:rPr>
          <w:spacing w:val="-2"/>
        </w:rPr>
        <w:t>公司收购西安金盾股权的价格是基于未来盈利能力确定的，通过对其未来盈利能力预测，按照谨慎性</w:t>
      </w:r>
    </w:p>
    <w:p>
      <w:pPr>
        <w:pStyle w:val="Heading3"/>
        <w:spacing w:line="253" w:lineRule="exact"/>
        <w:ind w:right="0"/>
        <w:jc w:val="left"/>
      </w:pPr>
      <w:r>
        <w:rPr/>
        <w:t>原则，对股权价值与投资款之间的差异小于收购日确认的商誉，确认商誉减值。</w:t>
      </w:r>
    </w:p>
    <w:p>
      <w:pPr>
        <w:spacing w:line="240" w:lineRule="auto" w:before="4"/>
        <w:rPr>
          <w:rFonts w:ascii="宋体" w:hAnsi="宋体" w:cs="宋体" w:eastAsia="宋体" w:hint="default"/>
          <w:sz w:val="26"/>
          <w:szCs w:val="26"/>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17</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场地装修改造费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23,462,703.90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7,424,621.43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11,593,262.56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19,294,062.77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23,462,703.90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7,424,621.43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11,593,262.56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19,294,062.77</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）未经抵销的递延所得税资产</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3545"/>
        <w:gridCol w:w="3180"/>
      </w:tblGrid>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4"/>
        <w:gridCol w:w="1985"/>
        <w:gridCol w:w="1560"/>
        <w:gridCol w:w="1702"/>
        <w:gridCol w:w="1490"/>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99,382,151.87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16,511,216.17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59,950,989.58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10,267,435.01</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46,516,106.60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6,977,415.99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48,673,205.40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7,300,980.81</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42,615,306.00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4" w:right="0"/>
              <w:jc w:val="left"/>
              <w:rPr>
                <w:rFonts w:ascii="Times New Roman" w:hAnsi="Times New Roman" w:cs="Times New Roman" w:eastAsia="Times New Roman" w:hint="default"/>
                <w:sz w:val="18"/>
                <w:szCs w:val="18"/>
              </w:rPr>
            </w:pPr>
            <w:r>
              <w:rPr>
                <w:rFonts w:ascii="Times New Roman"/>
                <w:sz w:val="18"/>
              </w:rPr>
              <w:t>7,358,383.45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74,029,643.10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16,158,477.66</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151,492,131.98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23,555,415.73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101,792,267.04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15,900,061.82</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预提性费用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77,992,567.71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11,783,605.54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97,298,406.09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14,594,760.91</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70,117,348.52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10,709,553.08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76,387,546.41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11,615,762.71</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35,663,974.56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4" w:right="0"/>
              <w:jc w:val="left"/>
              <w:rPr>
                <w:rFonts w:ascii="Times New Roman" w:hAnsi="Times New Roman" w:cs="Times New Roman" w:eastAsia="Times New Roman" w:hint="default"/>
                <w:sz w:val="18"/>
                <w:szCs w:val="18"/>
              </w:rPr>
            </w:pPr>
            <w:r>
              <w:rPr>
                <w:rFonts w:ascii="Times New Roman"/>
                <w:sz w:val="18"/>
              </w:rPr>
              <w:t>5,349,596.18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105,886,767.49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15,883,015.12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629,666,354.73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98,128,201.26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458,132,057.62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75,837,478.92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）未经抵销的递延所得税负债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63"/>
        <w:gridCol w:w="1841"/>
        <w:gridCol w:w="1419"/>
        <w:gridCol w:w="1702"/>
        <w:gridCol w:w="1349"/>
      </w:tblGrid>
      <w:tr>
        <w:trPr>
          <w:trHeight w:val="206" w:hRule="exact"/>
        </w:trPr>
        <w:tc>
          <w:tcPr>
            <w:tcW w:w="3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32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2"/>
            <w:vMerge/>
            <w:tcBorders>
              <w:left w:val="single" w:sz="4" w:space="0" w:color="000000"/>
              <w:bottom w:val="single" w:sz="4" w:space="0" w:color="000000"/>
              <w:right w:val="single" w:sz="4" w:space="0" w:color="000000"/>
            </w:tcBorders>
            <w:shd w:val="clear" w:color="auto" w:fill="D2D2D2"/>
          </w:tcPr>
          <w:p>
            <w:pPr/>
          </w:p>
        </w:tc>
        <w:tc>
          <w:tcPr>
            <w:tcW w:w="305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63" w:type="dxa"/>
            <w:vMerge/>
            <w:tcBorders>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3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8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30,409,792.88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7,490,352.43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26,485,052.98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6,581,482.04</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8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146,145,933.59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21,921,890.04</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292,909,792.88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46,865,352.43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172,630,986.57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28,503,372.08</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3</w:t>
      </w:r>
      <w:r>
        <w:rPr/>
        <w:t>）以抵销后净额列示的递延所得税资产或负债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316" w:lineRule="auto" w:before="51"/>
              <w:ind w:left="412" w:right="36"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98,128,201.26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75,837,478.92</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46,865,352.43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28,503,372.08</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）未确认递延所得税资产明细</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553,950.97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2,061,451.00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75,038,523.78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29,081,423.33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75,592,474.75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31,142,874.33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5</w:t>
      </w:r>
      <w:r>
        <w:rPr/>
        <w:t>）未确认递延所得税资产的可抵扣亏损将于以下年度到期</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14" w:space="0" w:color="D2D2D2"/>
            </w:tcBorders>
            <w:shd w:val="clear" w:color="auto" w:fill="D9D9D9"/>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3,010,936.38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11,892,395.22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12,238,214.29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10,010,615.67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10,010,615.67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15,529,251.58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3,821,656.99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28,178,358.17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9,427,903.14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75,038,523.78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29,081,423.33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19</w:t>
      </w:r>
      <w:r>
        <w:rPr/>
        <w:t>、其他非流动资产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33,415,580.45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76,894,625.29</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33,415,580.45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86,894,625.29</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20</w:t>
      </w:r>
      <w:r>
        <w:rPr>
          <w:rFonts w:ascii="宋体" w:hAnsi="宋体" w:cs="宋体" w:eastAsia="宋体" w:hint="default"/>
          <w:b/>
          <w:bCs/>
          <w:sz w:val="20"/>
          <w:szCs w:val="20"/>
        </w:rPr>
        <w:t>、短期借款</w:t>
      </w:r>
      <w:r>
        <w:rPr>
          <w:rFonts w:ascii="宋体" w:hAnsi="宋体" w:cs="宋体" w:eastAsia="宋体" w:hint="default"/>
          <w:sz w:val="20"/>
          <w:szCs w:val="2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）短期借款分类</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3,871,592.79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35,870,110.14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35,870,110.14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3,871,592.79</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）已逾期未偿还的短期借款情况</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573" w:right="0"/>
        <w:jc w:val="left"/>
      </w:pPr>
      <w:r>
        <w:rPr/>
        <w:t>本期末没有已逾期未偿还的短期借款。</w:t>
      </w:r>
    </w:p>
    <w:p>
      <w:pPr>
        <w:spacing w:line="240" w:lineRule="auto" w:before="4"/>
        <w:rPr>
          <w:rFonts w:ascii="宋体" w:hAnsi="宋体" w:cs="宋体" w:eastAsia="宋体" w:hint="default"/>
          <w:sz w:val="26"/>
          <w:szCs w:val="26"/>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21</w:t>
      </w:r>
      <w:r>
        <w:rPr>
          <w:rFonts w:ascii="宋体" w:hAnsi="宋体" w:cs="宋体" w:eastAsia="宋体" w:hint="default"/>
          <w:b/>
          <w:bCs/>
          <w:sz w:val="20"/>
          <w:szCs w:val="20"/>
        </w:rPr>
        <w:t>、应付票据</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6" w:type="dxa"/>
        <w:tblLayout w:type="fixed"/>
        <w:tblCellMar>
          <w:top w:w="0" w:type="dxa"/>
          <w:left w:w="0" w:type="dxa"/>
          <w:bottom w:w="0" w:type="dxa"/>
          <w:right w:w="0" w:type="dxa"/>
        </w:tblCellMar>
        <w:tblLook w:val="01E0"/>
      </w:tblPr>
      <w:tblGrid>
        <w:gridCol w:w="3159"/>
        <w:gridCol w:w="3203"/>
        <w:gridCol w:w="3190"/>
      </w:tblGrid>
      <w:tr>
        <w:trPr>
          <w:trHeight w:val="404"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69,445,798.97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109,755,548.59</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69,445,798.97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109,755,548.59</w:t>
            </w:r>
          </w:p>
        </w:tc>
      </w:tr>
    </w:tbl>
    <w:p>
      <w:pPr>
        <w:pStyle w:val="Heading3"/>
        <w:spacing w:line="240" w:lineRule="auto" w:before="28"/>
        <w:ind w:right="0"/>
        <w:jc w:val="left"/>
      </w:pPr>
      <w:r>
        <w:rPr/>
        <w:t>本期末已到期未支付的应付票据总额为</w:t>
      </w:r>
      <w:r>
        <w:rPr>
          <w:spacing w:val="-55"/>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spacing w:val="-3"/>
        </w:rPr>
        <w:t>元。</w:t>
      </w:r>
      <w:r>
        <w:rPr/>
      </w:r>
    </w:p>
    <w:p>
      <w:pPr>
        <w:spacing w:line="240" w:lineRule="auto" w:before="12"/>
        <w:rPr>
          <w:rFonts w:ascii="宋体" w:hAnsi="宋体" w:cs="宋体" w:eastAsia="宋体" w:hint="default"/>
          <w:sz w:val="24"/>
          <w:szCs w:val="24"/>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22</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）应付账款列示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425,162,995.01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494,495,665.02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8,886,763.87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5,080,332.77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1,714,184.29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6,433,895.47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1,997,130.01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2,312,782.96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437,761,073.18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508,322,676.22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）账龄超过</w:t>
      </w:r>
      <w:r>
        <w:rPr>
          <w:spacing w:val="-51"/>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t>年的重要应付账款</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3,254,676.02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4,766,676.02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23</w:t>
      </w:r>
      <w:r>
        <w:rPr>
          <w:rFonts w:ascii="宋体" w:hAnsi="宋体" w:cs="宋体" w:eastAsia="宋体" w:hint="default"/>
          <w:b/>
          <w:bCs/>
          <w:sz w:val="20"/>
          <w:szCs w:val="20"/>
        </w:rPr>
        <w:t>、预收款项</w:t>
      </w:r>
      <w:r>
        <w:rPr>
          <w:rFonts w:ascii="宋体" w:hAnsi="宋体" w:cs="宋体" w:eastAsia="宋体" w:hint="default"/>
          <w:sz w:val="20"/>
          <w:szCs w:val="2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）预收款项列示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1,377,111,746.34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1,421,037,568.28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331,165,278.97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39,010,234.47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14,230,328.74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1,057,129.75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2,287,379.61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1,334,638.39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1,724,794,733.66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1,462,439,570.89</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）账龄超过</w:t>
      </w:r>
      <w:r>
        <w:rPr>
          <w:spacing w:val="-51"/>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t>年的重要预收款项</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30,027,885.85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13,263,172.18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12,784,936.76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10,462,741.44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10,131,686.33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76,670,422.56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24</w:t>
      </w:r>
      <w:r>
        <w:rPr>
          <w:rFonts w:ascii="宋体" w:hAnsi="宋体" w:cs="宋体" w:eastAsia="宋体" w:hint="default"/>
          <w:b/>
          <w:bCs/>
          <w:sz w:val="20"/>
          <w:szCs w:val="20"/>
        </w:rPr>
        <w:t>、应付职工薪酬</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）应付职工薪酬列示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1570"/>
        <w:gridCol w:w="1844"/>
        <w:gridCol w:w="1561"/>
        <w:gridCol w:w="1490"/>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363,190,305.20</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1,707,974,099.92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1,641,620,926.43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429,543,478.69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4,090,908.32</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114,348,436.21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117,437,159.78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1,002,184.75</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362,631.00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362,631.00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367,281,213.52</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1,822,685,167.13</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1,759,420,717.21</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430,545,663.44</w:t>
            </w:r>
            <w:r>
              <w:rPr>
                <w:rFonts w:ascii="Times New Roman"/>
                <w:sz w:val="18"/>
              </w:rPr>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）短期薪酬列示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854"/>
        <w:gridCol w:w="1702"/>
        <w:gridCol w:w="1702"/>
        <w:gridCol w:w="1490"/>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358,857,544.54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1,526,486,700.79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1,460,364,784.41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424,979,460.92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2,465,472.76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63,799,001.41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63,462,780.40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2,801,693.77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1,016,088.89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59,018,841.04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59,531,018.19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503,911.74</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704,948.04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50,502,702.84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50,777,314.89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430,335.99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234,320.46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3,712,860.00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3,914,683.62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32,496.84</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76,820.39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4,803,278.20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4,839,019.68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41,078.91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37,067.80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49,694,308.91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49,305,389.71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425,987.00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814,131.21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8,975,247.77</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8,956,953.72</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832,425.26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363,190,305.20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1,707,974,099.92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1,641,620,926.43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429,543,478.69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3</w:t>
      </w:r>
      <w:r>
        <w:rPr/>
        <w:t>）设定提存计划列示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3,974,702.10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110,098,561.59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113,109,624.51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963,639.18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4,249,874.62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4,327,535.27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38,545.57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4,090,908.32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114,348,436.21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117,437,159.78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1,002,184.75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25</w:t>
      </w:r>
      <w:r>
        <w:rPr>
          <w:rFonts w:ascii="宋体" w:hAnsi="宋体" w:cs="宋体" w:eastAsia="宋体" w:hint="default"/>
          <w:b/>
          <w:bCs/>
          <w:sz w:val="20"/>
          <w:szCs w:val="20"/>
        </w:rPr>
        <w:t>、应交税费</w:t>
      </w:r>
      <w:r>
        <w:rPr>
          <w:rFonts w:ascii="宋体" w:hAnsi="宋体" w:cs="宋体" w:eastAsia="宋体" w:hint="default"/>
          <w:sz w:val="20"/>
          <w:szCs w:val="2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78,138,745.32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129,251,255.45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72,470,941.58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87,691,963.31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2,559,798.66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2,817,081.30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5,704,407.72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9,287,444.31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30,989.51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2,467,628.97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3,999,971.98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1,635,380.14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2,661,954.79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115,598.14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3,238,049.37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357,110.92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397,016.22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3,571,245.57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1,125,375.31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2,109.14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170,362,392.24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237,778,371.15</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26</w:t>
      </w:r>
      <w:r>
        <w:rPr>
          <w:rFonts w:ascii="宋体" w:hAnsi="宋体" w:cs="宋体" w:eastAsia="宋体" w:hint="default"/>
          <w:b/>
          <w:bCs/>
          <w:sz w:val="20"/>
          <w:szCs w:val="20"/>
        </w:rPr>
        <w:t>、应付股利</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908,067.08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283,067.08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908,067.08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283,067.08</w:t>
            </w:r>
          </w:p>
        </w:tc>
      </w:tr>
    </w:tbl>
    <w:p>
      <w:pPr>
        <w:spacing w:line="240" w:lineRule="auto" w:before="3"/>
        <w:rPr>
          <w:rFonts w:ascii="宋体" w:hAnsi="宋体" w:cs="宋体" w:eastAsia="宋体" w:hint="default"/>
          <w:sz w:val="5"/>
          <w:szCs w:val="5"/>
        </w:rPr>
      </w:pPr>
    </w:p>
    <w:p>
      <w:pPr>
        <w:pStyle w:val="Heading3"/>
        <w:spacing w:line="240" w:lineRule="auto" w:before="36"/>
        <w:ind w:left="573" w:right="0"/>
        <w:jc w:val="left"/>
      </w:pPr>
      <w:r>
        <w:rPr/>
        <w:t>期末应付股利为子公司新余市保安服务有限公司应付少数股东股利</w:t>
      </w:r>
      <w:r>
        <w:rPr>
          <w:spacing w:val="-57"/>
        </w:rPr>
        <w:t> </w:t>
      </w:r>
      <w:r>
        <w:rPr>
          <w:rFonts w:ascii="Times New Roman" w:hAnsi="Times New Roman" w:cs="Times New Roman" w:eastAsia="Times New Roman" w:hint="default"/>
        </w:rPr>
        <w:t>760</w:t>
      </w:r>
      <w:r>
        <w:rPr>
          <w:rFonts w:ascii="宋体" w:hAnsi="宋体" w:cs="宋体" w:eastAsia="宋体" w:hint="default"/>
        </w:rPr>
        <w:t>,</w:t>
      </w:r>
      <w:r>
        <w:rPr>
          <w:rFonts w:ascii="Times New Roman" w:hAnsi="Times New Roman" w:cs="Times New Roman" w:eastAsia="Times New Roman" w:hint="default"/>
        </w:rPr>
        <w:t>000</w:t>
      </w:r>
      <w:r>
        <w:rPr>
          <w:rFonts w:ascii="宋体" w:hAnsi="宋体" w:cs="宋体" w:eastAsia="宋体"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5"/>
        </w:rPr>
        <w:t> </w:t>
      </w:r>
      <w:r>
        <w:rPr/>
        <w:t>元，子公司资阳保安</w:t>
      </w:r>
    </w:p>
    <w:p>
      <w:pPr>
        <w:spacing w:after="0" w:line="240" w:lineRule="auto"/>
        <w:jc w:val="left"/>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240" w:lineRule="auto" w:before="36"/>
        <w:ind w:right="0"/>
        <w:jc w:val="left"/>
      </w:pPr>
      <w:r>
        <w:rPr/>
        <w:t>有限责任公司应付少数股东股利 </w:t>
      </w:r>
      <w:r>
        <w:rPr>
          <w:rFonts w:ascii="Times New Roman" w:hAnsi="Times New Roman" w:cs="Times New Roman" w:eastAsia="Times New Roman" w:hint="default"/>
        </w:rPr>
        <w:t>15</w:t>
      </w:r>
      <w:r>
        <w:rPr>
          <w:rFonts w:ascii="宋体" w:hAnsi="宋体" w:cs="宋体" w:eastAsia="宋体" w:hint="default"/>
        </w:rPr>
        <w:t>,</w:t>
      </w:r>
      <w:r>
        <w:rPr>
          <w:rFonts w:ascii="Times New Roman" w:hAnsi="Times New Roman" w:cs="Times New Roman" w:eastAsia="Times New Roman" w:hint="default"/>
        </w:rPr>
        <w:t>000</w:t>
      </w:r>
      <w:r>
        <w:rPr>
          <w:rFonts w:ascii="宋体" w:hAnsi="宋体" w:cs="宋体" w:eastAsia="宋体" w:hint="default"/>
        </w:rPr>
        <w:t>.</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spacing w:val="-3"/>
        </w:rPr>
        <w:t>元，子公司巴彦淖尔天力保押有限责任公司应付少数股东股利</w:t>
      </w:r>
    </w:p>
    <w:p>
      <w:pPr>
        <w:pStyle w:val="Heading3"/>
        <w:spacing w:line="240" w:lineRule="auto" w:before="177"/>
        <w:ind w:right="0"/>
        <w:jc w:val="left"/>
      </w:pPr>
      <w:r>
        <w:rPr>
          <w:rFonts w:ascii="Times New Roman" w:hAnsi="Times New Roman" w:cs="Times New Roman" w:eastAsia="Times New Roman" w:hint="default"/>
        </w:rPr>
        <w:t>133</w:t>
      </w:r>
      <w:r>
        <w:rPr>
          <w:rFonts w:ascii="宋体" w:hAnsi="宋体" w:cs="宋体" w:eastAsia="宋体" w:hint="default"/>
        </w:rPr>
        <w:t>,</w:t>
      </w:r>
      <w:r>
        <w:rPr>
          <w:rFonts w:ascii="Times New Roman" w:hAnsi="Times New Roman" w:cs="Times New Roman" w:eastAsia="Times New Roman" w:hint="default"/>
        </w:rPr>
        <w:t>067</w:t>
      </w:r>
      <w:r>
        <w:rPr>
          <w:rFonts w:ascii="宋体" w:hAnsi="宋体" w:cs="宋体" w:eastAsia="宋体" w:hint="default"/>
        </w:rPr>
        <w:t>.</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元，共</w:t>
      </w:r>
      <w:r>
        <w:rPr>
          <w:spacing w:val="-54"/>
        </w:rPr>
        <w:t> </w:t>
      </w:r>
      <w:r>
        <w:rPr>
          <w:rFonts w:ascii="Times New Roman" w:hAnsi="Times New Roman" w:cs="Times New Roman" w:eastAsia="Times New Roman" w:hint="default"/>
        </w:rPr>
        <w:t>908</w:t>
      </w:r>
      <w:r>
        <w:rPr>
          <w:rFonts w:ascii="宋体" w:hAnsi="宋体" w:cs="宋体" w:eastAsia="宋体" w:hint="default"/>
        </w:rPr>
        <w:t>,</w:t>
      </w:r>
      <w:r>
        <w:rPr>
          <w:rFonts w:ascii="Times New Roman" w:hAnsi="Times New Roman" w:cs="Times New Roman" w:eastAsia="Times New Roman" w:hint="default"/>
        </w:rPr>
        <w:t>067</w:t>
      </w:r>
      <w:r>
        <w:rPr>
          <w:rFonts w:ascii="宋体" w:hAnsi="宋体" w:cs="宋体" w:eastAsia="宋体" w:hint="default"/>
        </w:rPr>
        <w:t>.</w:t>
      </w:r>
      <w:r>
        <w:rPr>
          <w:rFonts w:ascii="Times New Roman" w:hAnsi="Times New Roman" w:cs="Times New Roman" w:eastAsia="Times New Roman" w:hint="default"/>
        </w:rPr>
        <w:t>08</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31"/>
          <w:szCs w:val="31"/>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27</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）按款项性质列示其他应付款</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122,015,900.37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174,603,863.40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53,213,253.96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41,339,610.82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35,365,524.29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10,324,153.33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9,715,669.70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8,118,484.47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220,310,348.32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234,386,112.02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）账龄超过</w:t>
      </w:r>
      <w:r>
        <w:rPr>
          <w:spacing w:val="-52"/>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t>年的重要其他应付款</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5,417,574.41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3,171,280.00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35,152,754.41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28</w:t>
      </w:r>
      <w:r>
        <w:rPr>
          <w:rFonts w:ascii="宋体" w:hAnsi="宋体" w:cs="宋体" w:eastAsia="宋体" w:hint="default"/>
          <w:b/>
          <w:bCs/>
          <w:sz w:val="20"/>
          <w:szCs w:val="20"/>
        </w:rPr>
        <w:t>、长期借款</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）长期借款分类</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6,745,945.87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6,745,945.87</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29</w:t>
      </w:r>
      <w:r>
        <w:rPr>
          <w:rFonts w:ascii="宋体" w:hAnsi="宋体" w:cs="宋体" w:eastAsia="宋体" w:hint="default"/>
          <w:b/>
          <w:bCs/>
          <w:sz w:val="20"/>
          <w:szCs w:val="20"/>
        </w:rPr>
        <w:t>、递延收益</w:t>
      </w:r>
      <w:r>
        <w:rPr>
          <w:rFonts w:ascii="宋体" w:hAnsi="宋体" w:cs="宋体" w:eastAsia="宋体" w:hint="default"/>
          <w:sz w:val="20"/>
          <w:szCs w:val="2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77,337,001.56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30,243,840.00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37,463,493.04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70,117,348.52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77,337,001.56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30,243,840.00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37,463,493.04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70,117,348.52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30</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184"/>
        <w:gridCol w:w="1357"/>
        <w:gridCol w:w="1036"/>
        <w:gridCol w:w="948"/>
        <w:gridCol w:w="1277"/>
        <w:gridCol w:w="1133"/>
        <w:gridCol w:w="1267"/>
        <w:gridCol w:w="135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7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61"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67"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3" w:right="0"/>
              <w:jc w:val="left"/>
              <w:rPr>
                <w:rFonts w:ascii="Times New Roman" w:hAnsi="Times New Roman" w:cs="Times New Roman" w:eastAsia="Times New Roman" w:hint="default"/>
                <w:sz w:val="18"/>
                <w:szCs w:val="18"/>
              </w:rPr>
            </w:pPr>
            <w:r>
              <w:rPr>
                <w:rFonts w:ascii="Times New Roman"/>
                <w:sz w:val="18"/>
              </w:rPr>
              <w:t>1,619,257,150.00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809,628,575.00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809,628,575.00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left"/>
              <w:rPr>
                <w:rFonts w:ascii="Times New Roman" w:hAnsi="Times New Roman" w:cs="Times New Roman" w:eastAsia="Times New Roman" w:hint="default"/>
                <w:sz w:val="18"/>
                <w:szCs w:val="18"/>
              </w:rPr>
            </w:pPr>
            <w:r>
              <w:rPr>
                <w:rFonts w:ascii="Times New Roman"/>
                <w:sz w:val="18"/>
              </w:rPr>
              <w:t>2,428,885,725.00</w:t>
            </w:r>
          </w:p>
        </w:tc>
      </w:tr>
    </w:tbl>
    <w:p>
      <w:pPr>
        <w:spacing w:line="240" w:lineRule="auto" w:before="4"/>
        <w:rPr>
          <w:rFonts w:ascii="宋体" w:hAnsi="宋体" w:cs="宋体" w:eastAsia="宋体" w:hint="default"/>
          <w:sz w:val="5"/>
          <w:szCs w:val="5"/>
        </w:rPr>
      </w:pPr>
    </w:p>
    <w:p>
      <w:pPr>
        <w:pStyle w:val="Heading3"/>
        <w:spacing w:line="240" w:lineRule="auto" w:before="36"/>
        <w:ind w:left="212" w:right="0"/>
        <w:jc w:val="left"/>
      </w:pPr>
      <w:r>
        <w:rPr/>
        <w:t>其他说明：</w:t>
      </w:r>
    </w:p>
    <w:p>
      <w:pPr>
        <w:spacing w:line="240" w:lineRule="auto" w:before="9"/>
        <w:rPr>
          <w:rFonts w:ascii="宋体" w:hAnsi="宋体" w:cs="宋体" w:eastAsia="宋体" w:hint="default"/>
          <w:sz w:val="17"/>
          <w:szCs w:val="17"/>
        </w:rPr>
      </w:pPr>
    </w:p>
    <w:p>
      <w:pPr>
        <w:pStyle w:val="Heading3"/>
        <w:spacing w:line="386" w:lineRule="auto"/>
        <w:ind w:left="212" w:right="127"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日，本公司召开的</w:t>
      </w:r>
      <w:r>
        <w:rPr>
          <w:rFonts w:ascii="Times New Roman" w:hAnsi="Times New Roman" w:cs="Times New Roman" w:eastAsia="Times New Roman" w:hint="default"/>
          <w:spacing w:val="-2"/>
        </w:rPr>
        <w:t>2016</w:t>
      </w:r>
      <w:r>
        <w:rPr>
          <w:spacing w:val="-2"/>
        </w:rPr>
        <w:t>年度股东大会审议通过，</w:t>
      </w:r>
      <w:r>
        <w:rPr>
          <w:rFonts w:ascii="Times New Roman" w:hAnsi="Times New Roman" w:cs="Times New Roman" w:eastAsia="Times New Roman" w:hint="default"/>
          <w:spacing w:val="-2"/>
        </w:rPr>
        <w:t>2016</w:t>
      </w:r>
      <w:r>
        <w:rPr>
          <w:spacing w:val="-2"/>
        </w:rPr>
        <w:t>年度利润分配方案为：以本公司总股</w:t>
      </w:r>
      <w:r>
        <w:rPr>
          <w:w w:val="100"/>
        </w:rPr>
        <w:t> </w:t>
      </w:r>
      <w:r>
        <w:rPr>
          <w:spacing w:val="-2"/>
        </w:rPr>
        <w:t>本</w:t>
      </w:r>
      <w:r>
        <w:rPr>
          <w:rFonts w:ascii="Times New Roman" w:hAnsi="Times New Roman" w:cs="Times New Roman" w:eastAsia="Times New Roman" w:hint="default"/>
          <w:spacing w:val="-2"/>
        </w:rPr>
        <w:t>1</w:t>
      </w:r>
      <w:r>
        <w:rPr>
          <w:rFonts w:ascii="宋体" w:hAnsi="宋体" w:cs="宋体" w:eastAsia="宋体" w:hint="default"/>
          <w:spacing w:val="-2"/>
        </w:rPr>
        <w:t>,</w:t>
      </w:r>
      <w:r>
        <w:rPr>
          <w:rFonts w:ascii="Times New Roman" w:hAnsi="Times New Roman" w:cs="Times New Roman" w:eastAsia="Times New Roman" w:hint="default"/>
          <w:spacing w:val="-2"/>
        </w:rPr>
        <w:t>619</w:t>
      </w:r>
      <w:r>
        <w:rPr>
          <w:rFonts w:ascii="宋体" w:hAnsi="宋体" w:cs="宋体" w:eastAsia="宋体" w:hint="default"/>
          <w:spacing w:val="-2"/>
        </w:rPr>
        <w:t>,</w:t>
      </w:r>
      <w:r>
        <w:rPr>
          <w:rFonts w:ascii="Times New Roman" w:hAnsi="Times New Roman" w:cs="Times New Roman" w:eastAsia="Times New Roman" w:hint="default"/>
          <w:spacing w:val="-2"/>
        </w:rPr>
        <w:t>257</w:t>
      </w:r>
      <w:r>
        <w:rPr>
          <w:rFonts w:ascii="宋体" w:hAnsi="宋体" w:cs="宋体" w:eastAsia="宋体" w:hint="default"/>
          <w:spacing w:val="-2"/>
        </w:rPr>
        <w:t>,</w:t>
      </w:r>
      <w:r>
        <w:rPr>
          <w:rFonts w:ascii="Times New Roman" w:hAnsi="Times New Roman" w:cs="Times New Roman" w:eastAsia="Times New Roman" w:hint="default"/>
          <w:spacing w:val="-2"/>
        </w:rPr>
        <w:t>150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w:t>
      </w:r>
      <w:r>
        <w:rPr>
          <w:spacing w:val="-2"/>
        </w:rPr>
        <w:t>元（含税</w:t>
      </w:r>
      <w:r>
        <w:rPr>
          <w:rFonts w:ascii="宋体" w:hAnsi="宋体" w:cs="宋体" w:eastAsia="宋体" w:hint="default"/>
          <w:spacing w:val="-2"/>
        </w:rPr>
        <w:t>),</w:t>
      </w:r>
      <w:r>
        <w:rPr>
          <w:spacing w:val="-2"/>
        </w:rPr>
        <w:t>同时，以资本公积金转增股本，</w:t>
      </w:r>
      <w:r>
        <w:rPr>
          <w:spacing w:val="-10"/>
        </w:rPr>
        <w:t> </w:t>
      </w:r>
      <w:r>
        <w:rPr>
          <w:spacing w:val="-10"/>
        </w:rPr>
      </w:r>
      <w:r>
        <w:rPr/>
        <w:t>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股，本次利润分配于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日实施完毕，增加公司股本</w:t>
      </w:r>
      <w:r>
        <w:rPr>
          <w:rFonts w:ascii="Times New Roman" w:hAnsi="Times New Roman" w:cs="Times New Roman" w:eastAsia="Times New Roman" w:hint="default"/>
        </w:rPr>
        <w:t>809</w:t>
      </w:r>
      <w:r>
        <w:rPr>
          <w:rFonts w:ascii="宋体" w:hAnsi="宋体" w:cs="宋体" w:eastAsia="宋体" w:hint="default"/>
        </w:rPr>
        <w:t>,</w:t>
      </w:r>
      <w:r>
        <w:rPr>
          <w:rFonts w:ascii="Times New Roman" w:hAnsi="Times New Roman" w:cs="Times New Roman" w:eastAsia="Times New Roman" w:hint="default"/>
        </w:rPr>
        <w:t>628</w:t>
      </w:r>
      <w:r>
        <w:rPr>
          <w:rFonts w:ascii="宋体" w:hAnsi="宋体" w:cs="宋体" w:eastAsia="宋体" w:hint="default"/>
        </w:rPr>
        <w:t>,</w:t>
      </w:r>
      <w:r>
        <w:rPr>
          <w:rFonts w:ascii="Times New Roman" w:hAnsi="Times New Roman" w:cs="Times New Roman" w:eastAsia="Times New Roman" w:hint="default"/>
        </w:rPr>
        <w:t>575</w:t>
      </w:r>
      <w:r>
        <w:rPr/>
        <w:t>股，本</w:t>
      </w:r>
      <w:r>
        <w:rPr>
          <w:spacing w:val="-26"/>
        </w:rPr>
        <w:t> </w:t>
      </w:r>
      <w:r>
        <w:rPr>
          <w:spacing w:val="-26"/>
        </w:rPr>
      </w:r>
      <w:r>
        <w:rPr/>
        <w:t>公司的股本增至</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428</w:t>
      </w:r>
      <w:r>
        <w:rPr>
          <w:rFonts w:ascii="宋体" w:hAnsi="宋体" w:cs="宋体" w:eastAsia="宋体" w:hint="default"/>
        </w:rPr>
        <w:t>,</w:t>
      </w:r>
      <w:r>
        <w:rPr>
          <w:rFonts w:ascii="Times New Roman" w:hAnsi="Times New Roman" w:cs="Times New Roman" w:eastAsia="Times New Roman" w:hint="default"/>
        </w:rPr>
        <w:t>885</w:t>
      </w:r>
      <w:r>
        <w:rPr>
          <w:rFonts w:ascii="宋体" w:hAnsi="宋体" w:cs="宋体" w:eastAsia="宋体" w:hint="default"/>
        </w:rPr>
        <w:t>,</w:t>
      </w:r>
      <w:r>
        <w:rPr>
          <w:rFonts w:ascii="Times New Roman" w:hAnsi="Times New Roman" w:cs="Times New Roman" w:eastAsia="Times New Roman" w:hint="default"/>
        </w:rPr>
        <w:t>725</w:t>
      </w:r>
      <w:r>
        <w:rPr/>
        <w:t>股。</w:t>
      </w:r>
    </w:p>
    <w:p>
      <w:pPr>
        <w:spacing w:line="240" w:lineRule="auto" w:before="4"/>
        <w:rPr>
          <w:rFonts w:ascii="宋体" w:hAnsi="宋体" w:cs="宋体" w:eastAsia="宋体" w:hint="default"/>
          <w:sz w:val="20"/>
          <w:szCs w:val="20"/>
        </w:rPr>
      </w:pPr>
    </w:p>
    <w:p>
      <w:pPr>
        <w:spacing w:before="0"/>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31</w:t>
      </w:r>
      <w:r>
        <w:rPr>
          <w:rFonts w:ascii="宋体" w:hAnsi="宋体" w:cs="宋体" w:eastAsia="宋体" w:hint="default"/>
          <w:b/>
          <w:bCs/>
          <w:sz w:val="20"/>
          <w:szCs w:val="20"/>
        </w:rPr>
        <w:t>、资本公积</w:t>
      </w:r>
      <w:r>
        <w:rPr>
          <w:rFonts w:ascii="宋体" w:hAnsi="宋体" w:cs="宋体" w:eastAsia="宋体" w:hint="default"/>
          <w:sz w:val="20"/>
          <w:szCs w:val="2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3,098,974,290.27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809,628,575.00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2,289,345,715.27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8,780,104.29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8,780,104.29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3,107,754,394.56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809,628,575.00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2,298,125,819.56</w:t>
            </w:r>
          </w:p>
        </w:tc>
      </w:tr>
    </w:tbl>
    <w:p>
      <w:pPr>
        <w:spacing w:line="240" w:lineRule="auto" w:before="3"/>
        <w:rPr>
          <w:rFonts w:ascii="宋体" w:hAnsi="宋体" w:cs="宋体" w:eastAsia="宋体" w:hint="default"/>
          <w:sz w:val="5"/>
          <w:szCs w:val="5"/>
        </w:rPr>
      </w:pPr>
    </w:p>
    <w:p>
      <w:pPr>
        <w:pStyle w:val="Heading3"/>
        <w:spacing w:line="441" w:lineRule="auto" w:before="36"/>
        <w:ind w:left="633" w:right="0"/>
        <w:jc w:val="left"/>
      </w:pPr>
      <w:r>
        <w:rPr/>
        <w:t>其他说明，包括本期增减变动情况、变动原因说明：</w:t>
      </w:r>
      <w:r>
        <w:rPr>
          <w:w w:val="100"/>
        </w:rPr>
        <w:t> </w:t>
      </w:r>
      <w:r>
        <w:rPr>
          <w:spacing w:val="-2"/>
        </w:rPr>
        <w:t>本期减少原因：</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日，本公司召开的</w:t>
      </w:r>
      <w:r>
        <w:rPr>
          <w:rFonts w:ascii="Times New Roman" w:hAnsi="Times New Roman" w:cs="Times New Roman" w:eastAsia="Times New Roman" w:hint="default"/>
          <w:spacing w:val="-2"/>
        </w:rPr>
        <w:t>2016</w:t>
      </w:r>
      <w:r>
        <w:rPr>
          <w:spacing w:val="-2"/>
        </w:rPr>
        <w:t>年度股东大会审议通过的</w:t>
      </w:r>
      <w:r>
        <w:rPr>
          <w:rFonts w:ascii="Times New Roman" w:hAnsi="Times New Roman" w:cs="Times New Roman" w:eastAsia="Times New Roman" w:hint="default"/>
          <w:spacing w:val="-2"/>
        </w:rPr>
        <w:t>2016</w:t>
      </w:r>
      <w:r>
        <w:rPr>
          <w:spacing w:val="-2"/>
        </w:rPr>
        <w:t>年度利润分配方案中</w:t>
      </w:r>
    </w:p>
    <w:p>
      <w:pPr>
        <w:pStyle w:val="Heading3"/>
        <w:spacing w:line="273" w:lineRule="exact"/>
        <w:ind w:left="212" w:right="0"/>
        <w:jc w:val="left"/>
      </w:pPr>
      <w:r>
        <w:rPr/>
        <w:t>以本公司总股本</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619</w:t>
      </w:r>
      <w:r>
        <w:rPr>
          <w:rFonts w:ascii="宋体" w:hAnsi="宋体" w:cs="宋体" w:eastAsia="宋体" w:hint="default"/>
        </w:rPr>
        <w:t>,</w:t>
      </w:r>
      <w:r>
        <w:rPr>
          <w:rFonts w:ascii="Times New Roman" w:hAnsi="Times New Roman" w:cs="Times New Roman" w:eastAsia="Times New Roman" w:hint="default"/>
        </w:rPr>
        <w:t>257</w:t>
      </w:r>
      <w:r>
        <w:rPr>
          <w:rFonts w:ascii="宋体" w:hAnsi="宋体" w:cs="宋体" w:eastAsia="宋体" w:hint="default"/>
        </w:rPr>
        <w:t>,</w:t>
      </w:r>
      <w:r>
        <w:rPr>
          <w:rFonts w:ascii="Times New Roman" w:hAnsi="Times New Roman" w:cs="Times New Roman" w:eastAsia="Times New Roman" w:hint="default"/>
        </w:rPr>
        <w:t>150</w:t>
      </w:r>
      <w:r>
        <w:rPr/>
        <w:t>股为基数，以资本公积金转增股本，向全体股东每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股，减少公司</w:t>
      </w:r>
    </w:p>
    <w:p>
      <w:pPr>
        <w:pStyle w:val="Heading3"/>
        <w:spacing w:line="240" w:lineRule="auto" w:before="178"/>
        <w:ind w:left="212" w:right="0"/>
        <w:jc w:val="left"/>
      </w:pPr>
      <w:r>
        <w:rPr/>
        <w:t>资本溢价</w:t>
      </w:r>
      <w:r>
        <w:rPr>
          <w:rFonts w:ascii="Times New Roman" w:hAnsi="Times New Roman" w:cs="Times New Roman" w:eastAsia="Times New Roman" w:hint="default"/>
        </w:rPr>
        <w:t>809</w:t>
      </w:r>
      <w:r>
        <w:rPr>
          <w:rFonts w:ascii="宋体" w:hAnsi="宋体" w:cs="宋体" w:eastAsia="宋体" w:hint="default"/>
        </w:rPr>
        <w:t>,</w:t>
      </w:r>
      <w:r>
        <w:rPr>
          <w:rFonts w:ascii="Times New Roman" w:hAnsi="Times New Roman" w:cs="Times New Roman" w:eastAsia="Times New Roman" w:hint="default"/>
        </w:rPr>
        <w:t>628</w:t>
      </w:r>
      <w:r>
        <w:rPr>
          <w:rFonts w:ascii="宋体" w:hAnsi="宋体" w:cs="宋体" w:eastAsia="宋体" w:hint="default"/>
        </w:rPr>
        <w:t>,</w:t>
      </w:r>
      <w:r>
        <w:rPr>
          <w:rFonts w:ascii="Times New Roman" w:hAnsi="Times New Roman" w:cs="Times New Roman" w:eastAsia="Times New Roman" w:hint="default"/>
        </w:rPr>
        <w:t>575</w:t>
      </w:r>
      <w:r>
        <w:rPr/>
        <w:t>元。</w:t>
      </w:r>
    </w:p>
    <w:p>
      <w:pPr>
        <w:spacing w:line="240" w:lineRule="auto" w:before="2"/>
        <w:rPr>
          <w:rFonts w:ascii="宋体" w:hAnsi="宋体" w:cs="宋体" w:eastAsia="宋体" w:hint="default"/>
          <w:sz w:val="31"/>
          <w:szCs w:val="31"/>
        </w:rPr>
      </w:pPr>
    </w:p>
    <w:p>
      <w:pPr>
        <w:spacing w:before="0"/>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32</w:t>
      </w:r>
      <w:r>
        <w:rPr>
          <w:rFonts w:ascii="宋体" w:hAnsi="宋体" w:cs="宋体" w:eastAsia="宋体" w:hint="default"/>
          <w:b/>
          <w:bCs/>
          <w:sz w:val="20"/>
          <w:szCs w:val="20"/>
        </w:rPr>
        <w:t>、其他综合收益</w:t>
      </w:r>
      <w:r>
        <w:rPr>
          <w:rFonts w:ascii="宋体" w:hAnsi="宋体" w:cs="宋体" w:eastAsia="宋体" w:hint="default"/>
          <w:sz w:val="20"/>
          <w:szCs w:val="2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267"/>
        <w:gridCol w:w="1277"/>
        <w:gridCol w:w="1270"/>
        <w:gridCol w:w="1152"/>
        <w:gridCol w:w="934"/>
        <w:gridCol w:w="1181"/>
        <w:gridCol w:w="691"/>
        <w:gridCol w:w="797"/>
      </w:tblGrid>
      <w:tr>
        <w:trPr>
          <w:trHeight w:val="403" w:hRule="exact"/>
        </w:trPr>
        <w:tc>
          <w:tcPr>
            <w:tcW w:w="22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2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49" w:hRule="exact"/>
        </w:trPr>
        <w:tc>
          <w:tcPr>
            <w:tcW w:w="2267"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68" w:right="179"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9" w:right="120"/>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91" w:right="98"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16" w:right="134"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60" w:right="158"/>
              <w:jc w:val="both"/>
              <w:rPr>
                <w:rFonts w:ascii="宋体" w:hAnsi="宋体" w:cs="宋体" w:eastAsia="宋体" w:hint="default"/>
                <w:sz w:val="18"/>
                <w:szCs w:val="18"/>
              </w:rPr>
            </w:pPr>
            <w:r>
              <w:rPr>
                <w:rFonts w:ascii="宋体" w:hAnsi="宋体" w:cs="宋体" w:eastAsia="宋体" w:hint="default"/>
                <w:sz w:val="18"/>
                <w:szCs w:val="18"/>
              </w:rPr>
              <w:t>税后 归属 于少 数股 东</w:t>
            </w:r>
          </w:p>
        </w:tc>
        <w:tc>
          <w:tcPr>
            <w:tcW w:w="797" w:type="dxa"/>
            <w:vMerge/>
            <w:tcBorders>
              <w:left w:val="single" w:sz="4" w:space="0" w:color="000000"/>
              <w:bottom w:val="single" w:sz="4" w:space="0" w:color="000000"/>
              <w:right w:val="single" w:sz="4" w:space="0" w:color="000000"/>
            </w:tcBorders>
            <w:shd w:val="clear" w:color="auto" w:fill="D9D9D9"/>
          </w:tcPr>
          <w:p>
            <w:pPr/>
          </w:p>
        </w:tc>
      </w:tr>
    </w:tbl>
    <w:p>
      <w:pPr>
        <w:spacing w:after="0"/>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267"/>
        <w:gridCol w:w="1277"/>
        <w:gridCol w:w="1270"/>
        <w:gridCol w:w="1152"/>
        <w:gridCol w:w="934"/>
        <w:gridCol w:w="1181"/>
        <w:gridCol w:w="691"/>
        <w:gridCol w:w="797"/>
      </w:tblGrid>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一、以后不能重分类进损 益的其他综合收益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2" w:right="173"/>
              <w:jc w:val="both"/>
              <w:rPr>
                <w:rFonts w:ascii="宋体" w:hAnsi="宋体" w:cs="宋体" w:eastAsia="宋体" w:hint="default"/>
                <w:sz w:val="18"/>
                <w:szCs w:val="18"/>
              </w:rPr>
            </w:pPr>
            <w:r>
              <w:rPr>
                <w:rFonts w:ascii="宋体" w:hAnsi="宋体" w:cs="宋体" w:eastAsia="宋体" w:hint="default"/>
                <w:sz w:val="18"/>
                <w:szCs w:val="18"/>
              </w:rPr>
              <w:t>其中：重新计算设定受益 计划净负债和净资产的变 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2" w:right="173" w:firstLine="540"/>
              <w:jc w:val="both"/>
              <w:rPr>
                <w:rFonts w:ascii="宋体" w:hAnsi="宋体" w:cs="宋体" w:eastAsia="宋体" w:hint="default"/>
                <w:sz w:val="18"/>
                <w:szCs w:val="18"/>
              </w:rPr>
            </w:pPr>
            <w:r>
              <w:rPr>
                <w:rFonts w:ascii="宋体" w:hAnsi="宋体" w:cs="宋体" w:eastAsia="宋体" w:hint="default"/>
                <w:sz w:val="18"/>
                <w:szCs w:val="18"/>
              </w:rPr>
              <w:t>权益法下在被投资 单位不能重分类进损益的 其他综合收益中享有的份 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2" w:right="173"/>
              <w:jc w:val="left"/>
              <w:rPr>
                <w:rFonts w:ascii="宋体" w:hAnsi="宋体" w:cs="宋体" w:eastAsia="宋体" w:hint="default"/>
                <w:sz w:val="18"/>
                <w:szCs w:val="18"/>
              </w:rPr>
            </w:pPr>
            <w:r>
              <w:rPr>
                <w:rFonts w:ascii="宋体" w:hAnsi="宋体" w:cs="宋体" w:eastAsia="宋体" w:hint="default"/>
                <w:sz w:val="18"/>
                <w:szCs w:val="18"/>
              </w:rPr>
              <w:t>二、以后将重分类进损益 的其他综合收益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129,360,130.2</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-113,011,482.</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83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147,000,000</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-37,804,9</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05.16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-222,206,577</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.67</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-92,846</w:t>
            </w:r>
          </w:p>
          <w:p>
            <w:pPr>
              <w:pStyle w:val="TableParagraph"/>
              <w:spacing w:line="240" w:lineRule="auto" w:before="103"/>
              <w:ind w:left="144" w:right="0"/>
              <w:jc w:val="left"/>
              <w:rPr>
                <w:rFonts w:ascii="Times New Roman" w:hAnsi="Times New Roman" w:cs="Times New Roman" w:eastAsia="Times New Roman" w:hint="default"/>
                <w:sz w:val="18"/>
                <w:szCs w:val="18"/>
              </w:rPr>
            </w:pPr>
            <w:r>
              <w:rPr>
                <w:rFonts w:ascii="Times New Roman"/>
                <w:sz w:val="18"/>
              </w:rPr>
              <w:t>,447.41</w:t>
            </w:r>
          </w:p>
        </w:tc>
      </w:tr>
      <w:tr>
        <w:trPr>
          <w:trHeight w:val="1337"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其中：权益法下在被投资 单位以后将重分类进损益 的其他综合收益中享有的 份额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3"/>
              <w:ind w:left="102" w:right="173" w:firstLine="540"/>
              <w:jc w:val="left"/>
              <w:rPr>
                <w:rFonts w:ascii="宋体" w:hAnsi="宋体" w:cs="宋体" w:eastAsia="宋体" w:hint="default"/>
                <w:sz w:val="18"/>
                <w:szCs w:val="18"/>
              </w:rPr>
            </w:pPr>
            <w:r>
              <w:rPr>
                <w:rFonts w:ascii="宋体" w:hAnsi="宋体" w:cs="宋体" w:eastAsia="宋体" w:hint="default"/>
                <w:sz w:val="18"/>
                <w:szCs w:val="18"/>
              </w:rPr>
              <w:t>可供出售金融资产 公允价值变动损益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124,224,043.5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-105,032,701.</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147,000,000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-37,804,9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05.16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-214,227,795</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.92</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-90,003</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,752.37</w:t>
            </w:r>
          </w:p>
        </w:tc>
      </w:tr>
      <w:tr>
        <w:trPr>
          <w:trHeight w:val="1025"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2" w:right="173" w:firstLine="540"/>
              <w:jc w:val="both"/>
              <w:rPr>
                <w:rFonts w:ascii="宋体" w:hAnsi="宋体" w:cs="宋体" w:eastAsia="宋体" w:hint="default"/>
                <w:sz w:val="18"/>
                <w:szCs w:val="18"/>
              </w:rPr>
            </w:pPr>
            <w:r>
              <w:rPr>
                <w:rFonts w:ascii="宋体" w:hAnsi="宋体" w:cs="宋体" w:eastAsia="宋体" w:hint="default"/>
                <w:sz w:val="18"/>
                <w:szCs w:val="18"/>
              </w:rPr>
              <w:t>持有至到期投资重 分类为可供出售金融资产 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3"/>
              <w:ind w:left="102" w:right="173" w:firstLine="540"/>
              <w:jc w:val="left"/>
              <w:rPr>
                <w:rFonts w:ascii="宋体" w:hAnsi="宋体" w:cs="宋体" w:eastAsia="宋体" w:hint="default"/>
                <w:sz w:val="18"/>
                <w:szCs w:val="18"/>
              </w:rPr>
            </w:pPr>
            <w:r>
              <w:rPr>
                <w:rFonts w:ascii="宋体" w:hAnsi="宋体" w:cs="宋体" w:eastAsia="宋体" w:hint="default"/>
                <w:sz w:val="18"/>
                <w:szCs w:val="18"/>
              </w:rPr>
              <w:t>现金流量套期损益 的有效部分</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外币财务报表折算</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5,136,086.71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-7,978,781.75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-7,978,781.7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695.04</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129,360,130.2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-113,011,482.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147,000,000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-37,804,9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05.16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-222,206,577</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.67</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-92,846</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,447.41</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33</w:t>
      </w:r>
      <w:r>
        <w:rPr>
          <w:rFonts w:ascii="宋体" w:hAnsi="宋体" w:cs="宋体" w:eastAsia="宋体" w:hint="default"/>
          <w:b/>
          <w:bCs/>
          <w:sz w:val="20"/>
          <w:szCs w:val="20"/>
        </w:rPr>
        <w:t>、盈余公积</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538,883,556.66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76,195,926.85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615,079,483.51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538,883,556.66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76,195,926.85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615,079,483.51</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34</w:t>
      </w:r>
      <w:r>
        <w:rPr>
          <w:rFonts w:ascii="宋体" w:hAnsi="宋体" w:cs="宋体" w:eastAsia="宋体" w:hint="default"/>
          <w:b/>
          <w:bCs/>
          <w:sz w:val="20"/>
          <w:szCs w:val="20"/>
        </w:rPr>
        <w:t>、未分配利润</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714"/>
        <w:gridCol w:w="2924"/>
        <w:gridCol w:w="2919"/>
      </w:tblGrid>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6"/>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10"/>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26" w:right="0"/>
              <w:jc w:val="left"/>
              <w:rPr>
                <w:rFonts w:ascii="Times New Roman" w:hAnsi="Times New Roman" w:cs="Times New Roman" w:eastAsia="Times New Roman" w:hint="default"/>
                <w:sz w:val="18"/>
                <w:szCs w:val="18"/>
              </w:rPr>
            </w:pPr>
            <w:r>
              <w:rPr>
                <w:rFonts w:ascii="Times New Roman"/>
                <w:sz w:val="18"/>
              </w:rPr>
              <w:t>2,980,301,309.66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0" w:right="0"/>
              <w:jc w:val="left"/>
              <w:rPr>
                <w:rFonts w:ascii="Times New Roman" w:hAnsi="Times New Roman" w:cs="Times New Roman" w:eastAsia="Times New Roman" w:hint="default"/>
                <w:sz w:val="18"/>
                <w:szCs w:val="18"/>
              </w:rPr>
            </w:pPr>
            <w:r>
              <w:rPr>
                <w:rFonts w:ascii="Times New Roman"/>
                <w:sz w:val="18"/>
              </w:rPr>
              <w:t>2,960,892,356.19</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2,980,301,309.66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2,960,892,356.19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899,485,037.43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843,972,144.65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76,195,926.85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68,909,854.78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161,925,715.00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215,900,953.40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539,752,383.00</w:t>
            </w:r>
          </w:p>
        </w:tc>
      </w:tr>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3,641,664,705.24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2,980,301,309.66</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35</w:t>
      </w:r>
      <w:r>
        <w:rPr/>
        <w:t>、营业收入和营业成本</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4,383,577,016.09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2,550,465,336.40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4,423,649,958.72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2,344,816,589.43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4,383,577,016.09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2,550,465,336.40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4,423,649,958.72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2,344,816,589.43</w:t>
            </w:r>
          </w:p>
        </w:tc>
      </w:tr>
    </w:tbl>
    <w:p>
      <w:pPr>
        <w:spacing w:line="240" w:lineRule="auto" w:before="9"/>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36</w:t>
      </w:r>
      <w:r>
        <w:rPr>
          <w:rFonts w:ascii="宋体" w:hAnsi="宋体" w:cs="宋体" w:eastAsia="宋体" w:hint="default"/>
          <w:b/>
          <w:bCs/>
          <w:sz w:val="20"/>
          <w:szCs w:val="20"/>
        </w:rPr>
        <w:t>、税金及附加</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14,527,025.33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17,726,022.27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10,598,538.33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12,838,006.47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6,724,372.55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3,615,720.07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965,637.64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793,271.00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197,015.35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3,329,789.78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4,671,445.10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6,898,925.28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2,445,870.26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1,464,113.53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188,126.97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39,258,542.14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48,392,646.04</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37</w:t>
      </w:r>
      <w:r>
        <w:rPr>
          <w:rFonts w:ascii="宋体" w:hAnsi="宋体" w:cs="宋体" w:eastAsia="宋体" w:hint="default"/>
          <w:b/>
          <w:bCs/>
          <w:sz w:val="20"/>
          <w:szCs w:val="20"/>
        </w:rPr>
        <w:t>、销售费用</w:t>
      </w:r>
      <w:r>
        <w:rPr>
          <w:rFonts w:ascii="宋体" w:hAnsi="宋体" w:cs="宋体" w:eastAsia="宋体" w:hint="default"/>
          <w:sz w:val="20"/>
          <w:szCs w:val="2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01"/>
        <w:gridCol w:w="3178"/>
        <w:gridCol w:w="3179"/>
      </w:tblGrid>
      <w:tr>
        <w:trPr>
          <w:trHeight w:val="403" w:hRule="exact"/>
        </w:trPr>
        <w:tc>
          <w:tcPr>
            <w:tcW w:w="3201"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361,535,141.43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317,014,922.84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59,474,187.60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69,614,833.77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32,789,760.65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81,478,958.29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42,706,634.31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62,662,025.90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25,199,637.98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39,188,583.64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29,584,104.06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35,543,570.42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9,078,254.92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26,307,276.66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67,466,287.03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67,816,763.39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627,834,007.98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699,626,934.91</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38</w:t>
      </w:r>
      <w:r>
        <w:rPr>
          <w:rFonts w:ascii="宋体" w:hAnsi="宋体" w:cs="宋体" w:eastAsia="宋体" w:hint="default"/>
          <w:b/>
          <w:bCs/>
          <w:sz w:val="20"/>
          <w:szCs w:val="20"/>
        </w:rPr>
        <w:t>、管理费用</w:t>
      </w:r>
      <w:r>
        <w:rPr>
          <w:rFonts w:ascii="宋体" w:hAnsi="宋体" w:cs="宋体" w:eastAsia="宋体" w:hint="default"/>
          <w:sz w:val="20"/>
          <w:szCs w:val="2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308,413,840.28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299,452,604.76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203,974,193.23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165,477,753.17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8,143,211.29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10,500,451.70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14,056,444.51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3,389,407.58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93,005,109.59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74,912,666.75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634,536,432.83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567,789,328.47</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39</w:t>
      </w:r>
      <w:r>
        <w:rPr>
          <w:rFonts w:ascii="宋体" w:hAnsi="宋体" w:cs="宋体" w:eastAsia="宋体" w:hint="default"/>
          <w:b/>
          <w:bCs/>
          <w:sz w:val="20"/>
          <w:szCs w:val="20"/>
        </w:rPr>
        <w:t>、财务费用</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2,272,436.75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3,012,006.40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28,622,154.01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23,457,510.23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13,458,931.40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-1,343,181.01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2,111,464.30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1,506,268.76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-10,779,321.56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-20,282,416.08</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40</w:t>
      </w:r>
      <w:r>
        <w:rPr>
          <w:rFonts w:ascii="宋体" w:hAnsi="宋体" w:cs="宋体" w:eastAsia="宋体" w:hint="default"/>
          <w:b/>
          <w:bCs/>
          <w:sz w:val="20"/>
          <w:szCs w:val="20"/>
        </w:rPr>
        <w:t>、资产减值损失</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4,694,333.98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7,271,050.63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37,666,401.13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7,108,589.08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32,676,926.40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75,037,661.51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14,379,639.71</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41</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15,680,637.10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2,890,456.63</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-327,928.26</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404,564,689.22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理财投资收益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88,741,503.73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49,993,895.43</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国债回购收益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1,964,405.93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510,951,235.98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52,556,423.80</w:t>
            </w:r>
          </w:p>
        </w:tc>
      </w:tr>
    </w:tbl>
    <w:p>
      <w:pPr>
        <w:spacing w:line="240" w:lineRule="auto" w:before="9"/>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42</w:t>
      </w:r>
      <w:r>
        <w:rPr>
          <w:rFonts w:ascii="宋体" w:hAnsi="宋体" w:cs="宋体" w:eastAsia="宋体" w:hint="default"/>
          <w:b/>
          <w:bCs/>
          <w:sz w:val="20"/>
          <w:szCs w:val="20"/>
        </w:rPr>
        <w:t>、资产处置收益</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1,747,844.72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359,982.53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1,747,844.72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359,982.53</w:t>
            </w:r>
          </w:p>
        </w:tc>
      </w:tr>
    </w:tbl>
    <w:p>
      <w:pPr>
        <w:spacing w:line="240" w:lineRule="auto" w:before="8"/>
        <w:rPr>
          <w:rFonts w:ascii="宋体" w:hAnsi="宋体" w:cs="宋体" w:eastAsia="宋体" w:hint="default"/>
          <w:sz w:val="19"/>
          <w:szCs w:val="19"/>
        </w:rPr>
      </w:pPr>
    </w:p>
    <w:p>
      <w:pPr>
        <w:spacing w:before="37"/>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43</w:t>
      </w:r>
      <w:r>
        <w:rPr>
          <w:rFonts w:ascii="宋体" w:hAnsi="宋体" w:cs="宋体" w:eastAsia="宋体" w:hint="default"/>
          <w:b/>
          <w:bCs/>
          <w:sz w:val="20"/>
          <w:szCs w:val="20"/>
        </w:rPr>
        <w:t>、其他收益</w:t>
      </w:r>
      <w:r>
        <w:rPr>
          <w:rFonts w:ascii="宋体" w:hAnsi="宋体" w:cs="宋体" w:eastAsia="宋体" w:hint="default"/>
          <w:sz w:val="20"/>
          <w:szCs w:val="2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01"/>
        <w:gridCol w:w="3178"/>
        <w:gridCol w:w="3179"/>
      </w:tblGrid>
      <w:tr>
        <w:trPr>
          <w:trHeight w:val="403" w:hRule="exact"/>
        </w:trPr>
        <w:tc>
          <w:tcPr>
            <w:tcW w:w="3201"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102,228,372.64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49,111,112.50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151,339,485.14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44</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388"/>
        <w:gridCol w:w="2396"/>
        <w:gridCol w:w="2129"/>
        <w:gridCol w:w="2657"/>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169,459,521.52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罚款及违约金赔款利得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74,396.08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88,444.49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74,396.08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3,118,289.45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16,225,629.03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3,118,289.45</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3,192,685.53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185,773,595.04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3,192,685.53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20" w:right="980"/>
        </w:sectPr>
      </w:pPr>
    </w:p>
    <w:p>
      <w:pPr>
        <w:pStyle w:val="Heading3"/>
        <w:spacing w:line="240" w:lineRule="auto" w:before="28"/>
        <w:ind w:left="212" w:right="0"/>
        <w:jc w:val="left"/>
      </w:pPr>
      <w:r>
        <w:rPr>
          <w:spacing w:val="-2"/>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left="212" w:right="0"/>
        <w:jc w:val="left"/>
      </w:pPr>
      <w:r>
        <w:rPr/>
        <w:t>单位：元</w:t>
      </w:r>
    </w:p>
    <w:p>
      <w:pPr>
        <w:spacing w:after="0" w:line="240" w:lineRule="auto"/>
        <w:jc w:val="left"/>
        <w:sectPr>
          <w:type w:val="continuous"/>
          <w:pgSz w:w="11910" w:h="16840"/>
          <w:pgMar w:top="1100" w:bottom="1160" w:left="920" w:right="980"/>
          <w:cols w:num="2" w:equalWidth="0">
            <w:col w:w="2736" w:space="6184"/>
            <w:col w:w="1090"/>
          </w:cols>
        </w:sectPr>
      </w:pP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701"/>
        <w:gridCol w:w="1985"/>
        <w:gridCol w:w="1277"/>
        <w:gridCol w:w="1275"/>
        <w:gridCol w:w="1274"/>
        <w:gridCol w:w="1988"/>
      </w:tblGrid>
      <w:tr>
        <w:trPr>
          <w:trHeight w:val="401" w:hRule="exact"/>
        </w:trPr>
        <w:tc>
          <w:tcPr>
            <w:tcW w:w="1701"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补贴是否影响当年盈亏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是否特殊补贴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递延收益摊销转入科 技三项费用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38,729,156.97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与资产、收益相关</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92,849,571.32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37,880,793.23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169,459,521.52</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45</w:t>
      </w:r>
      <w:r>
        <w:rPr>
          <w:rFonts w:ascii="宋体" w:hAnsi="宋体" w:cs="宋体" w:eastAsia="宋体" w:hint="default"/>
          <w:b/>
          <w:bCs/>
          <w:sz w:val="20"/>
          <w:szCs w:val="20"/>
        </w:rPr>
        <w:t>、营业外支出</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5,397.00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5,397.00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5,397.00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5,397.00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1,250,340.63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124,915.78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1,250,340.63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20" w:right="98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6,926,735.36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1,491,652.62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6,926,735.36</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1,293,522.06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2,237,340.93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1,293,522.06</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2,761,522.44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1,232,409.44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2,761,522.44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12,457,517.49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5,126,318.77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12,457,517.49</w:t>
            </w:r>
          </w:p>
        </w:tc>
      </w:tr>
    </w:tbl>
    <w:p>
      <w:pPr>
        <w:spacing w:line="240" w:lineRule="auto" w:before="8"/>
        <w:rPr>
          <w:rFonts w:ascii="宋体" w:hAnsi="宋体" w:cs="宋体" w:eastAsia="宋体" w:hint="default"/>
          <w:sz w:val="19"/>
          <w:szCs w:val="19"/>
        </w:rPr>
      </w:pPr>
    </w:p>
    <w:p>
      <w:pPr>
        <w:spacing w:before="37"/>
        <w:ind w:left="212" w:right="0"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46</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5"/>
        <w:rPr>
          <w:rFonts w:ascii="宋体" w:hAnsi="宋体" w:cs="宋体" w:eastAsia="宋体" w:hint="default"/>
          <w:b/>
          <w:bCs/>
          <w:sz w:val="27"/>
          <w:szCs w:val="27"/>
        </w:rPr>
      </w:pPr>
    </w:p>
    <w:p>
      <w:pPr>
        <w:pStyle w:val="Heading5"/>
        <w:spacing w:line="240" w:lineRule="auto"/>
        <w:ind w:left="212"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143,681,759.52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138,740,666.80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30,690,980.96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10,231,542.84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上年企业所得税汇算清缴补计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-16,374,549.85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-38,136,740.88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157,998,190.63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110,835,468.76</w:t>
            </w:r>
          </w:p>
        </w:tc>
      </w:tr>
    </w:tbl>
    <w:p>
      <w:pPr>
        <w:spacing w:line="240" w:lineRule="auto" w:before="4"/>
        <w:rPr>
          <w:rFonts w:ascii="宋体" w:hAnsi="宋体" w:cs="宋体" w:eastAsia="宋体" w:hint="default"/>
          <w:sz w:val="20"/>
          <w:szCs w:val="20"/>
        </w:rPr>
      </w:pPr>
    </w:p>
    <w:p>
      <w:pPr>
        <w:pStyle w:val="Heading5"/>
        <w:spacing w:line="240" w:lineRule="auto" w:before="44"/>
        <w:ind w:left="212"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6379"/>
        <w:gridCol w:w="3190"/>
      </w:tblGrid>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1,121,998,090.67</w:t>
            </w:r>
          </w:p>
        </w:tc>
      </w:tr>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168,299,713.60</w:t>
            </w:r>
          </w:p>
        </w:tc>
      </w:tr>
      <w:tr>
        <w:trPr>
          <w:trHeight w:val="403"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12,753,519.90</w:t>
            </w:r>
          </w:p>
        </w:tc>
      </w:tr>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-16,374,549.85</w:t>
            </w:r>
          </w:p>
        </w:tc>
      </w:tr>
      <w:tr>
        <w:trPr>
          <w:trHeight w:val="403"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-2,280,793.43</w:t>
            </w:r>
          </w:p>
        </w:tc>
      </w:tr>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-2,146,744.44</w:t>
            </w:r>
          </w:p>
        </w:tc>
      </w:tr>
      <w:tr>
        <w:trPr>
          <w:trHeight w:val="404"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21,008,407.14</w:t>
            </w:r>
          </w:p>
        </w:tc>
      </w:tr>
      <w:tr>
        <w:trPr>
          <w:trHeight w:val="403"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-3,190.54</w:t>
            </w:r>
          </w:p>
        </w:tc>
      </w:tr>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加计扣除的成本、费用的影响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-21,530,083.50</w:t>
            </w:r>
          </w:p>
        </w:tc>
      </w:tr>
      <w:tr>
        <w:trPr>
          <w:trHeight w:val="403" w:hRule="exact"/>
        </w:trPr>
        <w:tc>
          <w:tcPr>
            <w:tcW w:w="6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利用以前年度可抵扣亏损对税额的影响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-1,728,088.26</w:t>
            </w:r>
          </w:p>
        </w:tc>
      </w:tr>
      <w:tr>
        <w:trPr>
          <w:trHeight w:val="401"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157,998,190.63</w:t>
            </w: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47</w:t>
      </w:r>
      <w:r>
        <w:rPr/>
        <w:t>、现金流量表项目</w:t>
      </w:r>
      <w:r>
        <w:rPr>
          <w:b w:val="0"/>
          <w:bCs w:val="0"/>
        </w:rPr>
      </w:r>
    </w:p>
    <w:p>
      <w:pPr>
        <w:spacing w:line="240" w:lineRule="auto" w:before="5"/>
        <w:rPr>
          <w:rFonts w:ascii="宋体" w:hAnsi="宋体" w:cs="宋体" w:eastAsia="宋体" w:hint="default"/>
          <w:b/>
          <w:bCs/>
          <w:sz w:val="27"/>
          <w:szCs w:val="27"/>
        </w:rPr>
      </w:pPr>
    </w:p>
    <w:p>
      <w:pPr>
        <w:pStyle w:val="Heading5"/>
        <w:spacing w:line="240" w:lineRule="auto"/>
        <w:ind w:left="212"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政府补助或专项拨款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100,321,672.37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82,824,393.23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收回员工借款等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12,533,767.27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4,924,395.38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28,365,179.93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24,717,978.73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退押金保证金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19,252,652.98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40,772,204.42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107,542,358.11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268,771,063.76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268,015,630.66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422,010,035.52</w:t>
            </w:r>
          </w:p>
        </w:tc>
      </w:tr>
    </w:tbl>
    <w:p>
      <w:pPr>
        <w:spacing w:line="240" w:lineRule="auto" w:before="4"/>
        <w:rPr>
          <w:rFonts w:ascii="宋体" w:hAnsi="宋体" w:cs="宋体" w:eastAsia="宋体" w:hint="default"/>
          <w:sz w:val="20"/>
          <w:szCs w:val="20"/>
        </w:rPr>
      </w:pPr>
    </w:p>
    <w:p>
      <w:pPr>
        <w:pStyle w:val="Heading5"/>
        <w:spacing w:line="240" w:lineRule="auto" w:before="44"/>
        <w:ind w:left="212"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445,357,178.41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518,149,988.04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35,349,209.29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31,093,575.24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30,539,334.74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48,294,009.53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182,523,731.33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330,358,685.96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693,989,453.77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927,936,258.77</w:t>
            </w: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48</w:t>
      </w:r>
      <w:r>
        <w:rPr/>
        <w:t>、现金流量表补充资料</w:t>
      </w:r>
      <w:r>
        <w:rPr>
          <w:b w:val="0"/>
          <w:bCs w:val="0"/>
        </w:rPr>
      </w:r>
    </w:p>
    <w:p>
      <w:pPr>
        <w:spacing w:line="240" w:lineRule="auto" w:before="2"/>
        <w:rPr>
          <w:rFonts w:ascii="宋体" w:hAnsi="宋体" w:cs="宋体" w:eastAsia="宋体" w:hint="default"/>
          <w:b/>
          <w:bCs/>
          <w:sz w:val="27"/>
          <w:szCs w:val="27"/>
        </w:rPr>
      </w:pPr>
    </w:p>
    <w:p>
      <w:pPr>
        <w:pStyle w:val="Heading5"/>
        <w:spacing w:line="240" w:lineRule="auto"/>
        <w:ind w:left="212"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5649"/>
        <w:gridCol w:w="1997"/>
        <w:gridCol w:w="1913"/>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963,999,900.04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891,655,450.08</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75,037,661.51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14,379,639.71</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129,331,863.10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105,770,344.41</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6,261,503.88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4,609,781.97</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11,593,262.56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14,122,453.77</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-1,747,844.72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-359,982.53</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5,397.00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16,395,835.43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9,299,490.87</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-510,951,235.98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-52,556,423.80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649"/>
        <w:gridCol w:w="1997"/>
        <w:gridCol w:w="1913"/>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-22,290,722.34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8,511,798.09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18,361,980.35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24,493,910.36</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-41,532,058.06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209,742,035.95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42,504,788.37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-5,947,866.80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-14,520,197.79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-111,879,804.33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672,450,133.35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1,111,840,827.75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3,701,187,691.11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3,205,127,343.18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3,205,127,343.18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2,490,705,654.29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496,060,347.93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714,421,688.89</w:t>
            </w:r>
          </w:p>
        </w:tc>
      </w:tr>
    </w:tbl>
    <w:p>
      <w:pPr>
        <w:spacing w:line="240" w:lineRule="auto" w:before="4"/>
        <w:rPr>
          <w:rFonts w:ascii="宋体" w:hAnsi="宋体" w:cs="宋体" w:eastAsia="宋体" w:hint="default"/>
          <w:sz w:val="20"/>
          <w:szCs w:val="20"/>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183,104,400.00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122,105,300.00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20,482,000.00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30,517,100.00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54,997,877.51</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2,190,878.77</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36,231,530.87</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黄石市金安押运保安服务有限公司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16,575,467.87</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128,106,522.49</w:t>
            </w:r>
          </w:p>
        </w:tc>
      </w:tr>
    </w:tbl>
    <w:p>
      <w:pPr>
        <w:spacing w:line="240" w:lineRule="auto" w:before="4"/>
        <w:rPr>
          <w:rFonts w:ascii="宋体" w:hAnsi="宋体" w:cs="宋体" w:eastAsia="宋体" w:hint="default"/>
          <w:sz w:val="20"/>
          <w:szCs w:val="20"/>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1"/>
        <w:gridCol w:w="2279"/>
        <w:gridCol w:w="2199"/>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3,701,187,691.11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3,205,127,343.18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3,403,471.34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4,374,746.36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3,697,784,219.77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3,200,752,596.82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3,701,187,691.11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3,205,127,343.18</w:t>
            </w:r>
          </w:p>
        </w:tc>
      </w:tr>
      <w:tr>
        <w:trPr>
          <w:trHeight w:val="40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161,153.52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5,529,671.97</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49</w:t>
      </w:r>
      <w:r>
        <w:rPr/>
        <w:t>、所有者权益变动表项目注释</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513" w:right="0"/>
        <w:jc w:val="left"/>
      </w:pPr>
      <w:r>
        <w:rPr/>
        <w:t>本期没有对上年期末余额进行调整的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50</w:t>
      </w:r>
      <w:r>
        <w:rPr/>
        <w:t>、所有权或使用权受到限制的资产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2781"/>
        <w:gridCol w:w="3473"/>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161,153.52</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银行承兑汇票质押保证及履约保证金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161,153.52</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51</w:t>
      </w:r>
      <w:r>
        <w:rPr/>
        <w:t>、外币货币性项目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）外币货币性项目</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78"/>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8" w:type="dxa"/>
            <w:tcBorders>
              <w:top w:val="single" w:sz="4" w:space="0" w:color="000000"/>
              <w:left w:val="single" w:sz="12" w:space="0" w:color="D2D2D2"/>
              <w:bottom w:val="single" w:sz="4" w:space="0" w:color="000000"/>
              <w:right w:val="single" w:sz="4" w:space="0" w:color="000000"/>
            </w:tcBorders>
            <w:shd w:val="clear" w:color="auto" w:fill="D9D9D9"/>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482,200,204.25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19" w:right="0"/>
              <w:jc w:val="left"/>
              <w:rPr>
                <w:rFonts w:ascii="Times New Roman" w:hAnsi="Times New Roman" w:cs="Times New Roman" w:eastAsia="Times New Roman" w:hint="default"/>
                <w:sz w:val="18"/>
                <w:szCs w:val="18"/>
              </w:rPr>
            </w:pPr>
            <w:r>
              <w:rPr>
                <w:rFonts w:ascii="Times New Roman"/>
                <w:sz w:val="18"/>
              </w:rPr>
              <w:t>54,652,439.97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6.5342</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357,109,973.25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7,993,438.15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62,367,202.48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62,651,477.50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52,370,370.04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4"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28,708.89</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74"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797,898.58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3,896,218.56</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3,717,365.24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6,427,696.24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34.79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123,817,615.33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14,721,090.43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96,190,549.08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300,392.12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2,343,749.44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10,692,602.59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8,937,946.50</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9,453,108.73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16,345,370.31</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6,237,342.41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865,230.92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5,653,591.88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39,832.01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310,781.29</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326,557.28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272,969.24</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2,674,088.20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256,813.29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1,678,069.40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38,059.07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296,948.28</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85,115.90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1,684,101,487.42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505,230.45</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108,724.17</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250,683.01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80,843.92</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008"/>
              <w:jc w:val="right"/>
              <w:rPr>
                <w:rFonts w:ascii="宋体" w:hAnsi="宋体" w:cs="宋体" w:eastAsia="宋体" w:hint="default"/>
                <w:sz w:val="18"/>
                <w:szCs w:val="18"/>
              </w:rPr>
            </w:pPr>
            <w:r>
              <w:rPr>
                <w:rFonts w:ascii="宋体" w:hAnsi="宋体" w:cs="宋体" w:eastAsia="宋体" w:hint="default"/>
                <w:sz w:val="18"/>
                <w:szCs w:val="18"/>
              </w:rPr>
              <w:t>墨西哥比索</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509,262.64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169,839.09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35,870,110.14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20,744,959.89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35,870,110.14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57,046,083.50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7,426,908.09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48,528,902.84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1,267,478.33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8,672,930.17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7,249,702.33</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1,529,414.93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3,079.99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20,125.27</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119,704.56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677,986.63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1,172,306.68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217,278.42</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3,708,830.22</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208,151.94</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814,466.02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680,812.15</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1,630,828.83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2,819,866.13</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1130"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7,845,081.09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738,307.07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4,824,246.06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170,516.43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1,330,420.34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538,413.90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450,060.18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9,725.35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85,380.79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170,070.56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1,026,539,350.00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307,961.81</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391,499.25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676,941.35</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4"/>
        <w:spacing w:line="273" w:lineRule="auto" w:before="37"/>
        <w:ind w:right="87"/>
        <w:jc w:val="left"/>
        <w:rPr>
          <w:b w:val="0"/>
          <w:bCs w:val="0"/>
        </w:rPr>
      </w:pPr>
      <w:r>
        <w:rPr>
          <w:w w:val="95"/>
        </w:rPr>
        <w:t>（</w:t>
      </w:r>
      <w:r>
        <w:rPr>
          <w:rFonts w:ascii="Times New Roman" w:hAnsi="Times New Roman" w:cs="Times New Roman" w:eastAsia="Times New Roman" w:hint="default"/>
          <w:w w:val="95"/>
          <w:sz w:val="18"/>
          <w:szCs w:val="18"/>
        </w:rPr>
        <w:t>2</w:t>
      </w:r>
      <w:r>
        <w:rPr>
          <w:w w:val="95"/>
        </w:rPr>
        <w:t>）境外经营实体说明，包括对于重要的境外经营实体，应披露其境外主要经营地、记账本位币及选择依据，</w:t>
      </w:r>
      <w:r>
        <w:rPr>
          <w:spacing w:val="92"/>
          <w:w w:val="95"/>
        </w:rPr>
        <w:t> </w:t>
      </w:r>
      <w:r>
        <w:rPr>
          <w:spacing w:val="92"/>
          <w:w w:val="95"/>
        </w:rPr>
      </w:r>
      <w:r>
        <w:rPr/>
        <w:t>记账本位币发生变化的还应披露原因。</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33"/>
        <w:ind w:right="87" w:firstLine="420"/>
        <w:jc w:val="left"/>
      </w:pPr>
      <w:r>
        <w:rPr/>
        <w:t>本公司的重要境外经营实体是全资子公司</w:t>
      </w:r>
      <w:r>
        <w:rPr>
          <w:rFonts w:ascii="Times New Roman" w:hAnsi="Times New Roman" w:cs="Times New Roman" w:eastAsia="Times New Roman" w:hint="default"/>
        </w:rPr>
        <w:t>GRG Banking</w:t>
      </w:r>
      <w:r>
        <w:rPr>
          <w:rFonts w:ascii="Times New Roman" w:hAnsi="Times New Roman" w:cs="Times New Roman" w:eastAsia="Times New Roman" w:hint="default"/>
          <w:spacing w:val="52"/>
        </w:rPr>
        <w:t> </w:t>
      </w:r>
      <w:r>
        <w:rPr>
          <w:rFonts w:ascii="Times New Roman" w:hAnsi="Times New Roman" w:cs="Times New Roman" w:eastAsia="Times New Roman" w:hint="default"/>
        </w:rPr>
        <w:t>Equipment(HK)Co.Limited</w:t>
      </w:r>
      <w:r>
        <w:rPr/>
        <w:t>，主要经营地是香</w:t>
      </w:r>
      <w:r>
        <w:rPr>
          <w:w w:val="100"/>
        </w:rPr>
        <w:t> </w:t>
      </w:r>
      <w:r>
        <w:rPr/>
        <w:t>港，记账本位币是港元。</w:t>
      </w:r>
    </w:p>
    <w:p>
      <w:pPr>
        <w:spacing w:line="240" w:lineRule="auto" w:before="1"/>
        <w:rPr>
          <w:rFonts w:ascii="宋体" w:hAnsi="宋体" w:cs="宋体" w:eastAsia="宋体" w:hint="default"/>
          <w:sz w:val="20"/>
          <w:szCs w:val="20"/>
        </w:rPr>
      </w:pPr>
    </w:p>
    <w:p>
      <w:pPr>
        <w:pStyle w:val="Heading2"/>
        <w:spacing w:line="240" w:lineRule="auto"/>
        <w:ind w:right="87"/>
        <w:jc w:val="left"/>
        <w:rPr>
          <w:b w:val="0"/>
          <w:bCs w:val="0"/>
        </w:rPr>
      </w:pP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87"/>
        <w:jc w:val="left"/>
        <w:rPr>
          <w:b w:val="0"/>
          <w:bCs w:val="0"/>
        </w:rPr>
      </w:pPr>
      <w:r>
        <w:rPr>
          <w:rFonts w:ascii="Times New Roman" w:hAnsi="Times New Roman" w:cs="Times New Roman" w:eastAsia="Times New Roman" w:hint="default"/>
          <w:sz w:val="18"/>
          <w:szCs w:val="18"/>
        </w:rPr>
        <w:t>1</w:t>
      </w:r>
      <w:r>
        <w:rPr/>
        <w:t>、非同一控制下企业合并</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87"/>
        <w:jc w:val="left"/>
        <w:rPr>
          <w:b w:val="0"/>
          <w:bCs w:val="0"/>
        </w:rPr>
      </w:pPr>
      <w:r>
        <w:rPr/>
        <w:t>（</w:t>
      </w:r>
      <w:r>
        <w:rPr>
          <w:rFonts w:ascii="Times New Roman" w:hAnsi="Times New Roman" w:cs="Times New Roman" w:eastAsia="Times New Roman" w:hint="default"/>
          <w:sz w:val="18"/>
          <w:szCs w:val="18"/>
        </w:rPr>
        <w:t>1</w:t>
      </w:r>
      <w:r>
        <w:rPr/>
        <w:t>）本期发生的非同一控制下企业合并</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1277"/>
        <w:gridCol w:w="708"/>
        <w:gridCol w:w="708"/>
        <w:gridCol w:w="994"/>
        <w:gridCol w:w="850"/>
        <w:gridCol w:w="1421"/>
        <w:gridCol w:w="1061"/>
      </w:tblGrid>
      <w:tr>
        <w:trPr>
          <w:trHeight w:val="102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311" w:right="12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75"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84"/>
              <w:jc w:val="left"/>
              <w:rPr>
                <w:rFonts w:ascii="宋体" w:hAnsi="宋体" w:cs="宋体" w:eastAsia="宋体" w:hint="default"/>
                <w:sz w:val="18"/>
                <w:szCs w:val="18"/>
              </w:rPr>
            </w:pPr>
            <w:r>
              <w:rPr>
                <w:rFonts w:ascii="宋体" w:hAnsi="宋体" w:cs="宋体" w:eastAsia="宋体" w:hint="default"/>
                <w:sz w:val="18"/>
                <w:szCs w:val="18"/>
              </w:rPr>
              <w:t>保山安邦武装守护 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20,482,000.00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312"/>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41,404,673.16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5,105,087.43</w:t>
            </w:r>
          </w:p>
        </w:tc>
      </w:tr>
      <w:tr>
        <w:trPr>
          <w:trHeight w:val="7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84"/>
              <w:jc w:val="left"/>
              <w:rPr>
                <w:rFonts w:ascii="宋体" w:hAnsi="宋体" w:cs="宋体" w:eastAsia="宋体" w:hint="default"/>
                <w:sz w:val="18"/>
                <w:szCs w:val="18"/>
              </w:rPr>
            </w:pPr>
            <w:r>
              <w:rPr>
                <w:rFonts w:ascii="宋体" w:hAnsi="宋体" w:cs="宋体" w:eastAsia="宋体" w:hint="default"/>
                <w:sz w:val="18"/>
                <w:szCs w:val="18"/>
              </w:rPr>
              <w:t>鹤壁市鹏翔保安服 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30,517,100.00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312"/>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29,472,436.02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-2,518,461.28</w:t>
            </w:r>
          </w:p>
        </w:tc>
      </w:tr>
      <w:tr>
        <w:trPr>
          <w:trHeight w:val="7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4" w:right="84"/>
              <w:jc w:val="left"/>
              <w:rPr>
                <w:rFonts w:ascii="宋体" w:hAnsi="宋体" w:cs="宋体" w:eastAsia="宋体" w:hint="default"/>
                <w:sz w:val="18"/>
                <w:szCs w:val="18"/>
              </w:rPr>
            </w:pPr>
            <w:r>
              <w:rPr>
                <w:rFonts w:ascii="宋体" w:hAnsi="宋体" w:cs="宋体" w:eastAsia="宋体" w:hint="default"/>
                <w:sz w:val="18"/>
                <w:szCs w:val="18"/>
              </w:rPr>
              <w:t>黄石市金安押运保 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40,494,800.00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312"/>
              <w:jc w:val="left"/>
              <w:rPr>
                <w:rFonts w:ascii="宋体" w:hAnsi="宋体" w:cs="宋体" w:eastAsia="宋体" w:hint="default"/>
                <w:sz w:val="18"/>
                <w:szCs w:val="18"/>
              </w:rPr>
            </w:pPr>
            <w:r>
              <w:rPr>
                <w:rFonts w:ascii="宋体" w:hAnsi="宋体" w:cs="宋体" w:eastAsia="宋体" w:hint="default"/>
                <w:sz w:val="18"/>
                <w:szCs w:val="18"/>
              </w:rPr>
              <w:t>股权 受让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31,691,581.38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3,359,381.36</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0"/>
              <w:jc w:val="center"/>
              <w:rPr>
                <w:rFonts w:ascii="宋体" w:hAnsi="宋体" w:cs="宋体" w:eastAsia="宋体" w:hint="default"/>
                <w:sz w:val="18"/>
                <w:szCs w:val="18"/>
              </w:rPr>
            </w:pPr>
            <w:r>
              <w:rPr>
                <w:rFonts w:ascii="宋体" w:hAnsi="宋体" w:cs="宋体" w:eastAsia="宋体" w:hint="default"/>
                <w:sz w:val="18"/>
                <w:szCs w:val="18"/>
              </w:rPr>
              <w:t>益阳市保安服务有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122,105,300.00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19,756,125.06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3,247,669.11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1277"/>
        <w:gridCol w:w="708"/>
        <w:gridCol w:w="708"/>
        <w:gridCol w:w="994"/>
        <w:gridCol w:w="850"/>
        <w:gridCol w:w="1421"/>
        <w:gridCol w:w="1061"/>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登记</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84"/>
              <w:jc w:val="left"/>
              <w:rPr>
                <w:rFonts w:ascii="宋体" w:hAnsi="宋体" w:cs="宋体" w:eastAsia="宋体" w:hint="default"/>
                <w:sz w:val="18"/>
                <w:szCs w:val="18"/>
              </w:rPr>
            </w:pPr>
            <w:r>
              <w:rPr>
                <w:rFonts w:ascii="宋体" w:hAnsi="宋体" w:cs="宋体" w:eastAsia="宋体" w:hint="default"/>
                <w:sz w:val="18"/>
                <w:szCs w:val="18"/>
              </w:rPr>
              <w:t>安化县锦鑫保安服 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312"/>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-208,113.91</w:t>
            </w:r>
          </w:p>
        </w:tc>
      </w:tr>
      <w:tr>
        <w:trPr>
          <w:trHeight w:val="7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84"/>
              <w:jc w:val="left"/>
              <w:rPr>
                <w:rFonts w:ascii="宋体" w:hAnsi="宋体" w:cs="宋体" w:eastAsia="宋体" w:hint="default"/>
                <w:sz w:val="18"/>
                <w:szCs w:val="18"/>
              </w:rPr>
            </w:pPr>
            <w:r>
              <w:rPr>
                <w:rFonts w:ascii="宋体" w:hAnsi="宋体" w:cs="宋体" w:eastAsia="宋体" w:hint="default"/>
                <w:sz w:val="18"/>
                <w:szCs w:val="18"/>
              </w:rPr>
              <w:t>南县保安服务有限 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312"/>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-70,647.36</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）合并成本及商誉</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保山安邦武装守 护押运有限责任 公司</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39" w:right="48" w:hanging="92"/>
              <w:jc w:val="left"/>
              <w:rPr>
                <w:rFonts w:ascii="宋体" w:hAnsi="宋体" w:cs="宋体" w:eastAsia="宋体" w:hint="default"/>
                <w:sz w:val="18"/>
                <w:szCs w:val="18"/>
              </w:rPr>
            </w:pPr>
            <w:r>
              <w:rPr>
                <w:rFonts w:ascii="宋体" w:hAnsi="宋体" w:cs="宋体" w:eastAsia="宋体" w:hint="default"/>
                <w:sz w:val="18"/>
                <w:szCs w:val="18"/>
              </w:rPr>
              <w:t>鹤壁市鹏翔保安 服务有限公司</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8" w:right="46"/>
              <w:jc w:val="center"/>
              <w:rPr>
                <w:rFonts w:ascii="宋体" w:hAnsi="宋体" w:cs="宋体" w:eastAsia="宋体" w:hint="default"/>
                <w:sz w:val="18"/>
                <w:szCs w:val="18"/>
              </w:rPr>
            </w:pPr>
            <w:r>
              <w:rPr>
                <w:rFonts w:ascii="宋体" w:hAnsi="宋体" w:cs="宋体" w:eastAsia="宋体" w:hint="default"/>
                <w:sz w:val="18"/>
                <w:szCs w:val="18"/>
              </w:rPr>
              <w:t>黄石市金安押运 保安服务有限公 司</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39" w:right="48" w:hanging="92"/>
              <w:jc w:val="left"/>
              <w:rPr>
                <w:rFonts w:ascii="宋体" w:hAnsi="宋体" w:cs="宋体" w:eastAsia="宋体" w:hint="default"/>
                <w:sz w:val="18"/>
                <w:szCs w:val="18"/>
              </w:rPr>
            </w:pPr>
            <w:r>
              <w:rPr>
                <w:rFonts w:ascii="宋体" w:hAnsi="宋体" w:cs="宋体" w:eastAsia="宋体" w:hint="default"/>
                <w:sz w:val="18"/>
                <w:szCs w:val="18"/>
              </w:rPr>
              <w:t>益阳市保安服务 有限责任公司</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7" w:right="50"/>
              <w:jc w:val="center"/>
              <w:rPr>
                <w:rFonts w:ascii="宋体" w:hAnsi="宋体" w:cs="宋体" w:eastAsia="宋体" w:hint="default"/>
                <w:sz w:val="18"/>
                <w:szCs w:val="18"/>
              </w:rPr>
            </w:pPr>
            <w:r>
              <w:rPr>
                <w:rFonts w:ascii="宋体" w:hAnsi="宋体" w:cs="宋体" w:eastAsia="宋体" w:hint="default"/>
                <w:sz w:val="18"/>
                <w:szCs w:val="18"/>
              </w:rPr>
              <w:t>安化县锦鑫保安 服务有限责任公 司</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南县保安服务有 限责任公司</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30,517,100.00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122,105,300.00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30,517,100.00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122,105,300.00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减：取得的可辨 认净资产公允价 值份额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4,437,645.57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25,986,978.78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26,068,981.84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4,130,264.99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1,514,443.59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811,937.29</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 于取得的可辨认 净资产公允价值 份额的金额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16,044,354.43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4,530,121.22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14,425,818.16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117,975,035.01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3,485,556.41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4,188,062.71</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3</w:t>
      </w:r>
      <w:r>
        <w:rPr/>
        <w:t>）被购买方于购买日可辨认资产、负债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7"/>
        <w:gridCol w:w="735"/>
        <w:gridCol w:w="737"/>
        <w:gridCol w:w="737"/>
        <w:gridCol w:w="735"/>
        <w:gridCol w:w="737"/>
        <w:gridCol w:w="737"/>
      </w:tblGrid>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0" w:right="98"/>
              <w:jc w:val="center"/>
              <w:rPr>
                <w:rFonts w:ascii="宋体" w:hAnsi="宋体" w:cs="宋体" w:eastAsia="宋体" w:hint="default"/>
                <w:sz w:val="18"/>
                <w:szCs w:val="18"/>
              </w:rPr>
            </w:pPr>
            <w:r>
              <w:rPr>
                <w:rFonts w:ascii="宋体" w:hAnsi="宋体" w:cs="宋体" w:eastAsia="宋体" w:hint="default"/>
                <w:sz w:val="18"/>
                <w:szCs w:val="18"/>
              </w:rPr>
              <w:t>保山安邦武装守 护押运有限责任 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91" w:right="99" w:hanging="92"/>
              <w:jc w:val="left"/>
              <w:rPr>
                <w:rFonts w:ascii="宋体" w:hAnsi="宋体" w:cs="宋体" w:eastAsia="宋体" w:hint="default"/>
                <w:sz w:val="18"/>
                <w:szCs w:val="18"/>
              </w:rPr>
            </w:pPr>
            <w:r>
              <w:rPr>
                <w:rFonts w:ascii="宋体" w:hAnsi="宋体" w:cs="宋体" w:eastAsia="宋体" w:hint="default"/>
                <w:sz w:val="18"/>
                <w:szCs w:val="18"/>
              </w:rPr>
              <w:t>鹤壁市鹏翔保安 服务有限公司</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0" w:right="101"/>
              <w:jc w:val="center"/>
              <w:rPr>
                <w:rFonts w:ascii="宋体" w:hAnsi="宋体" w:cs="宋体" w:eastAsia="宋体" w:hint="default"/>
                <w:sz w:val="18"/>
                <w:szCs w:val="18"/>
              </w:rPr>
            </w:pPr>
            <w:r>
              <w:rPr>
                <w:rFonts w:ascii="宋体" w:hAnsi="宋体" w:cs="宋体" w:eastAsia="宋体" w:hint="default"/>
                <w:sz w:val="18"/>
                <w:szCs w:val="18"/>
              </w:rPr>
              <w:t>黄石市金安押运 保安服务有限公 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92" w:right="98" w:hanging="92"/>
              <w:jc w:val="left"/>
              <w:rPr>
                <w:rFonts w:ascii="宋体" w:hAnsi="宋体" w:cs="宋体" w:eastAsia="宋体" w:hint="default"/>
                <w:sz w:val="18"/>
                <w:szCs w:val="18"/>
              </w:rPr>
            </w:pPr>
            <w:r>
              <w:rPr>
                <w:rFonts w:ascii="宋体" w:hAnsi="宋体" w:cs="宋体" w:eastAsia="宋体" w:hint="default"/>
                <w:sz w:val="18"/>
                <w:szCs w:val="18"/>
              </w:rPr>
              <w:t>益阳市保安服务 有限责任公司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0" w:right="99"/>
              <w:jc w:val="center"/>
              <w:rPr>
                <w:rFonts w:ascii="宋体" w:hAnsi="宋体" w:cs="宋体" w:eastAsia="宋体" w:hint="default"/>
                <w:sz w:val="18"/>
                <w:szCs w:val="18"/>
              </w:rPr>
            </w:pPr>
            <w:r>
              <w:rPr>
                <w:rFonts w:ascii="宋体" w:hAnsi="宋体" w:cs="宋体" w:eastAsia="宋体" w:hint="default"/>
                <w:sz w:val="18"/>
                <w:szCs w:val="18"/>
              </w:rPr>
              <w:t>安化县锦鑫保安 服务有限责任公 司</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南县保安服务有 限责任公司</w:t>
            </w:r>
          </w:p>
        </w:tc>
      </w:tr>
      <w:tr>
        <w:trPr>
          <w:trHeight w:val="1025"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2"/>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4" w:right="89"/>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12,913,7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12,314,4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49,407,1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46,648,1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32,862,6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24,442,2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38.12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24,928,3</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38.53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22,121,8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91.16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1,514,44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1,514,44</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919,196.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490,160.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2,190,87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2,190,87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36,231,5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36,231,5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16,575,4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16,575,4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8,043,24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8,043,24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应收款 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6,998,87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6,998,87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7,371,73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7,371,73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1,696,87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1,696,87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11,506,6</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95.78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11,506,6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95.78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420,911.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368,426.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7,360.00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7,360.00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5,300.00</w:t>
            </w:r>
          </w:p>
        </w:tc>
      </w:tr>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3,041,75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2,442,37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4,575,07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1,868,49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14,516,0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6,095,67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5,348,87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2,542,42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1,514,44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1,514,44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913,896.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484,860.</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7"/>
        <w:gridCol w:w="735"/>
        <w:gridCol w:w="737"/>
        <w:gridCol w:w="737"/>
        <w:gridCol w:w="735"/>
        <w:gridCol w:w="737"/>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5.25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73.51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3.95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3.59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9" w:right="0"/>
              <w:jc w:val="left"/>
              <w:rPr>
                <w:rFonts w:ascii="Times New Roman" w:hAnsi="Times New Roman" w:cs="Times New Roman" w:eastAsia="Times New Roman" w:hint="default"/>
                <w:sz w:val="18"/>
                <w:szCs w:val="18"/>
              </w:rPr>
            </w:pPr>
            <w:r>
              <w:rPr>
                <w:rFonts w:ascii="Times New Roman"/>
                <w:sz w:val="18"/>
              </w:rPr>
              <w:t>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无形资 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预付款 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123,742.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固定资 产清理</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长期待 摊费用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161"/>
              <w:jc w:val="both"/>
              <w:rPr>
                <w:rFonts w:ascii="宋体" w:hAnsi="宋体" w:cs="宋体" w:eastAsia="宋体" w:hint="default"/>
                <w:sz w:val="18"/>
                <w:szCs w:val="18"/>
              </w:rPr>
            </w:pPr>
            <w:r>
              <w:rPr>
                <w:rFonts w:ascii="宋体" w:hAnsi="宋体" w:cs="宋体" w:eastAsia="宋体" w:hint="default"/>
                <w:sz w:val="18"/>
                <w:szCs w:val="18"/>
              </w:rPr>
              <w:t>递延所 得税资 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471,979.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471,979.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5,610.87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5,610.87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3,857,36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3,707,51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6,095,54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5,405,77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6,793,65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4,688,55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20,798,0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20,096,4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应付款 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3,707,51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3,707,51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5,405,77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5,405,77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4,688,55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4,688,55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20,096,4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20,096,4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递延所 得税负 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149,845.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689,766.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2,105,09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701,611.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9,056,41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8,606,88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43,311,6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41,242,3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26,068,9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19,753,6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4,130,26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2,025,42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1,514,44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1,514,44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811,937.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1"/>
                <w:sz w:val="18"/>
                <w:szCs w:val="18"/>
              </w:rPr>
              <w:t>减：少数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股东权 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4,618,77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4,389,51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17,324,6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16,496,9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4,437,64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4,217,37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25,986,9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24,745,3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26,068,9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19,753,6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4,130,26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2,025,42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1,514,44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1,514,44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811,937.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9"/>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right="0"/>
        <w:jc w:val="left"/>
      </w:pPr>
      <w:r>
        <w:rPr/>
        <w:t>购买日之前本公司没有持有上述公司的股权。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3"/>
          <w:szCs w:val="23"/>
        </w:rPr>
      </w:pPr>
    </w:p>
    <w:p>
      <w:pPr>
        <w:pStyle w:val="Heading3"/>
        <w:spacing w:line="240" w:lineRule="auto"/>
        <w:ind w:right="0"/>
        <w:jc w:val="left"/>
      </w:pPr>
      <w:r>
        <w:rPr/>
        <w:t>公司本期不存在购买日或合并当期期末无法合理确定合并对价或购买方可辨认资产、负债公允价值。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2</w:t>
      </w:r>
      <w:r>
        <w:rPr/>
        <w:t>、同一控制下企业合并</w:t>
      </w:r>
      <w:r>
        <w:rPr>
          <w:b w:val="0"/>
          <w:bCs w:val="0"/>
        </w:rPr>
      </w:r>
    </w:p>
    <w:p>
      <w:pPr>
        <w:spacing w:line="240" w:lineRule="auto" w:before="13"/>
        <w:rPr>
          <w:rFonts w:ascii="宋体" w:hAnsi="宋体" w:cs="宋体" w:eastAsia="宋体" w:hint="default"/>
          <w:b/>
          <w:bCs/>
          <w:sz w:val="23"/>
          <w:szCs w:val="23"/>
        </w:rPr>
      </w:pPr>
    </w:p>
    <w:p>
      <w:pPr>
        <w:pStyle w:val="Heading3"/>
        <w:spacing w:line="240" w:lineRule="auto"/>
        <w:ind w:right="0"/>
        <w:jc w:val="left"/>
      </w:pPr>
      <w:r>
        <w:rPr/>
        <w:t>公司本期未发生同一控制下企业合并。</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3</w:t>
      </w:r>
      <w:r>
        <w:rPr/>
        <w:t>、反向购买</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right="0"/>
        <w:jc w:val="left"/>
      </w:pPr>
      <w:r>
        <w:rPr/>
        <w:t>公司本期未发生反向购买。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4</w:t>
      </w:r>
      <w:r>
        <w:rPr/>
        <w:t>、处置子公司</w:t>
      </w:r>
      <w:r>
        <w:rPr>
          <w:b w:val="0"/>
          <w:bCs w:val="0"/>
        </w:rPr>
      </w:r>
    </w:p>
    <w:p>
      <w:pPr>
        <w:spacing w:line="240" w:lineRule="auto" w:before="10"/>
        <w:rPr>
          <w:rFonts w:ascii="宋体" w:hAnsi="宋体" w:cs="宋体" w:eastAsia="宋体" w:hint="default"/>
          <w:b/>
          <w:bCs/>
          <w:sz w:val="23"/>
          <w:szCs w:val="23"/>
        </w:rPr>
      </w:pPr>
    </w:p>
    <w:p>
      <w:pPr>
        <w:pStyle w:val="Heading3"/>
        <w:spacing w:line="240" w:lineRule="auto"/>
        <w:ind w:right="0"/>
        <w:jc w:val="left"/>
      </w:pPr>
      <w:r>
        <w:rPr/>
        <w:t>公司本期未发生处置子公司。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5</w:t>
      </w:r>
      <w:r>
        <w:rPr/>
        <w:t>、其他原因的合并范围变动</w:t>
      </w:r>
      <w:r>
        <w:rPr>
          <w:b w:val="0"/>
          <w:bCs w:val="0"/>
        </w:rPr>
      </w:r>
    </w:p>
    <w:p>
      <w:pPr>
        <w:spacing w:line="240" w:lineRule="auto" w:before="11"/>
        <w:rPr>
          <w:rFonts w:ascii="宋体" w:hAnsi="宋体" w:cs="宋体" w:eastAsia="宋体" w:hint="default"/>
          <w:b/>
          <w:bCs/>
          <w:sz w:val="23"/>
          <w:szCs w:val="23"/>
        </w:rPr>
      </w:pPr>
    </w:p>
    <w:p>
      <w:pPr>
        <w:pStyle w:val="Heading3"/>
        <w:spacing w:line="240" w:lineRule="auto"/>
        <w:ind w:right="0"/>
        <w:jc w:val="left"/>
      </w:pPr>
      <w:r>
        <w:rPr/>
        <w:t>公司本期未发生其他原因的合并范围变动。</w:t>
      </w: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九、在其他主体中的权益</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、在子公司中的权益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）企业集团的构成</w:t>
      </w:r>
      <w:r>
        <w:rPr>
          <w:b w:val="0"/>
          <w:bCs w:val="0"/>
        </w:rPr>
      </w:r>
    </w:p>
    <w:p>
      <w:pPr>
        <w:spacing w:line="240" w:lineRule="auto" w:before="7"/>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991"/>
        <w:gridCol w:w="1277"/>
        <w:gridCol w:w="708"/>
        <w:gridCol w:w="853"/>
        <w:gridCol w:w="1632"/>
      </w:tblGrid>
      <w:tr>
        <w:trPr>
          <w:trHeight w:val="402"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GRG HT (HK)</w:t>
            </w:r>
            <w:r>
              <w:rPr>
                <w:rFonts w:ascii="Times New Roman"/>
                <w:spacing w:val="-12"/>
                <w:sz w:val="18"/>
              </w:rPr>
              <w:t> </w:t>
            </w:r>
            <w:r>
              <w:rPr>
                <w:rFonts w:ascii="Times New Roman"/>
                <w:sz w:val="18"/>
              </w:rPr>
              <w:t>Co.,Limited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60.10%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5"/>
              <w:jc w:val="left"/>
              <w:rPr>
                <w:rFonts w:ascii="宋体" w:hAnsi="宋体" w:cs="宋体" w:eastAsia="宋体" w:hint="default"/>
                <w:sz w:val="18"/>
                <w:szCs w:val="18"/>
              </w:rPr>
            </w:pPr>
            <w:r>
              <w:rPr>
                <w:rFonts w:ascii="宋体" w:hAnsi="宋体" w:cs="宋体" w:eastAsia="宋体" w:hint="default"/>
                <w:sz w:val="18"/>
                <w:szCs w:val="18"/>
              </w:rPr>
              <w:t>赣州中联电镀原料配送经营服务有限公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赣州龙源环保产业经营管理有限公司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991"/>
        <w:gridCol w:w="1277"/>
        <w:gridCol w:w="708"/>
        <w:gridCol w:w="853"/>
        <w:gridCol w:w="1632"/>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石家庄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石家庄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宜昌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宜昌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辽宁沈阳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辽宁沈阳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河南郑州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河南郑州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河北邢台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河北邢台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南阳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南阳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山西太原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山西太原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38" w:hanging="272"/>
              <w:jc w:val="left"/>
              <w:rPr>
                <w:rFonts w:ascii="宋体" w:hAnsi="宋体" w:cs="宋体" w:eastAsia="宋体" w:hint="default"/>
                <w:sz w:val="18"/>
                <w:szCs w:val="18"/>
              </w:rPr>
            </w:pPr>
            <w:r>
              <w:rPr>
                <w:rFonts w:ascii="宋体" w:hAnsi="宋体" w:cs="宋体" w:eastAsia="宋体" w:hint="default"/>
                <w:sz w:val="18"/>
                <w:szCs w:val="18"/>
              </w:rPr>
              <w:t>内蒙古呼和 浩特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38" w:hanging="272"/>
              <w:jc w:val="left"/>
              <w:rPr>
                <w:rFonts w:ascii="宋体" w:hAnsi="宋体" w:cs="宋体" w:eastAsia="宋体" w:hint="default"/>
                <w:sz w:val="18"/>
                <w:szCs w:val="18"/>
              </w:rPr>
            </w:pPr>
            <w:r>
              <w:rPr>
                <w:rFonts w:ascii="宋体" w:hAnsi="宋体" w:cs="宋体" w:eastAsia="宋体" w:hint="default"/>
                <w:sz w:val="18"/>
                <w:szCs w:val="18"/>
              </w:rPr>
              <w:t>内蒙古呼和 浩特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5"/>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宜昌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宜昌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商洛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商洛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武威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武威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邵阳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兴安盟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兴安盟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巴彦淖尔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巴彦淖尔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揭阳市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揭阳市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93"/>
              <w:jc w:val="left"/>
              <w:rPr>
                <w:rFonts w:ascii="Times New Roman" w:hAnsi="Times New Roman" w:cs="Times New Roman" w:eastAsia="Times New Roman" w:hint="default"/>
                <w:sz w:val="18"/>
                <w:szCs w:val="18"/>
              </w:rPr>
            </w:pPr>
            <w:r>
              <w:rPr>
                <w:rFonts w:ascii="Times New Roman"/>
                <w:sz w:val="18"/>
              </w:rPr>
              <w:t>GRG</w:t>
            </w:r>
            <w:r>
              <w:rPr>
                <w:rFonts w:ascii="Times New Roman"/>
                <w:spacing w:val="-4"/>
                <w:sz w:val="18"/>
              </w:rPr>
              <w:t> </w:t>
            </w:r>
            <w:r>
              <w:rPr>
                <w:rFonts w:ascii="Times New Roman"/>
                <w:sz w:val="18"/>
              </w:rPr>
              <w:t>Banking</w:t>
            </w:r>
            <w:r>
              <w:rPr>
                <w:rFonts w:ascii="Times New Roman"/>
                <w:sz w:val="18"/>
              </w:rPr>
              <w:t> Equipment(HK)Co.Limited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Global ATM Parts</w:t>
            </w:r>
            <w:r>
              <w:rPr>
                <w:rFonts w:ascii="Times New Roman"/>
                <w:spacing w:val="-13"/>
                <w:sz w:val="18"/>
              </w:rPr>
              <w:t> </w:t>
            </w:r>
            <w:r>
              <w:rPr>
                <w:rFonts w:ascii="Times New Roman"/>
                <w:sz w:val="18"/>
              </w:rPr>
              <w:t>Co.,Limited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GRG Hongkong</w:t>
            </w:r>
            <w:r>
              <w:rPr>
                <w:rFonts w:ascii="Times New Roman"/>
                <w:spacing w:val="-13"/>
                <w:sz w:val="18"/>
              </w:rPr>
              <w:t> </w:t>
            </w:r>
            <w:r>
              <w:rPr>
                <w:rFonts w:ascii="Times New Roman"/>
                <w:sz w:val="18"/>
              </w:rPr>
              <w:t>Mexico,S.A.DE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墨西哥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墨西哥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GRG Turkiye Bankacilik Ekipmanlari</w:t>
            </w:r>
            <w:r>
              <w:rPr>
                <w:rFonts w:ascii="Times New Roman"/>
                <w:spacing w:val="-12"/>
                <w:sz w:val="18"/>
              </w:rPr>
              <w:t> </w:t>
            </w:r>
            <w:r>
              <w:rPr>
                <w:rFonts w:ascii="Times New Roman"/>
                <w:sz w:val="18"/>
              </w:rPr>
              <w:t>Ltd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土耳其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土耳其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GRG Banking Equipment (HK)</w:t>
            </w:r>
            <w:r>
              <w:rPr>
                <w:rFonts w:ascii="Times New Roman"/>
                <w:spacing w:val="-9"/>
                <w:sz w:val="18"/>
              </w:rPr>
              <w:t> </w:t>
            </w:r>
            <w:r>
              <w:rPr>
                <w:rFonts w:ascii="Times New Roman"/>
                <w:sz w:val="18"/>
              </w:rPr>
              <w:t>Europe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立陶宛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立陶宛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GRG Deutschland</w:t>
            </w:r>
            <w:r>
              <w:rPr>
                <w:rFonts w:ascii="Times New Roman"/>
                <w:spacing w:val="-9"/>
                <w:sz w:val="18"/>
              </w:rPr>
              <w:t> </w:t>
            </w:r>
            <w:r>
              <w:rPr>
                <w:rFonts w:ascii="Times New Roman"/>
                <w:sz w:val="18"/>
              </w:rPr>
              <w:t>GmbH</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GRG Equipment (Singapore) Pte.</w:t>
            </w:r>
            <w:r>
              <w:rPr>
                <w:rFonts w:ascii="Times New Roman"/>
                <w:spacing w:val="-12"/>
                <w:sz w:val="18"/>
              </w:rPr>
              <w:t> </w:t>
            </w:r>
            <w:r>
              <w:rPr>
                <w:rFonts w:ascii="Times New Roman"/>
                <w:sz w:val="18"/>
              </w:rPr>
              <w:t>Ltd.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通辽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通辽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商洛市慧金清分服务有限公司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商洛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商洛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儋州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儋州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991"/>
        <w:gridCol w:w="1277"/>
        <w:gridCol w:w="708"/>
        <w:gridCol w:w="853"/>
        <w:gridCol w:w="1632"/>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榆林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榆林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新余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新余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文山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文山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巴州阿帕奇保安责任有限公司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巴州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巴州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巴州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巴州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黔南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黔南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资阳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资阳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资阳市卓越人力资源服务有限公司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资阳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资阳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平顶山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平顶山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黄石金通智慧金融外包服务有限公司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黄石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黄石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黄石市金安押运护卫保安服务有限公司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黄石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黄石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保山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保山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湖北银通卓越科技服务有限公司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鹤壁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鹤壁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广州平云小匠科技有限公司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昆山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昆山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安徽汇通金融数据服务有限公司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益阳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益阳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益阳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益阳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益阳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益阳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新余市景运科技有限公司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新余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新余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江苏汇锦利通信息科技有限公司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昆山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昆山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Times New Roman" w:hAnsi="Times New Roman" w:cs="Times New Roman" w:eastAsia="Times New Roman" w:hint="default"/>
          <w:sz w:val="23"/>
          <w:szCs w:val="23"/>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1632"/>
        <w:gridCol w:w="1913"/>
        <w:gridCol w:w="1916"/>
      </w:tblGrid>
      <w:tr>
        <w:trPr>
          <w:trHeight w:val="76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14" w:right="71"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451" w:right="89"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524,900.15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6,370,000.00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48,317,392.53</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39.90%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423,774.27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93,324,373.02</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30.00%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11,737,171.69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31,632,959.57</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497,250.08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108,067,869.52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3</w:t>
      </w:r>
      <w:r>
        <w:rPr/>
        <w:t>）重要非全资子公司的主要财务信息</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after="0" w:line="240" w:lineRule="auto"/>
        <w:jc w:val="right"/>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广州穗 通金融 服务有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73,982,7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71,709,8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145,692,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554.77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31,352,0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15,733,5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47,085,6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90,525,9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57,071,1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147,597,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179.55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20,146,7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33.35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16,914,7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37,061,4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80.82</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jc w:val="both"/>
              <w:rPr>
                <w:rFonts w:ascii="宋体" w:hAnsi="宋体" w:cs="宋体" w:eastAsia="宋体" w:hint="default"/>
                <w:sz w:val="18"/>
                <w:szCs w:val="18"/>
              </w:rPr>
            </w:pPr>
            <w:r>
              <w:rPr>
                <w:rFonts w:ascii="宋体" w:hAnsi="宋体" w:cs="宋体" w:eastAsia="宋体" w:hint="default"/>
                <w:sz w:val="18"/>
                <w:szCs w:val="18"/>
              </w:rPr>
              <w:t>广州市 龙源环 保科技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126,124,</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568.96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122,914,</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920.89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249,039,</w:t>
            </w:r>
          </w:p>
          <w:p>
            <w:pPr>
              <w:pStyle w:val="TableParagraph"/>
              <w:spacing w:line="240" w:lineRule="auto" w:before="103"/>
              <w:ind w:left="184" w:right="0"/>
              <w:jc w:val="center"/>
              <w:rPr>
                <w:rFonts w:ascii="Times New Roman" w:hAnsi="Times New Roman" w:cs="Times New Roman" w:eastAsia="Times New Roman" w:hint="default"/>
                <w:sz w:val="18"/>
                <w:szCs w:val="18"/>
              </w:rPr>
            </w:pPr>
            <w:r>
              <w:rPr>
                <w:rFonts w:ascii="Times New Roman"/>
                <w:sz w:val="18"/>
              </w:rPr>
              <w:t>489.85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15,143,8</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18.11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15,143,8</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18.11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129,316,</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645.20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117,294,</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871.67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246,611,</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516.87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3"/>
              <w:ind w:left="299" w:right="0"/>
              <w:jc w:val="left"/>
              <w:rPr>
                <w:rFonts w:ascii="Times New Roman" w:hAnsi="Times New Roman" w:cs="Times New Roman" w:eastAsia="Times New Roman" w:hint="default"/>
                <w:sz w:val="18"/>
                <w:szCs w:val="18"/>
              </w:rPr>
            </w:pPr>
            <w:r>
              <w:rPr>
                <w:rFonts w:ascii="Times New Roman"/>
                <w:sz w:val="18"/>
              </w:rPr>
              <w:t>36.03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36.03</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深圳市 创自技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125,101,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987.32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5,267,47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130,369,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458.72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24,880,6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45,637.6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24,926,2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89,787,8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5,390,68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95,178,5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28,699,5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45.03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159,671.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28,859,2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16.85</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jc w:val="both"/>
              <w:rPr>
                <w:rFonts w:ascii="宋体" w:hAnsi="宋体" w:cs="宋体" w:eastAsia="宋体" w:hint="default"/>
                <w:sz w:val="18"/>
                <w:szCs w:val="18"/>
              </w:rPr>
            </w:pPr>
            <w:r>
              <w:rPr>
                <w:rFonts w:ascii="宋体" w:hAnsi="宋体" w:cs="宋体" w:eastAsia="宋体" w:hint="default"/>
                <w:sz w:val="18"/>
                <w:szCs w:val="18"/>
              </w:rPr>
              <w:t>江苏汇 通金融 数据股 份有限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198,063,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043.73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47,926,6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27.24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245,989,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670.97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20,938,7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1,320,13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22,258,8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216,270,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633.08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45,067,0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261,337,</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727.37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31,950,7</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11.48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9,906,74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41,857,4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52.35</w:t>
            </w:r>
          </w:p>
        </w:tc>
      </w:tr>
    </w:tbl>
    <w:p>
      <w:pPr>
        <w:pStyle w:val="BodyText"/>
        <w:spacing w:line="240" w:lineRule="auto" w:before="51"/>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5"/>
              <w:jc w:val="both"/>
              <w:rPr>
                <w:rFonts w:ascii="宋体" w:hAnsi="宋体" w:cs="宋体" w:eastAsia="宋体" w:hint="default"/>
                <w:sz w:val="18"/>
                <w:szCs w:val="18"/>
              </w:rPr>
            </w:pPr>
            <w:r>
              <w:rPr>
                <w:rFonts w:ascii="宋体" w:hAnsi="宋体" w:cs="宋体" w:eastAsia="宋体" w:hint="default"/>
                <w:sz w:val="18"/>
                <w:szCs w:val="18"/>
              </w:rPr>
              <w:t>广州穗通金 融服务有限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99,798,470.2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1,071,224.80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1,071,224.80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3,264,087.29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109,763,805.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18,096,941.4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18,096,941.4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27,192,174.5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广州市龙源 环保科技有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46,656,837.3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1,062,090.90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1,062,090.90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18,682,503.4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35,003,583.4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90,613.79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90,613.79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4,779,592.92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5"/>
              <w:jc w:val="both"/>
              <w:rPr>
                <w:rFonts w:ascii="宋体" w:hAnsi="宋体" w:cs="宋体" w:eastAsia="宋体" w:hint="default"/>
                <w:sz w:val="18"/>
                <w:szCs w:val="18"/>
              </w:rPr>
            </w:pPr>
            <w:r>
              <w:rPr>
                <w:rFonts w:ascii="宋体" w:hAnsi="宋体" w:cs="宋体" w:eastAsia="宋体" w:hint="default"/>
                <w:sz w:val="18"/>
                <w:szCs w:val="18"/>
              </w:rPr>
              <w:t>深圳市创自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119,078,664.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39,123,905.6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39,123,905.6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36,722,274.1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83,372,219.5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18,549,278.0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18,549,278.0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16,937,302.2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江苏汇通金 融数据股份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225,364,127.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800,521.06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800,521.06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-36,580,197.0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28,842,210.7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-1,223,032.49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-1,223,032.49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-1,503,470.18</w:t>
            </w:r>
          </w:p>
        </w:tc>
      </w:tr>
    </w:tbl>
    <w:p>
      <w:pPr>
        <w:spacing w:line="240" w:lineRule="auto" w:before="9"/>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467" w:right="0"/>
        <w:jc w:val="left"/>
      </w:pPr>
      <w:r>
        <w:rPr/>
        <w:t>本公司不存在使用企业集团资产和清偿企业集团债务的重大限制。</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27"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日，没有向纳入合并财务报表范围的结构化主体提供的财务支持或其他支持。</w:t>
      </w:r>
    </w:p>
    <w:p>
      <w:pPr>
        <w:spacing w:line="240" w:lineRule="auto" w:before="1"/>
        <w:rPr>
          <w:rFonts w:ascii="宋体" w:hAnsi="宋体" w:cs="宋体" w:eastAsia="宋体" w:hint="default"/>
          <w:sz w:val="25"/>
          <w:szCs w:val="25"/>
        </w:rPr>
      </w:pPr>
    </w:p>
    <w:p>
      <w:pPr>
        <w:pStyle w:val="Heading4"/>
        <w:spacing w:line="240" w:lineRule="auto"/>
        <w:ind w:left="212" w:right="0"/>
        <w:jc w:val="left"/>
        <w:rPr>
          <w:b w:val="0"/>
          <w:bCs w:val="0"/>
        </w:rPr>
      </w:pPr>
      <w:r>
        <w:rPr>
          <w:rFonts w:ascii="Times New Roman" w:hAnsi="Times New Roman" w:cs="Times New Roman" w:eastAsia="Times New Roman" w:hint="default"/>
          <w:sz w:val="18"/>
          <w:szCs w:val="18"/>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1</w:t>
      </w:r>
      <w:r>
        <w:rPr/>
        <w:t>）在子公司所有者权益份额发生变化的情况说明</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527" w:right="0"/>
        <w:jc w:val="left"/>
      </w:pPr>
      <w:r>
        <w:rPr/>
        <w:t>公司本期未发生在子公司所有者权益份额发生变化的情况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left="212" w:right="0"/>
        <w:jc w:val="left"/>
        <w:rPr>
          <w:b w:val="0"/>
          <w:bCs w:val="0"/>
        </w:rPr>
      </w:pPr>
      <w:r>
        <w:rPr>
          <w:rFonts w:ascii="Times New Roman" w:hAnsi="Times New Roman" w:cs="Times New Roman" w:eastAsia="Times New Roman" w:hint="default"/>
          <w:sz w:val="18"/>
          <w:szCs w:val="18"/>
        </w:rPr>
        <w:t>3</w:t>
      </w:r>
      <w:r>
        <w:rPr/>
        <w:t>、在合营安排或联营企业中的权益</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1</w:t>
      </w:r>
      <w:r>
        <w:rPr/>
        <w:t>）重要的合营企业或联营企业</w:t>
      </w:r>
      <w:r>
        <w:rPr>
          <w:b w:val="0"/>
          <w:bCs w:val="0"/>
        </w:rPr>
      </w:r>
    </w:p>
    <w:p>
      <w:pPr>
        <w:spacing w:line="240" w:lineRule="auto" w:before="7"/>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3121"/>
        <w:gridCol w:w="1274"/>
        <w:gridCol w:w="994"/>
        <w:gridCol w:w="1133"/>
        <w:gridCol w:w="850"/>
        <w:gridCol w:w="836"/>
        <w:gridCol w:w="1366"/>
      </w:tblGrid>
      <w:tr>
        <w:trPr>
          <w:trHeight w:val="401"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3" w:right="0"/>
              <w:jc w:val="left"/>
              <w:rPr>
                <w:rFonts w:ascii="Times New Roman" w:hAnsi="Times New Roman" w:cs="Times New Roman" w:eastAsia="Times New Roman" w:hint="default"/>
                <w:sz w:val="18"/>
                <w:szCs w:val="18"/>
              </w:rPr>
            </w:pPr>
            <w:r>
              <w:rPr>
                <w:rFonts w:ascii="Times New Roman"/>
                <w:sz w:val="18"/>
              </w:rPr>
              <w:t>20.00%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广州市力沛企业管理咨询有限公司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20.00%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深圳市国信运通基金管理有限公司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中山市保安服务有限公司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3" w:right="0"/>
              <w:jc w:val="left"/>
              <w:rPr>
                <w:rFonts w:ascii="Times New Roman" w:hAnsi="Times New Roman" w:cs="Times New Roman" w:eastAsia="Times New Roman" w:hint="default"/>
                <w:sz w:val="18"/>
                <w:szCs w:val="18"/>
              </w:rPr>
            </w:pPr>
            <w:r>
              <w:rPr>
                <w:rFonts w:ascii="Times New Roman"/>
                <w:sz w:val="18"/>
              </w:rPr>
              <w:t>25.00%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3" w:right="0"/>
              <w:jc w:val="left"/>
              <w:rPr>
                <w:rFonts w:ascii="Times New Roman" w:hAnsi="Times New Roman" w:cs="Times New Roman" w:eastAsia="Times New Roman" w:hint="default"/>
                <w:sz w:val="18"/>
                <w:szCs w:val="18"/>
              </w:rPr>
            </w:pPr>
            <w:r>
              <w:rPr>
                <w:rFonts w:ascii="Times New Roman"/>
                <w:sz w:val="18"/>
              </w:rPr>
              <w:t>12.10%</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重庆中余锦通科技有限公司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40.00%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江苏宝易通信息科技有限公司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昆山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昆山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43.00%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9"/>
        <w:rPr>
          <w:rFonts w:ascii="宋体" w:hAnsi="宋体" w:cs="宋体" w:eastAsia="宋体" w:hint="default"/>
          <w:b/>
          <w:bCs/>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2</w:t>
      </w:r>
      <w:r>
        <w:rPr/>
        <w:t>）重要合营企业的主要财务信息</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668"/>
        <w:gridCol w:w="2977"/>
        <w:gridCol w:w="2696"/>
        <w:gridCol w:w="2269"/>
      </w:tblGrid>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中山市保安服务有限公司</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668,838,312.97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368,974,513.62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57,662,096.62</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其中：现金和现金 等价物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286,686,553.22</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32,265,164.64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33,236,711.72</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762,704,773.02</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6,558,084.89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94,153,963.07</w:t>
            </w:r>
          </w:p>
        </w:tc>
      </w:tr>
      <w:tr>
        <w:trPr>
          <w:trHeight w:val="40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1,431,543,085.99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375,532,598.51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151,816,059.69</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559,425,809.26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63,668,215.92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68,258,541.34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668"/>
        <w:gridCol w:w="2977"/>
        <w:gridCol w:w="2696"/>
        <w:gridCol w:w="2269"/>
      </w:tblGrid>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121,342,970.92</w:t>
            </w:r>
          </w:p>
        </w:tc>
        <w:tc>
          <w:tcPr>
            <w:tcW w:w="26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12,247,180.19</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680,768,780.18</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63,668,215.92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80,505,721.53</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8,112,689.71</w:t>
            </w:r>
          </w:p>
        </w:tc>
        <w:tc>
          <w:tcPr>
            <w:tcW w:w="26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13"/>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742,661,616.10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311,864,382.59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71,310,338.16</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89,838,098.72</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62,372,876.52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28,524,135.26</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394,727,974.65</w:t>
            </w:r>
          </w:p>
        </w:tc>
        <w:tc>
          <w:tcPr>
            <w:tcW w:w="26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7,087,491.44</w:t>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对合营企业权益投 资的账面价值</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484,566,073.37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62,372,876.52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35,611,626.70</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811,272,621.03</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26,981,124.27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39,822,914.46</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17,715,126.56</w:t>
            </w:r>
          </w:p>
        </w:tc>
        <w:tc>
          <w:tcPr>
            <w:tcW w:w="26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378,911.86</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10,576,213.36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2,708,930.54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566,489.83</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103,111,859.81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7,593,304.70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1,225,316.74</w:t>
            </w:r>
          </w:p>
        </w:tc>
      </w:tr>
      <w:tr>
        <w:trPr>
          <w:trHeight w:val="40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103,111,859.81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7,593,304.70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1,225,316.74</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本年度收到的来自 合营企业的股利</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2,872,663.50</w:t>
            </w: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3</w:t>
      </w:r>
      <w:r>
        <w:rPr/>
        <w:t>）重要联营企业的主要财务信息</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407" w:right="6828"/>
        <w:jc w:val="center"/>
      </w:pPr>
      <w:r>
        <w:rPr/>
        <w:t>公司本期没有重要联营企业。</w:t>
      </w:r>
    </w:p>
    <w:p>
      <w:pPr>
        <w:spacing w:line="240" w:lineRule="auto" w:before="4"/>
        <w:rPr>
          <w:rFonts w:ascii="宋体" w:hAnsi="宋体" w:cs="宋体" w:eastAsia="宋体" w:hint="default"/>
          <w:sz w:val="26"/>
          <w:szCs w:val="26"/>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21"/>
          <w:szCs w:val="21"/>
        </w:rPr>
        <w:t>4</w:t>
      </w:r>
      <w:r>
        <w:rPr/>
        <w:t>）不重要的合营企业和联营企业的汇总财务信息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202,203,966.47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3,796,571.21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3,614,563.73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881,668.99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3,614,563.73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881,668.99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2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公司本期没有合营企业或联营企业向本公司转移资金的能力存在重大限制的情况。</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6</w:t>
      </w:r>
      <w:r>
        <w:rPr/>
        <w:t>）合营企业或联营企业发生的超额亏损</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467" w:right="0"/>
        <w:jc w:val="left"/>
      </w:pPr>
      <w:r>
        <w:rPr/>
        <w:t>公司的合营企业本期没有发生的超额亏损。</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7</w:t>
      </w:r>
      <w:r>
        <w:rPr/>
        <w:t>）与合营企业投资相关的未确认承诺</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公司本期没有与合营企业投资相关的未确认承诺。</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8</w:t>
      </w:r>
      <w:r>
        <w:rPr/>
        <w:t>）与合营企业或联营企业投资相关的或有负债</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467" w:right="0"/>
        <w:jc w:val="left"/>
      </w:pPr>
      <w:r>
        <w:rPr/>
        <w:t>公司本期没有与合营企业或联营企业投资相关的或有负债。</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4</w:t>
      </w:r>
      <w:r>
        <w:rPr/>
        <w:t>、重要的共同经营</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公司本期没有重要的共同经营。</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5</w:t>
      </w:r>
      <w:r>
        <w:rPr/>
        <w:t>、在未纳入合并财务报表范围的结构化主体中的权益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left="467" w:right="0"/>
        <w:jc w:val="left"/>
      </w:pPr>
      <w:r>
        <w:rPr/>
        <w:t>公司本期没有未纳入合并财务报表范围的结构化主体。</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Heading3"/>
        <w:spacing w:line="408" w:lineRule="auto"/>
        <w:ind w:right="14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险管理目标和政策的确定，并对风险管理目标和政策承担最终责任，但是董事会已授权本公司经营管理层</w:t>
      </w:r>
      <w:r>
        <w:rPr>
          <w:spacing w:val="-44"/>
        </w:rPr>
        <w:t> </w:t>
      </w:r>
      <w:r>
        <w:rPr>
          <w:spacing w:val="-44"/>
        </w:rPr>
      </w:r>
      <w:r>
        <w:rPr>
          <w:spacing w:val="-2"/>
        </w:rPr>
        <w:t>设计和实施能确保风险管理目标和政策得以有效执行的程序。董事会通过职能部门递交的月度报告来审查</w:t>
      </w:r>
      <w:r>
        <w:rPr>
          <w:spacing w:val="-43"/>
        </w:rPr>
        <w:t> </w:t>
      </w:r>
      <w:r>
        <w:rPr>
          <w:spacing w:val="-43"/>
        </w:rPr>
      </w:r>
      <w:r>
        <w:rPr>
          <w:spacing w:val="-2"/>
        </w:rPr>
        <w:t>已执行程序的有效性以及风险管理目标和政策的合理性。本公司的内部审计师也会审计风险管理的政策和</w:t>
      </w:r>
      <w:r>
        <w:rPr>
          <w:spacing w:val="-42"/>
        </w:rPr>
        <w:t> </w:t>
      </w:r>
      <w:r>
        <w:rPr>
          <w:spacing w:val="-42"/>
        </w:rPr>
      </w:r>
      <w:r>
        <w:rPr/>
        <w:t>程序，并且将有关发现汇报给审计委员会。</w:t>
      </w:r>
    </w:p>
    <w:p>
      <w:pPr>
        <w:pStyle w:val="Heading3"/>
        <w:spacing w:line="408" w:lineRule="auto" w:before="46"/>
        <w:ind w:right="146" w:firstLine="420"/>
        <w:jc w:val="both"/>
      </w:pPr>
      <w:r>
        <w:rPr>
          <w:spacing w:val="-2"/>
        </w:rPr>
        <w:t>本公司风险管理的总体目标是在不过度影响公司竞争力和应变力的情况下，制定尽可能降低风险的风</w:t>
      </w:r>
      <w:r>
        <w:rPr>
          <w:w w:val="100"/>
        </w:rPr>
        <w:t> </w:t>
      </w:r>
      <w:r>
        <w:rPr/>
        <w:t>险管理政策。</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、信用风险</w:t>
      </w:r>
      <w:r>
        <w:rPr>
          <w:b w:val="0"/>
          <w:bCs w:val="0"/>
        </w:rPr>
      </w:r>
    </w:p>
    <w:p>
      <w:pPr>
        <w:spacing w:line="240" w:lineRule="auto" w:before="0"/>
        <w:rPr>
          <w:rFonts w:ascii="宋体" w:hAnsi="宋体" w:cs="宋体" w:eastAsia="宋体" w:hint="default"/>
          <w:b/>
          <w:bCs/>
          <w:sz w:val="20"/>
          <w:szCs w:val="20"/>
        </w:rPr>
      </w:pPr>
    </w:p>
    <w:p>
      <w:pPr>
        <w:pStyle w:val="Heading3"/>
        <w:spacing w:line="408" w:lineRule="auto" w:before="147"/>
        <w:ind w:right="146" w:firstLine="420"/>
        <w:jc w:val="both"/>
      </w:pPr>
      <w:r>
        <w:rPr>
          <w:spacing w:val="-2"/>
        </w:rPr>
        <w:t>信用风险是指金融工具的一方不履行义务，造成另一方发生财务损失的风险。本公司主要面临赊销导</w:t>
      </w:r>
      <w:r>
        <w:rPr>
          <w:w w:val="100"/>
        </w:rPr>
        <w:t> </w:t>
      </w:r>
      <w:r>
        <w:rPr>
          <w:spacing w:val="-2"/>
        </w:rPr>
        <w:t>致的客户信用风险。在签订新合同之前，本公司会对新客户的信用风险进行评估，包括外部信用评级和在</w:t>
      </w:r>
      <w:r>
        <w:rPr>
          <w:spacing w:val="-44"/>
        </w:rPr>
        <w:t> </w:t>
      </w:r>
      <w:r>
        <w:rPr>
          <w:spacing w:val="-44"/>
        </w:rPr>
      </w:r>
      <w:r>
        <w:rPr>
          <w:spacing w:val="-2"/>
        </w:rPr>
        <w:t>某些情况下的银行资信证明（当此信息可获取时）。公司对每一客户均设置了赊销限额，该限额为无需获</w:t>
      </w:r>
      <w:r>
        <w:rPr>
          <w:spacing w:val="-47"/>
        </w:rPr>
        <w:t> </w:t>
      </w:r>
      <w:r>
        <w:rPr>
          <w:spacing w:val="-47"/>
        </w:rPr>
      </w:r>
      <w:r>
        <w:rPr/>
        <w:t>得额外批准的最大额度。</w:t>
      </w:r>
    </w:p>
    <w:p>
      <w:pPr>
        <w:spacing w:after="0" w:line="408" w:lineRule="auto"/>
        <w:jc w:val="both"/>
        <w:sectPr>
          <w:pgSz w:w="11910" w:h="16840"/>
          <w:pgMar w:header="880" w:footer="979" w:top="1100" w:bottom="1160" w:left="980" w:right="980"/>
        </w:sectPr>
      </w:pPr>
    </w:p>
    <w:p>
      <w:pPr>
        <w:spacing w:line="240" w:lineRule="auto" w:before="10"/>
        <w:rPr>
          <w:rFonts w:ascii="宋体" w:hAnsi="宋体" w:cs="宋体" w:eastAsia="宋体" w:hint="default"/>
          <w:sz w:val="26"/>
          <w:szCs w:val="26"/>
        </w:rPr>
      </w:pPr>
    </w:p>
    <w:p>
      <w:pPr>
        <w:pStyle w:val="Heading3"/>
        <w:spacing w:line="408" w:lineRule="auto" w:before="36"/>
        <w:ind w:left="252" w:right="146" w:firstLine="420"/>
        <w:jc w:val="both"/>
      </w:pPr>
      <w:r>
        <w:rPr>
          <w:spacing w:val="2"/>
        </w:rPr>
        <w:t>公司通过对已有客户信用评级的季度监控以及应收账款账龄分析的月度审核来确保公司的整体信用</w:t>
      </w:r>
      <w:r>
        <w:rPr>
          <w:w w:val="100"/>
        </w:rPr>
        <w:t> </w:t>
      </w:r>
      <w:r>
        <w:rPr>
          <w:spacing w:val="-2"/>
        </w:rPr>
        <w:t>风险在可控的范围内。在监控客户的信用风险时，按照客户的信用特征对其分组。被评为“高风险”级别</w:t>
      </w:r>
      <w:r>
        <w:rPr>
          <w:spacing w:val="-47"/>
        </w:rPr>
        <w:t> </w:t>
      </w:r>
      <w:r>
        <w:rPr>
          <w:spacing w:val="-47"/>
        </w:rPr>
      </w:r>
      <w:r>
        <w:rPr>
          <w:spacing w:val="-2"/>
        </w:rPr>
        <w:t>的客户会放在受限制客户名单里，并且只有在额外批准的前提下，公司才可在未来期间内对其赊销，否则</w:t>
      </w:r>
      <w:r>
        <w:rPr>
          <w:spacing w:val="-43"/>
        </w:rPr>
        <w:t> </w:t>
      </w:r>
      <w:r>
        <w:rPr>
          <w:spacing w:val="-43"/>
        </w:rPr>
      </w:r>
      <w:r>
        <w:rPr/>
        <w:t>必须要求其提前支付相应款项。</w:t>
      </w:r>
    </w:p>
    <w:p>
      <w:pPr>
        <w:spacing w:line="240" w:lineRule="auto" w:before="1"/>
        <w:rPr>
          <w:rFonts w:ascii="宋体" w:hAnsi="宋体" w:cs="宋体" w:eastAsia="宋体" w:hint="default"/>
          <w:sz w:val="21"/>
          <w:szCs w:val="21"/>
        </w:rPr>
      </w:pPr>
    </w:p>
    <w:p>
      <w:pPr>
        <w:pStyle w:val="Heading4"/>
        <w:spacing w:line="240" w:lineRule="auto"/>
        <w:ind w:left="252" w:right="253"/>
        <w:jc w:val="left"/>
        <w:rPr>
          <w:b w:val="0"/>
          <w:bCs w:val="0"/>
        </w:rPr>
      </w:pPr>
      <w:r>
        <w:rPr>
          <w:rFonts w:ascii="Times New Roman" w:hAnsi="Times New Roman" w:cs="Times New Roman" w:eastAsia="Times New Roman" w:hint="default"/>
          <w:sz w:val="18"/>
          <w:szCs w:val="18"/>
        </w:rPr>
        <w:t>2</w:t>
      </w:r>
      <w:r>
        <w:rPr/>
        <w:t>、市场风险</w:t>
      </w:r>
      <w:r>
        <w:rPr>
          <w:b w:val="0"/>
          <w:bCs w:val="0"/>
        </w:rPr>
      </w:r>
    </w:p>
    <w:p>
      <w:pPr>
        <w:spacing w:line="240" w:lineRule="auto" w:before="0"/>
        <w:rPr>
          <w:rFonts w:ascii="宋体" w:hAnsi="宋体" w:cs="宋体" w:eastAsia="宋体" w:hint="default"/>
          <w:b/>
          <w:bCs/>
          <w:sz w:val="20"/>
          <w:szCs w:val="20"/>
        </w:rPr>
      </w:pPr>
    </w:p>
    <w:p>
      <w:pPr>
        <w:pStyle w:val="Heading3"/>
        <w:spacing w:line="410" w:lineRule="auto" w:before="150"/>
        <w:ind w:left="252" w:right="124" w:firstLine="420"/>
        <w:jc w:val="both"/>
      </w:pPr>
      <w:r>
        <w:rPr>
          <w:spacing w:val="-2"/>
        </w:rPr>
        <w:t>金融工具的市场风险，是指金融工具的公允价值或未来现金流量因市场价格变动而发生波动的风险，</w:t>
      </w:r>
      <w:r>
        <w:rPr>
          <w:w w:val="100"/>
        </w:rPr>
        <w:t> </w:t>
      </w:r>
      <w:r>
        <w:rPr/>
        <w:t>包括汇率风险和其他价格风险。</w:t>
      </w:r>
    </w:p>
    <w:p>
      <w:pPr>
        <w:pStyle w:val="Heading5"/>
        <w:spacing w:line="237" w:lineRule="exact"/>
        <w:ind w:left="524" w:right="253"/>
        <w:jc w:val="left"/>
        <w:rPr>
          <w:b w:val="0"/>
          <w:bCs w:val="0"/>
        </w:rPr>
      </w:pPr>
      <w:r>
        <w:rPr/>
        <w:t>（</w:t>
      </w:r>
      <w:r>
        <w:rPr>
          <w:rFonts w:ascii="Times New Roman" w:hAnsi="Times New Roman" w:cs="Times New Roman" w:eastAsia="Times New Roman" w:hint="default"/>
        </w:rPr>
        <w:t>1</w:t>
      </w:r>
      <w:r>
        <w:rPr/>
        <w:t>）汇率风险</w:t>
      </w:r>
      <w:r>
        <w:rPr>
          <w:b w:val="0"/>
          <w:bCs w:val="0"/>
        </w:rPr>
      </w:r>
    </w:p>
    <w:p>
      <w:pPr>
        <w:pStyle w:val="Heading3"/>
        <w:spacing w:line="398" w:lineRule="auto" w:before="119"/>
        <w:ind w:left="252" w:right="146" w:firstLine="420"/>
        <w:jc w:val="both"/>
      </w:pPr>
      <w:r>
        <w:rPr>
          <w:spacing w:val="-2"/>
        </w:rPr>
        <w:t>汇率风险，是指金融工具的公允价值或未来现金流量因外汇汇率变动而发生波动的风险。本公司尽可</w:t>
      </w:r>
      <w:r>
        <w:rPr>
          <w:w w:val="100"/>
        </w:rPr>
        <w:t> </w:t>
      </w:r>
      <w:r>
        <w:rPr>
          <w:spacing w:val="-2"/>
        </w:rPr>
        <w:t>能将外币收入与外币支出相匹配以降低汇率风险。由于外币金融资产和负债占总资产比重较小，</w:t>
      </w:r>
      <w:r>
        <w:rPr>
          <w:rFonts w:ascii="Times New Roman" w:hAnsi="Times New Roman" w:cs="Times New Roman" w:eastAsia="Times New Roman" w:hint="default"/>
          <w:spacing w:val="-2"/>
        </w:rPr>
        <w:t>2017</w:t>
      </w:r>
      <w:r>
        <w:rPr>
          <w:spacing w:val="-2"/>
        </w:rPr>
        <w:t>年度</w:t>
      </w:r>
      <w:r>
        <w:rPr>
          <w:spacing w:val="-38"/>
        </w:rPr>
        <w:t> </w:t>
      </w:r>
      <w:r>
        <w:rPr/>
        <w:t>及</w:t>
      </w:r>
      <w:r>
        <w:rPr>
          <w:rFonts w:ascii="Times New Roman" w:hAnsi="Times New Roman" w:cs="Times New Roman" w:eastAsia="Times New Roman" w:hint="default"/>
        </w:rPr>
        <w:t>2016</w:t>
      </w:r>
      <w:r>
        <w:rPr/>
        <w:t>年度，本公司未签署任何远期外汇合约或货币互换合约。</w:t>
      </w:r>
    </w:p>
    <w:p>
      <w:pPr>
        <w:pStyle w:val="Heading3"/>
        <w:spacing w:line="408" w:lineRule="auto" w:before="24"/>
        <w:ind w:left="252" w:right="146" w:firstLine="420"/>
        <w:jc w:val="both"/>
      </w:pPr>
      <w:r>
        <w:rPr>
          <w:spacing w:val="-2"/>
        </w:rPr>
        <w:t>本公司面临的汇率风险主要来源于以美元、港元、欧元等计价的金融资产和金融负债，外币金融资产</w:t>
      </w:r>
      <w:r>
        <w:rPr>
          <w:w w:val="100"/>
        </w:rPr>
        <w:t> </w:t>
      </w:r>
      <w:r>
        <w:rPr/>
        <w:t>和外币金融负债折算成人民币的金额列示如下：</w:t>
      </w:r>
    </w:p>
    <w:p>
      <w:pPr>
        <w:pStyle w:val="Heading3"/>
        <w:spacing w:line="240" w:lineRule="auto" w:before="46"/>
        <w:ind w:left="0" w:right="148"/>
        <w:jc w:val="right"/>
      </w:pPr>
      <w:r>
        <w:rPr>
          <w:spacing w:val="-1"/>
        </w:rPr>
        <w:t>单位：元</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277"/>
        <w:gridCol w:w="1416"/>
        <w:gridCol w:w="1419"/>
        <w:gridCol w:w="1419"/>
        <w:gridCol w:w="1416"/>
        <w:gridCol w:w="1419"/>
        <w:gridCol w:w="1416"/>
      </w:tblGrid>
      <w:tr>
        <w:trPr>
          <w:trHeight w:val="34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1277"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357</w:t>
            </w:r>
            <w:r>
              <w:rPr>
                <w:rFonts w:ascii="宋体"/>
                <w:spacing w:val="-1"/>
                <w:sz w:val="18"/>
              </w:rPr>
              <w:t>,</w:t>
            </w:r>
            <w:r>
              <w:rPr>
                <w:rFonts w:ascii="Times New Roman"/>
                <w:spacing w:val="-1"/>
                <w:sz w:val="18"/>
              </w:rPr>
              <w:t>109</w:t>
            </w:r>
            <w:r>
              <w:rPr>
                <w:rFonts w:ascii="宋体"/>
                <w:spacing w:val="-1"/>
                <w:sz w:val="18"/>
              </w:rPr>
              <w:t>,</w:t>
            </w:r>
            <w:r>
              <w:rPr>
                <w:rFonts w:ascii="Times New Roman"/>
                <w:spacing w:val="-1"/>
                <w:sz w:val="18"/>
              </w:rPr>
              <w:t>973</w:t>
            </w:r>
            <w:r>
              <w:rPr>
                <w:rFonts w:ascii="宋体"/>
                <w:spacing w:val="-1"/>
                <w:sz w:val="18"/>
              </w:rPr>
              <w:t>.</w:t>
            </w:r>
            <w:r>
              <w:rPr>
                <w:rFonts w:ascii="Times New Roman"/>
                <w:spacing w:val="-1"/>
                <w:sz w:val="18"/>
              </w:rPr>
              <w:t>25</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125</w:t>
            </w:r>
            <w:r>
              <w:rPr>
                <w:rFonts w:ascii="宋体"/>
                <w:spacing w:val="-1"/>
                <w:sz w:val="18"/>
              </w:rPr>
              <w:t>,</w:t>
            </w:r>
            <w:r>
              <w:rPr>
                <w:rFonts w:ascii="Times New Roman"/>
                <w:spacing w:val="-1"/>
                <w:sz w:val="18"/>
              </w:rPr>
              <w:t>090</w:t>
            </w:r>
            <w:r>
              <w:rPr>
                <w:rFonts w:ascii="宋体"/>
                <w:spacing w:val="-1"/>
                <w:sz w:val="18"/>
              </w:rPr>
              <w:t>,</w:t>
            </w:r>
            <w:r>
              <w:rPr>
                <w:rFonts w:ascii="Times New Roman"/>
                <w:spacing w:val="-1"/>
                <w:sz w:val="18"/>
              </w:rPr>
              <w:t>231</w:t>
            </w:r>
            <w:r>
              <w:rPr>
                <w:rFonts w:ascii="宋体"/>
                <w:spacing w:val="-1"/>
                <w:sz w:val="18"/>
              </w:rPr>
              <w:t>.</w:t>
            </w:r>
            <w:r>
              <w:rPr>
                <w:rFonts w:ascii="Times New Roman"/>
                <w:spacing w:val="-1"/>
                <w:sz w:val="18"/>
              </w:rPr>
              <w:t>00</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Times New Roman"/>
                <w:spacing w:val="-1"/>
                <w:sz w:val="18"/>
              </w:rPr>
              <w:t>482</w:t>
            </w:r>
            <w:r>
              <w:rPr>
                <w:rFonts w:ascii="宋体"/>
                <w:spacing w:val="-1"/>
                <w:sz w:val="18"/>
              </w:rPr>
              <w:t>,</w:t>
            </w:r>
            <w:r>
              <w:rPr>
                <w:rFonts w:ascii="Times New Roman"/>
                <w:spacing w:val="-1"/>
                <w:sz w:val="18"/>
              </w:rPr>
              <w:t>200</w:t>
            </w:r>
            <w:r>
              <w:rPr>
                <w:rFonts w:ascii="宋体"/>
                <w:spacing w:val="-1"/>
                <w:sz w:val="18"/>
              </w:rPr>
              <w:t>,</w:t>
            </w:r>
            <w:r>
              <w:rPr>
                <w:rFonts w:ascii="Times New Roman"/>
                <w:spacing w:val="-1"/>
                <w:sz w:val="18"/>
              </w:rPr>
              <w:t>204</w:t>
            </w:r>
            <w:r>
              <w:rPr>
                <w:rFonts w:ascii="宋体"/>
                <w:spacing w:val="-1"/>
                <w:sz w:val="18"/>
              </w:rPr>
              <w:t>.</w:t>
            </w:r>
            <w:r>
              <w:rPr>
                <w:rFonts w:ascii="Times New Roman"/>
                <w:spacing w:val="-1"/>
                <w:sz w:val="18"/>
              </w:rPr>
              <w:t>25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152</w:t>
            </w:r>
            <w:r>
              <w:rPr>
                <w:rFonts w:ascii="宋体"/>
                <w:spacing w:val="-1"/>
                <w:sz w:val="18"/>
              </w:rPr>
              <w:t>,</w:t>
            </w:r>
            <w:r>
              <w:rPr>
                <w:rFonts w:ascii="Times New Roman"/>
                <w:spacing w:val="-1"/>
                <w:sz w:val="18"/>
              </w:rPr>
              <w:t>817</w:t>
            </w:r>
            <w:r>
              <w:rPr>
                <w:rFonts w:ascii="宋体"/>
                <w:spacing w:val="-1"/>
                <w:sz w:val="18"/>
              </w:rPr>
              <w:t>,</w:t>
            </w:r>
            <w:r>
              <w:rPr>
                <w:rFonts w:ascii="Times New Roman"/>
                <w:spacing w:val="-1"/>
                <w:sz w:val="18"/>
              </w:rPr>
              <w:t>615</w:t>
            </w:r>
            <w:r>
              <w:rPr>
                <w:rFonts w:ascii="宋体"/>
                <w:spacing w:val="-1"/>
                <w:sz w:val="18"/>
              </w:rPr>
              <w:t>.</w:t>
            </w:r>
            <w:r>
              <w:rPr>
                <w:rFonts w:ascii="Times New Roman"/>
                <w:spacing w:val="-1"/>
                <w:sz w:val="18"/>
              </w:rPr>
              <w:t>59</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86</w:t>
            </w:r>
            <w:r>
              <w:rPr>
                <w:rFonts w:ascii="宋体"/>
                <w:spacing w:val="-1"/>
                <w:sz w:val="18"/>
              </w:rPr>
              <w:t>,</w:t>
            </w:r>
            <w:r>
              <w:rPr>
                <w:rFonts w:ascii="Times New Roman"/>
                <w:spacing w:val="-1"/>
                <w:sz w:val="18"/>
              </w:rPr>
              <w:t>889</w:t>
            </w:r>
            <w:r>
              <w:rPr>
                <w:rFonts w:ascii="宋体"/>
                <w:spacing w:val="-1"/>
                <w:sz w:val="18"/>
              </w:rPr>
              <w:t>,</w:t>
            </w:r>
            <w:r>
              <w:rPr>
                <w:rFonts w:ascii="Times New Roman"/>
                <w:spacing w:val="-1"/>
                <w:sz w:val="18"/>
              </w:rPr>
              <w:t>793</w:t>
            </w:r>
            <w:r>
              <w:rPr>
                <w:rFonts w:ascii="宋体"/>
                <w:spacing w:val="-1"/>
                <w:sz w:val="18"/>
              </w:rPr>
              <w:t>.</w:t>
            </w:r>
            <w:r>
              <w:rPr>
                <w:rFonts w:ascii="Times New Roman"/>
                <w:spacing w:val="-1"/>
                <w:sz w:val="18"/>
              </w:rPr>
              <w:t>78</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239</w:t>
            </w:r>
            <w:r>
              <w:rPr>
                <w:rFonts w:ascii="宋体"/>
                <w:spacing w:val="-1"/>
                <w:sz w:val="18"/>
              </w:rPr>
              <w:t>,</w:t>
            </w:r>
            <w:r>
              <w:rPr>
                <w:rFonts w:ascii="Times New Roman"/>
                <w:spacing w:val="-1"/>
                <w:sz w:val="18"/>
              </w:rPr>
              <w:t>707</w:t>
            </w:r>
            <w:r>
              <w:rPr>
                <w:rFonts w:ascii="宋体"/>
                <w:spacing w:val="-1"/>
                <w:sz w:val="18"/>
              </w:rPr>
              <w:t>,</w:t>
            </w:r>
            <w:r>
              <w:rPr>
                <w:rFonts w:ascii="Times New Roman"/>
                <w:spacing w:val="-1"/>
                <w:sz w:val="18"/>
              </w:rPr>
              <w:t>409</w:t>
            </w:r>
            <w:r>
              <w:rPr>
                <w:rFonts w:ascii="宋体"/>
                <w:spacing w:val="-1"/>
                <w:sz w:val="18"/>
              </w:rPr>
              <w:t>.</w:t>
            </w:r>
            <w:r>
              <w:rPr>
                <w:rFonts w:ascii="Times New Roman"/>
                <w:spacing w:val="-1"/>
                <w:sz w:val="18"/>
              </w:rPr>
              <w:t>37</w:t>
            </w:r>
            <w:r>
              <w:rPr>
                <w:rFonts w:ascii="Times New Roman"/>
                <w:sz w:val="18"/>
              </w:rPr>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96</w:t>
            </w:r>
            <w:r>
              <w:rPr>
                <w:rFonts w:ascii="宋体"/>
                <w:spacing w:val="-1"/>
                <w:sz w:val="18"/>
              </w:rPr>
              <w:t>,</w:t>
            </w:r>
            <w:r>
              <w:rPr>
                <w:rFonts w:ascii="Times New Roman"/>
                <w:spacing w:val="-1"/>
                <w:sz w:val="18"/>
              </w:rPr>
              <w:t>190</w:t>
            </w:r>
            <w:r>
              <w:rPr>
                <w:rFonts w:ascii="宋体"/>
                <w:spacing w:val="-1"/>
                <w:sz w:val="18"/>
              </w:rPr>
              <w:t>,</w:t>
            </w:r>
            <w:r>
              <w:rPr>
                <w:rFonts w:ascii="Times New Roman"/>
                <w:spacing w:val="-1"/>
                <w:sz w:val="18"/>
              </w:rPr>
              <w:t>549</w:t>
            </w:r>
            <w:r>
              <w:rPr>
                <w:rFonts w:ascii="宋体"/>
                <w:spacing w:val="-1"/>
                <w:sz w:val="18"/>
              </w:rPr>
              <w:t>.</w:t>
            </w:r>
            <w:r>
              <w:rPr>
                <w:rFonts w:ascii="Times New Roman"/>
                <w:spacing w:val="-1"/>
                <w:sz w:val="18"/>
              </w:rPr>
              <w:t>08</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27</w:t>
            </w:r>
            <w:r>
              <w:rPr>
                <w:rFonts w:ascii="宋体"/>
                <w:spacing w:val="-1"/>
                <w:sz w:val="18"/>
              </w:rPr>
              <w:t>,</w:t>
            </w:r>
            <w:r>
              <w:rPr>
                <w:rFonts w:ascii="Times New Roman"/>
                <w:spacing w:val="-1"/>
                <w:sz w:val="18"/>
              </w:rPr>
              <w:t>627</w:t>
            </w:r>
            <w:r>
              <w:rPr>
                <w:rFonts w:ascii="宋体"/>
                <w:spacing w:val="-1"/>
                <w:sz w:val="18"/>
              </w:rPr>
              <w:t>,</w:t>
            </w:r>
            <w:r>
              <w:rPr>
                <w:rFonts w:ascii="Times New Roman"/>
                <w:spacing w:val="-1"/>
                <w:sz w:val="18"/>
              </w:rPr>
              <w:t>066</w:t>
            </w:r>
            <w:r>
              <w:rPr>
                <w:rFonts w:ascii="宋体"/>
                <w:spacing w:val="-1"/>
                <w:sz w:val="18"/>
              </w:rPr>
              <w:t>.</w:t>
            </w:r>
            <w:r>
              <w:rPr>
                <w:rFonts w:ascii="Times New Roman"/>
                <w:spacing w:val="-1"/>
                <w:sz w:val="18"/>
              </w:rPr>
              <w:t>25</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Times New Roman"/>
                <w:spacing w:val="-1"/>
                <w:sz w:val="18"/>
              </w:rPr>
              <w:t>123</w:t>
            </w:r>
            <w:r>
              <w:rPr>
                <w:rFonts w:ascii="宋体"/>
                <w:spacing w:val="-1"/>
                <w:sz w:val="18"/>
              </w:rPr>
              <w:t>,</w:t>
            </w:r>
            <w:r>
              <w:rPr>
                <w:rFonts w:ascii="Times New Roman"/>
                <w:spacing w:val="-1"/>
                <w:sz w:val="18"/>
              </w:rPr>
              <w:t>817</w:t>
            </w:r>
            <w:r>
              <w:rPr>
                <w:rFonts w:ascii="宋体"/>
                <w:spacing w:val="-1"/>
                <w:sz w:val="18"/>
              </w:rPr>
              <w:t>,</w:t>
            </w:r>
            <w:r>
              <w:rPr>
                <w:rFonts w:ascii="Times New Roman"/>
                <w:spacing w:val="-1"/>
                <w:sz w:val="18"/>
              </w:rPr>
              <w:t>615</w:t>
            </w:r>
            <w:r>
              <w:rPr>
                <w:rFonts w:ascii="宋体"/>
                <w:spacing w:val="-1"/>
                <w:sz w:val="18"/>
              </w:rPr>
              <w:t>.</w:t>
            </w:r>
            <w:r>
              <w:rPr>
                <w:rFonts w:ascii="Times New Roman"/>
                <w:spacing w:val="-1"/>
                <w:sz w:val="18"/>
              </w:rPr>
              <w:t>33</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71</w:t>
            </w:r>
            <w:r>
              <w:rPr>
                <w:rFonts w:ascii="宋体"/>
                <w:spacing w:val="-1"/>
                <w:sz w:val="18"/>
              </w:rPr>
              <w:t>,</w:t>
            </w:r>
            <w:r>
              <w:rPr>
                <w:rFonts w:ascii="Times New Roman"/>
                <w:spacing w:val="-1"/>
                <w:sz w:val="18"/>
              </w:rPr>
              <w:t>212</w:t>
            </w:r>
            <w:r>
              <w:rPr>
                <w:rFonts w:ascii="宋体"/>
                <w:spacing w:val="-1"/>
                <w:sz w:val="18"/>
              </w:rPr>
              <w:t>,</w:t>
            </w:r>
            <w:r>
              <w:rPr>
                <w:rFonts w:ascii="Times New Roman"/>
                <w:spacing w:val="-1"/>
                <w:sz w:val="18"/>
              </w:rPr>
              <w:t>855</w:t>
            </w:r>
            <w:r>
              <w:rPr>
                <w:rFonts w:ascii="宋体"/>
                <w:spacing w:val="-1"/>
                <w:sz w:val="18"/>
              </w:rPr>
              <w:t>.</w:t>
            </w:r>
            <w:r>
              <w:rPr>
                <w:rFonts w:ascii="Times New Roman"/>
                <w:spacing w:val="-1"/>
                <w:sz w:val="18"/>
              </w:rPr>
              <w:t>67</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34</w:t>
            </w:r>
            <w:r>
              <w:rPr>
                <w:rFonts w:ascii="宋体"/>
                <w:spacing w:val="-1"/>
                <w:sz w:val="18"/>
              </w:rPr>
              <w:t>,</w:t>
            </w:r>
            <w:r>
              <w:rPr>
                <w:rFonts w:ascii="Times New Roman"/>
                <w:spacing w:val="-1"/>
                <w:sz w:val="18"/>
              </w:rPr>
              <w:t>217</w:t>
            </w:r>
            <w:r>
              <w:rPr>
                <w:rFonts w:ascii="宋体"/>
                <w:spacing w:val="-1"/>
                <w:sz w:val="18"/>
              </w:rPr>
              <w:t>,</w:t>
            </w:r>
            <w:r>
              <w:rPr>
                <w:rFonts w:ascii="Times New Roman"/>
                <w:spacing w:val="-1"/>
                <w:sz w:val="18"/>
              </w:rPr>
              <w:t>429</w:t>
            </w:r>
            <w:r>
              <w:rPr>
                <w:rFonts w:ascii="宋体"/>
                <w:spacing w:val="-1"/>
                <w:sz w:val="18"/>
              </w:rPr>
              <w:t>.</w:t>
            </w:r>
            <w:r>
              <w:rPr>
                <w:rFonts w:ascii="Times New Roman"/>
                <w:spacing w:val="-1"/>
                <w:sz w:val="18"/>
              </w:rPr>
              <w:t>68</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105</w:t>
            </w:r>
            <w:r>
              <w:rPr>
                <w:rFonts w:ascii="宋体"/>
                <w:spacing w:val="-1"/>
                <w:sz w:val="18"/>
              </w:rPr>
              <w:t>,</w:t>
            </w:r>
            <w:r>
              <w:rPr>
                <w:rFonts w:ascii="Times New Roman"/>
                <w:spacing w:val="-1"/>
                <w:sz w:val="18"/>
              </w:rPr>
              <w:t>430</w:t>
            </w:r>
            <w:r>
              <w:rPr>
                <w:rFonts w:ascii="宋体"/>
                <w:spacing w:val="-1"/>
                <w:sz w:val="18"/>
              </w:rPr>
              <w:t>,</w:t>
            </w:r>
            <w:r>
              <w:rPr>
                <w:rFonts w:ascii="Times New Roman"/>
                <w:spacing w:val="-1"/>
                <w:sz w:val="18"/>
              </w:rPr>
              <w:t>285</w:t>
            </w:r>
            <w:r>
              <w:rPr>
                <w:rFonts w:ascii="宋体"/>
                <w:spacing w:val="-1"/>
                <w:sz w:val="18"/>
              </w:rPr>
              <w:t>.</w:t>
            </w:r>
            <w:r>
              <w:rPr>
                <w:rFonts w:ascii="Times New Roman"/>
                <w:spacing w:val="-1"/>
                <w:sz w:val="18"/>
              </w:rPr>
              <w:t>35</w:t>
            </w:r>
            <w:r>
              <w:rPr>
                <w:rFonts w:ascii="Times New Roman"/>
                <w:sz w:val="18"/>
              </w:rPr>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5</w:t>
            </w:r>
            <w:r>
              <w:rPr>
                <w:rFonts w:ascii="宋体"/>
                <w:spacing w:val="-1"/>
                <w:sz w:val="18"/>
              </w:rPr>
              <w:t>,</w:t>
            </w:r>
            <w:r>
              <w:rPr>
                <w:rFonts w:ascii="Times New Roman"/>
                <w:spacing w:val="-1"/>
                <w:sz w:val="18"/>
              </w:rPr>
              <w:t>653</w:t>
            </w:r>
            <w:r>
              <w:rPr>
                <w:rFonts w:ascii="宋体"/>
                <w:spacing w:val="-1"/>
                <w:sz w:val="18"/>
              </w:rPr>
              <w:t>,</w:t>
            </w:r>
            <w:r>
              <w:rPr>
                <w:rFonts w:ascii="Times New Roman"/>
                <w:spacing w:val="-1"/>
                <w:sz w:val="18"/>
              </w:rPr>
              <w:t>591</w:t>
            </w:r>
            <w:r>
              <w:rPr>
                <w:rFonts w:ascii="宋体"/>
                <w:spacing w:val="-1"/>
                <w:sz w:val="18"/>
              </w:rPr>
              <w:t>.</w:t>
            </w:r>
            <w:r>
              <w:rPr>
                <w:rFonts w:ascii="Times New Roman"/>
                <w:spacing w:val="-1"/>
                <w:sz w:val="18"/>
              </w:rPr>
              <w:t>88</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583</w:t>
            </w:r>
            <w:r>
              <w:rPr>
                <w:rFonts w:ascii="宋体"/>
                <w:spacing w:val="-1"/>
                <w:sz w:val="18"/>
              </w:rPr>
              <w:t>,</w:t>
            </w:r>
            <w:r>
              <w:rPr>
                <w:rFonts w:ascii="Times New Roman"/>
                <w:spacing w:val="-1"/>
                <w:sz w:val="18"/>
              </w:rPr>
              <w:t>750</w:t>
            </w:r>
            <w:r>
              <w:rPr>
                <w:rFonts w:ascii="宋体"/>
                <w:spacing w:val="-1"/>
                <w:sz w:val="18"/>
              </w:rPr>
              <w:t>.</w:t>
            </w:r>
            <w:r>
              <w:rPr>
                <w:rFonts w:ascii="Times New Roman"/>
                <w:spacing w:val="-1"/>
                <w:sz w:val="18"/>
              </w:rPr>
              <w:t>53</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Times New Roman"/>
                <w:spacing w:val="-1"/>
                <w:sz w:val="18"/>
              </w:rPr>
              <w:t>6</w:t>
            </w:r>
            <w:r>
              <w:rPr>
                <w:rFonts w:ascii="宋体"/>
                <w:spacing w:val="-1"/>
                <w:sz w:val="18"/>
              </w:rPr>
              <w:t>,</w:t>
            </w:r>
            <w:r>
              <w:rPr>
                <w:rFonts w:ascii="Times New Roman"/>
                <w:spacing w:val="-1"/>
                <w:sz w:val="18"/>
              </w:rPr>
              <w:t>237</w:t>
            </w:r>
            <w:r>
              <w:rPr>
                <w:rFonts w:ascii="宋体"/>
                <w:spacing w:val="-1"/>
                <w:sz w:val="18"/>
              </w:rPr>
              <w:t>,</w:t>
            </w:r>
            <w:r>
              <w:rPr>
                <w:rFonts w:ascii="Times New Roman"/>
                <w:spacing w:val="-1"/>
                <w:sz w:val="18"/>
              </w:rPr>
              <w:t>342</w:t>
            </w:r>
            <w:r>
              <w:rPr>
                <w:rFonts w:ascii="宋体"/>
                <w:spacing w:val="-1"/>
                <w:sz w:val="18"/>
              </w:rPr>
              <w:t>.</w:t>
            </w:r>
            <w:r>
              <w:rPr>
                <w:rFonts w:ascii="Times New Roman"/>
                <w:spacing w:val="-1"/>
                <w:sz w:val="18"/>
              </w:rPr>
              <w:t>41</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3</w:t>
            </w:r>
            <w:r>
              <w:rPr>
                <w:rFonts w:ascii="宋体"/>
                <w:spacing w:val="-1"/>
                <w:sz w:val="18"/>
              </w:rPr>
              <w:t>,</w:t>
            </w:r>
            <w:r>
              <w:rPr>
                <w:rFonts w:ascii="Times New Roman"/>
                <w:spacing w:val="-1"/>
                <w:sz w:val="18"/>
              </w:rPr>
              <w:t>736</w:t>
            </w:r>
            <w:r>
              <w:rPr>
                <w:rFonts w:ascii="宋体"/>
                <w:spacing w:val="-1"/>
                <w:sz w:val="18"/>
              </w:rPr>
              <w:t>,</w:t>
            </w:r>
            <w:r>
              <w:rPr>
                <w:rFonts w:ascii="Times New Roman"/>
                <w:spacing w:val="-1"/>
                <w:sz w:val="18"/>
              </w:rPr>
              <w:t>381</w:t>
            </w:r>
            <w:r>
              <w:rPr>
                <w:rFonts w:ascii="宋体"/>
                <w:spacing w:val="-1"/>
                <w:sz w:val="18"/>
              </w:rPr>
              <w:t>.</w:t>
            </w:r>
            <w:r>
              <w:rPr>
                <w:rFonts w:ascii="Times New Roman"/>
                <w:spacing w:val="-1"/>
                <w:sz w:val="18"/>
              </w:rPr>
              <w:t>55</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4</w:t>
            </w:r>
            <w:r>
              <w:rPr>
                <w:rFonts w:ascii="宋体"/>
                <w:spacing w:val="-1"/>
                <w:sz w:val="18"/>
              </w:rPr>
              <w:t>,</w:t>
            </w:r>
            <w:r>
              <w:rPr>
                <w:rFonts w:ascii="Times New Roman"/>
                <w:spacing w:val="-1"/>
                <w:sz w:val="18"/>
              </w:rPr>
              <w:t>798</w:t>
            </w:r>
            <w:r>
              <w:rPr>
                <w:rFonts w:ascii="宋体"/>
                <w:spacing w:val="-1"/>
                <w:sz w:val="18"/>
              </w:rPr>
              <w:t>,</w:t>
            </w:r>
            <w:r>
              <w:rPr>
                <w:rFonts w:ascii="Times New Roman"/>
                <w:spacing w:val="-1"/>
                <w:sz w:val="18"/>
              </w:rPr>
              <w:t>300</w:t>
            </w:r>
            <w:r>
              <w:rPr>
                <w:rFonts w:ascii="宋体"/>
                <w:spacing w:val="-1"/>
                <w:sz w:val="18"/>
              </w:rPr>
              <w:t>.</w:t>
            </w:r>
            <w:r>
              <w:rPr>
                <w:rFonts w:ascii="Times New Roman"/>
                <w:spacing w:val="-1"/>
                <w:sz w:val="18"/>
              </w:rPr>
              <w:t>45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8</w:t>
            </w:r>
            <w:r>
              <w:rPr>
                <w:rFonts w:ascii="宋体"/>
                <w:spacing w:val="-1"/>
                <w:sz w:val="18"/>
              </w:rPr>
              <w:t>,</w:t>
            </w:r>
            <w:r>
              <w:rPr>
                <w:rFonts w:ascii="Times New Roman"/>
                <w:spacing w:val="-1"/>
                <w:sz w:val="18"/>
              </w:rPr>
              <w:t>534</w:t>
            </w:r>
            <w:r>
              <w:rPr>
                <w:rFonts w:ascii="宋体"/>
                <w:spacing w:val="-1"/>
                <w:sz w:val="18"/>
              </w:rPr>
              <w:t>,</w:t>
            </w:r>
            <w:r>
              <w:rPr>
                <w:rFonts w:ascii="Times New Roman"/>
                <w:spacing w:val="-1"/>
                <w:sz w:val="18"/>
              </w:rPr>
              <w:t>682</w:t>
            </w:r>
            <w:r>
              <w:rPr>
                <w:rFonts w:ascii="宋体"/>
                <w:spacing w:val="-1"/>
                <w:sz w:val="18"/>
              </w:rPr>
              <w:t>.</w:t>
            </w:r>
            <w:r>
              <w:rPr>
                <w:rFonts w:ascii="Times New Roman"/>
                <w:spacing w:val="-1"/>
                <w:sz w:val="18"/>
              </w:rPr>
              <w:t>00</w:t>
            </w:r>
            <w:r>
              <w:rPr>
                <w:rFonts w:ascii="Times New Roman"/>
                <w:sz w:val="18"/>
              </w:rPr>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1</w:t>
            </w:r>
            <w:r>
              <w:rPr>
                <w:rFonts w:ascii="宋体"/>
                <w:spacing w:val="-1"/>
                <w:sz w:val="18"/>
              </w:rPr>
              <w:t>,</w:t>
            </w:r>
            <w:r>
              <w:rPr>
                <w:rFonts w:ascii="Times New Roman"/>
                <w:spacing w:val="-1"/>
                <w:sz w:val="18"/>
              </w:rPr>
              <w:t>678</w:t>
            </w:r>
            <w:r>
              <w:rPr>
                <w:rFonts w:ascii="宋体"/>
                <w:spacing w:val="-1"/>
                <w:sz w:val="18"/>
              </w:rPr>
              <w:t>,</w:t>
            </w:r>
            <w:r>
              <w:rPr>
                <w:rFonts w:ascii="Times New Roman"/>
                <w:spacing w:val="-1"/>
                <w:sz w:val="18"/>
              </w:rPr>
              <w:t>069</w:t>
            </w:r>
            <w:r>
              <w:rPr>
                <w:rFonts w:ascii="宋体"/>
                <w:spacing w:val="-1"/>
                <w:sz w:val="18"/>
              </w:rPr>
              <w:t>.</w:t>
            </w:r>
            <w:r>
              <w:rPr>
                <w:rFonts w:ascii="Times New Roman"/>
                <w:spacing w:val="-1"/>
                <w:sz w:val="18"/>
              </w:rPr>
              <w:t>40</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996</w:t>
            </w:r>
            <w:r>
              <w:rPr>
                <w:rFonts w:ascii="宋体"/>
                <w:spacing w:val="-1"/>
                <w:sz w:val="18"/>
              </w:rPr>
              <w:t>,</w:t>
            </w:r>
            <w:r>
              <w:rPr>
                <w:rFonts w:ascii="Times New Roman"/>
                <w:spacing w:val="-1"/>
                <w:sz w:val="18"/>
              </w:rPr>
              <w:t>018</w:t>
            </w:r>
            <w:r>
              <w:rPr>
                <w:rFonts w:ascii="宋体"/>
                <w:spacing w:val="-1"/>
                <w:sz w:val="18"/>
              </w:rPr>
              <w:t>.</w:t>
            </w:r>
            <w:r>
              <w:rPr>
                <w:rFonts w:ascii="Times New Roman"/>
                <w:spacing w:val="-1"/>
                <w:sz w:val="18"/>
              </w:rPr>
              <w:t>80</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Times New Roman"/>
                <w:spacing w:val="-1"/>
                <w:sz w:val="18"/>
              </w:rPr>
              <w:t>2</w:t>
            </w:r>
            <w:r>
              <w:rPr>
                <w:rFonts w:ascii="宋体"/>
                <w:spacing w:val="-1"/>
                <w:sz w:val="18"/>
              </w:rPr>
              <w:t>,</w:t>
            </w:r>
            <w:r>
              <w:rPr>
                <w:rFonts w:ascii="Times New Roman"/>
                <w:spacing w:val="-1"/>
                <w:sz w:val="18"/>
              </w:rPr>
              <w:t>674</w:t>
            </w:r>
            <w:r>
              <w:rPr>
                <w:rFonts w:ascii="宋体"/>
                <w:spacing w:val="-1"/>
                <w:sz w:val="18"/>
              </w:rPr>
              <w:t>,</w:t>
            </w:r>
            <w:r>
              <w:rPr>
                <w:rFonts w:ascii="Times New Roman"/>
                <w:spacing w:val="-1"/>
                <w:sz w:val="18"/>
              </w:rPr>
              <w:t>088</w:t>
            </w:r>
            <w:r>
              <w:rPr>
                <w:rFonts w:ascii="宋体"/>
                <w:spacing w:val="-1"/>
                <w:sz w:val="18"/>
              </w:rPr>
              <w:t>.</w:t>
            </w:r>
            <w:r>
              <w:rPr>
                <w:rFonts w:ascii="Times New Roman"/>
                <w:spacing w:val="-1"/>
                <w:sz w:val="18"/>
              </w:rPr>
              <w:t>20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866</w:t>
            </w:r>
            <w:r>
              <w:rPr>
                <w:rFonts w:ascii="宋体"/>
                <w:spacing w:val="-1"/>
                <w:sz w:val="18"/>
              </w:rPr>
              <w:t>,</w:t>
            </w:r>
            <w:r>
              <w:rPr>
                <w:rFonts w:ascii="Times New Roman"/>
                <w:spacing w:val="-1"/>
                <w:sz w:val="18"/>
              </w:rPr>
              <w:t>949</w:t>
            </w:r>
            <w:r>
              <w:rPr>
                <w:rFonts w:ascii="宋体"/>
                <w:spacing w:val="-1"/>
                <w:sz w:val="18"/>
              </w:rPr>
              <w:t>.</w:t>
            </w:r>
            <w:r>
              <w:rPr>
                <w:rFonts w:ascii="Times New Roman"/>
                <w:spacing w:val="-1"/>
                <w:sz w:val="18"/>
              </w:rPr>
              <w:t>15</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1</w:t>
            </w:r>
            <w:r>
              <w:rPr>
                <w:rFonts w:ascii="宋体"/>
                <w:spacing w:val="-1"/>
                <w:sz w:val="18"/>
              </w:rPr>
              <w:t>,</w:t>
            </w:r>
            <w:r>
              <w:rPr>
                <w:rFonts w:ascii="Times New Roman"/>
                <w:spacing w:val="-1"/>
                <w:sz w:val="18"/>
              </w:rPr>
              <w:t>323</w:t>
            </w:r>
            <w:r>
              <w:rPr>
                <w:rFonts w:ascii="宋体"/>
                <w:spacing w:val="-1"/>
                <w:sz w:val="18"/>
              </w:rPr>
              <w:t>,</w:t>
            </w:r>
            <w:r>
              <w:rPr>
                <w:rFonts w:ascii="Times New Roman"/>
                <w:spacing w:val="-1"/>
                <w:sz w:val="18"/>
              </w:rPr>
              <w:t>897</w:t>
            </w:r>
            <w:r>
              <w:rPr>
                <w:rFonts w:ascii="宋体"/>
                <w:spacing w:val="-1"/>
                <w:sz w:val="18"/>
              </w:rPr>
              <w:t>.</w:t>
            </w:r>
            <w:r>
              <w:rPr>
                <w:rFonts w:ascii="Times New Roman"/>
                <w:spacing w:val="-1"/>
                <w:sz w:val="18"/>
              </w:rPr>
              <w:t>96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2</w:t>
            </w:r>
            <w:r>
              <w:rPr>
                <w:rFonts w:ascii="宋体"/>
                <w:spacing w:val="-1"/>
                <w:sz w:val="18"/>
              </w:rPr>
              <w:t>,</w:t>
            </w:r>
            <w:r>
              <w:rPr>
                <w:rFonts w:ascii="Times New Roman"/>
                <w:spacing w:val="-1"/>
                <w:sz w:val="18"/>
              </w:rPr>
              <w:t>190</w:t>
            </w:r>
            <w:r>
              <w:rPr>
                <w:rFonts w:ascii="宋体"/>
                <w:spacing w:val="-1"/>
                <w:sz w:val="18"/>
              </w:rPr>
              <w:t>,</w:t>
            </w:r>
            <w:r>
              <w:rPr>
                <w:rFonts w:ascii="Times New Roman"/>
                <w:spacing w:val="-1"/>
                <w:sz w:val="18"/>
              </w:rPr>
              <w:t>847</w:t>
            </w:r>
            <w:r>
              <w:rPr>
                <w:rFonts w:ascii="宋体"/>
                <w:spacing w:val="-1"/>
                <w:sz w:val="18"/>
              </w:rPr>
              <w:t>.</w:t>
            </w:r>
            <w:r>
              <w:rPr>
                <w:rFonts w:ascii="Times New Roman"/>
                <w:spacing w:val="-1"/>
                <w:sz w:val="18"/>
              </w:rPr>
              <w:t>11</w:t>
            </w:r>
            <w:r>
              <w:rPr>
                <w:rFonts w:ascii="Times New Roman"/>
                <w:sz w:val="18"/>
              </w:rPr>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250</w:t>
            </w:r>
            <w:r>
              <w:rPr>
                <w:rFonts w:ascii="宋体"/>
                <w:spacing w:val="-1"/>
                <w:sz w:val="18"/>
              </w:rPr>
              <w:t>,</w:t>
            </w:r>
            <w:r>
              <w:rPr>
                <w:rFonts w:ascii="Times New Roman"/>
                <w:spacing w:val="-1"/>
                <w:sz w:val="18"/>
              </w:rPr>
              <w:t>683</w:t>
            </w:r>
            <w:r>
              <w:rPr>
                <w:rFonts w:ascii="宋体"/>
                <w:spacing w:val="-1"/>
                <w:sz w:val="18"/>
              </w:rPr>
              <w:t>.</w:t>
            </w:r>
            <w:r>
              <w:rPr>
                <w:rFonts w:ascii="Times New Roman"/>
                <w:spacing w:val="-1"/>
                <w:sz w:val="18"/>
              </w:rPr>
              <w:t>01</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Times New Roman"/>
                <w:spacing w:val="-1"/>
                <w:sz w:val="18"/>
              </w:rPr>
              <w:t>250</w:t>
            </w:r>
            <w:r>
              <w:rPr>
                <w:rFonts w:ascii="宋体"/>
                <w:spacing w:val="-1"/>
                <w:sz w:val="18"/>
              </w:rPr>
              <w:t>,</w:t>
            </w:r>
            <w:r>
              <w:rPr>
                <w:rFonts w:ascii="Times New Roman"/>
                <w:spacing w:val="-1"/>
                <w:sz w:val="18"/>
              </w:rPr>
              <w:t>683</w:t>
            </w:r>
            <w:r>
              <w:rPr>
                <w:rFonts w:ascii="宋体"/>
                <w:spacing w:val="-1"/>
                <w:sz w:val="18"/>
              </w:rPr>
              <w:t>.</w:t>
            </w:r>
            <w:r>
              <w:rPr>
                <w:rFonts w:ascii="Times New Roman"/>
                <w:spacing w:val="-1"/>
                <w:sz w:val="18"/>
              </w:rPr>
              <w:t>01</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Times New Roman"/>
                <w:spacing w:val="-1"/>
                <w:sz w:val="18"/>
              </w:rPr>
              <w:t>35</w:t>
            </w:r>
            <w:r>
              <w:rPr>
                <w:rFonts w:ascii="宋体"/>
                <w:spacing w:val="-1"/>
                <w:sz w:val="18"/>
              </w:rPr>
              <w:t>,</w:t>
            </w:r>
            <w:r>
              <w:rPr>
                <w:rFonts w:ascii="Times New Roman"/>
                <w:spacing w:val="-1"/>
                <w:sz w:val="18"/>
              </w:rPr>
              <w:t>870</w:t>
            </w:r>
            <w:r>
              <w:rPr>
                <w:rFonts w:ascii="宋体"/>
                <w:spacing w:val="-1"/>
                <w:sz w:val="18"/>
              </w:rPr>
              <w:t>,</w:t>
            </w:r>
            <w:r>
              <w:rPr>
                <w:rFonts w:ascii="Times New Roman"/>
                <w:spacing w:val="-1"/>
                <w:sz w:val="18"/>
              </w:rPr>
              <w:t>110</w:t>
            </w:r>
            <w:r>
              <w:rPr>
                <w:rFonts w:ascii="宋体"/>
                <w:spacing w:val="-1"/>
                <w:sz w:val="18"/>
              </w:rPr>
              <w:t>.</w:t>
            </w:r>
            <w:r>
              <w:rPr>
                <w:rFonts w:ascii="Times New Roman"/>
                <w:spacing w:val="-1"/>
                <w:sz w:val="18"/>
              </w:rPr>
              <w:t>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Times New Roman"/>
                <w:spacing w:val="-1"/>
                <w:sz w:val="18"/>
              </w:rPr>
              <w:t>35</w:t>
            </w:r>
            <w:r>
              <w:rPr>
                <w:rFonts w:ascii="宋体"/>
                <w:spacing w:val="-1"/>
                <w:sz w:val="18"/>
              </w:rPr>
              <w:t>,</w:t>
            </w:r>
            <w:r>
              <w:rPr>
                <w:rFonts w:ascii="Times New Roman"/>
                <w:spacing w:val="-1"/>
                <w:sz w:val="18"/>
              </w:rPr>
              <w:t>870</w:t>
            </w:r>
            <w:r>
              <w:rPr>
                <w:rFonts w:ascii="宋体"/>
                <w:spacing w:val="-1"/>
                <w:sz w:val="18"/>
              </w:rPr>
              <w:t>,</w:t>
            </w:r>
            <w:r>
              <w:rPr>
                <w:rFonts w:ascii="Times New Roman"/>
                <w:spacing w:val="-1"/>
                <w:sz w:val="18"/>
              </w:rPr>
              <w:t>110</w:t>
            </w:r>
            <w:r>
              <w:rPr>
                <w:rFonts w:ascii="宋体"/>
                <w:spacing w:val="-1"/>
                <w:sz w:val="18"/>
              </w:rPr>
              <w:t>.</w:t>
            </w:r>
            <w:r>
              <w:rPr>
                <w:rFonts w:ascii="Times New Roman"/>
                <w:spacing w:val="-1"/>
                <w:sz w:val="18"/>
              </w:rPr>
              <w:t>14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3</w:t>
            </w:r>
            <w:r>
              <w:rPr>
                <w:rFonts w:ascii="宋体"/>
                <w:spacing w:val="-1"/>
                <w:sz w:val="18"/>
              </w:rPr>
              <w:t>,</w:t>
            </w:r>
            <w:r>
              <w:rPr>
                <w:rFonts w:ascii="Times New Roman"/>
                <w:spacing w:val="-1"/>
                <w:sz w:val="18"/>
              </w:rPr>
              <w:t>871</w:t>
            </w:r>
            <w:r>
              <w:rPr>
                <w:rFonts w:ascii="宋体"/>
                <w:spacing w:val="-1"/>
                <w:sz w:val="18"/>
              </w:rPr>
              <w:t>,</w:t>
            </w:r>
            <w:r>
              <w:rPr>
                <w:rFonts w:ascii="Times New Roman"/>
                <w:spacing w:val="-1"/>
                <w:sz w:val="18"/>
              </w:rPr>
              <w:t>592</w:t>
            </w:r>
            <w:r>
              <w:rPr>
                <w:rFonts w:ascii="宋体"/>
                <w:spacing w:val="-1"/>
                <w:sz w:val="18"/>
              </w:rPr>
              <w:t>.</w:t>
            </w:r>
            <w:r>
              <w:rPr>
                <w:rFonts w:ascii="Times New Roman"/>
                <w:spacing w:val="-1"/>
                <w:sz w:val="18"/>
              </w:rPr>
              <w:t>79</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3</w:t>
            </w:r>
            <w:r>
              <w:rPr>
                <w:rFonts w:ascii="宋体"/>
                <w:spacing w:val="-1"/>
                <w:sz w:val="18"/>
              </w:rPr>
              <w:t>,</w:t>
            </w:r>
            <w:r>
              <w:rPr>
                <w:rFonts w:ascii="Times New Roman"/>
                <w:spacing w:val="-1"/>
                <w:sz w:val="18"/>
              </w:rPr>
              <w:t>871</w:t>
            </w:r>
            <w:r>
              <w:rPr>
                <w:rFonts w:ascii="宋体"/>
                <w:spacing w:val="-1"/>
                <w:sz w:val="18"/>
              </w:rPr>
              <w:t>,</w:t>
            </w:r>
            <w:r>
              <w:rPr>
                <w:rFonts w:ascii="Times New Roman"/>
                <w:spacing w:val="-1"/>
                <w:sz w:val="18"/>
              </w:rPr>
              <w:t>592</w:t>
            </w:r>
            <w:r>
              <w:rPr>
                <w:rFonts w:ascii="宋体"/>
                <w:spacing w:val="-1"/>
                <w:sz w:val="18"/>
              </w:rPr>
              <w:t>.</w:t>
            </w:r>
            <w:r>
              <w:rPr>
                <w:rFonts w:ascii="Times New Roman"/>
                <w:spacing w:val="-1"/>
                <w:sz w:val="18"/>
              </w:rPr>
              <w:t>79</w:t>
            </w:r>
            <w:r>
              <w:rPr>
                <w:rFonts w:ascii="Times New Roman"/>
                <w:sz w:val="18"/>
              </w:rPr>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 w:right="0"/>
              <w:jc w:val="left"/>
              <w:rPr>
                <w:rFonts w:ascii="Times New Roman" w:hAnsi="Times New Roman" w:cs="Times New Roman" w:eastAsia="Times New Roman" w:hint="default"/>
                <w:sz w:val="18"/>
                <w:szCs w:val="18"/>
              </w:rPr>
            </w:pPr>
            <w:r>
              <w:rPr>
                <w:rFonts w:ascii="Times New Roman"/>
                <w:sz w:val="18"/>
              </w:rPr>
              <w:t>48</w:t>
            </w:r>
            <w:r>
              <w:rPr>
                <w:rFonts w:ascii="宋体"/>
                <w:sz w:val="18"/>
              </w:rPr>
              <w:t>,</w:t>
            </w:r>
            <w:r>
              <w:rPr>
                <w:rFonts w:ascii="Times New Roman"/>
                <w:sz w:val="18"/>
              </w:rPr>
              <w:t>528</w:t>
            </w:r>
            <w:r>
              <w:rPr>
                <w:rFonts w:ascii="宋体"/>
                <w:sz w:val="18"/>
              </w:rPr>
              <w:t>,</w:t>
            </w:r>
            <w:r>
              <w:rPr>
                <w:rFonts w:ascii="Times New Roman"/>
                <w:sz w:val="18"/>
              </w:rPr>
              <w:t>902</w:t>
            </w:r>
            <w:r>
              <w:rPr>
                <w:rFonts w:ascii="宋体"/>
                <w:sz w:val="18"/>
              </w:rPr>
              <w:t>.</w:t>
            </w:r>
            <w:r>
              <w:rPr>
                <w:rFonts w:ascii="Times New Roman"/>
                <w:sz w:val="18"/>
              </w:rPr>
              <w:t>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6" w:right="0"/>
              <w:jc w:val="left"/>
              <w:rPr>
                <w:rFonts w:ascii="Times New Roman" w:hAnsi="Times New Roman" w:cs="Times New Roman" w:eastAsia="Times New Roman" w:hint="default"/>
                <w:sz w:val="18"/>
                <w:szCs w:val="18"/>
              </w:rPr>
            </w:pPr>
            <w:r>
              <w:rPr>
                <w:rFonts w:ascii="Times New Roman"/>
                <w:sz w:val="18"/>
              </w:rPr>
              <w:t>8</w:t>
            </w:r>
            <w:r>
              <w:rPr>
                <w:rFonts w:ascii="宋体"/>
                <w:sz w:val="18"/>
              </w:rPr>
              <w:t>,</w:t>
            </w:r>
            <w:r>
              <w:rPr>
                <w:rFonts w:ascii="Times New Roman"/>
                <w:sz w:val="18"/>
              </w:rPr>
              <w:t>517</w:t>
            </w:r>
            <w:r>
              <w:rPr>
                <w:rFonts w:ascii="宋体"/>
                <w:sz w:val="18"/>
              </w:rPr>
              <w:t>,</w:t>
            </w:r>
            <w:r>
              <w:rPr>
                <w:rFonts w:ascii="Times New Roman"/>
                <w:sz w:val="18"/>
              </w:rPr>
              <w:t>180</w:t>
            </w:r>
            <w:r>
              <w:rPr>
                <w:rFonts w:ascii="宋体"/>
                <w:sz w:val="18"/>
              </w:rPr>
              <w:t>.</w:t>
            </w:r>
            <w:r>
              <w:rPr>
                <w:rFonts w:ascii="Times New Roman"/>
                <w:sz w:val="18"/>
              </w:rPr>
              <w:t>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 w:right="0"/>
              <w:jc w:val="left"/>
              <w:rPr>
                <w:rFonts w:ascii="Times New Roman" w:hAnsi="Times New Roman" w:cs="Times New Roman" w:eastAsia="Times New Roman" w:hint="default"/>
                <w:sz w:val="18"/>
                <w:szCs w:val="18"/>
              </w:rPr>
            </w:pPr>
            <w:r>
              <w:rPr>
                <w:rFonts w:ascii="Times New Roman"/>
                <w:sz w:val="18"/>
              </w:rPr>
              <w:t>57</w:t>
            </w:r>
            <w:r>
              <w:rPr>
                <w:rFonts w:ascii="宋体"/>
                <w:sz w:val="18"/>
              </w:rPr>
              <w:t>,</w:t>
            </w:r>
            <w:r>
              <w:rPr>
                <w:rFonts w:ascii="Times New Roman"/>
                <w:sz w:val="18"/>
              </w:rPr>
              <w:t>046</w:t>
            </w:r>
            <w:r>
              <w:rPr>
                <w:rFonts w:ascii="宋体"/>
                <w:sz w:val="18"/>
              </w:rPr>
              <w:t>,</w:t>
            </w:r>
            <w:r>
              <w:rPr>
                <w:rFonts w:ascii="Times New Roman"/>
                <w:sz w:val="18"/>
              </w:rPr>
              <w:t>083</w:t>
            </w:r>
            <w:r>
              <w:rPr>
                <w:rFonts w:ascii="宋体"/>
                <w:sz w:val="18"/>
              </w:rPr>
              <w:t>.</w:t>
            </w:r>
            <w:r>
              <w:rPr>
                <w:rFonts w:ascii="Times New Roman"/>
                <w:sz w:val="18"/>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2" w:right="0"/>
              <w:jc w:val="left"/>
              <w:rPr>
                <w:rFonts w:ascii="Times New Roman" w:hAnsi="Times New Roman" w:cs="Times New Roman" w:eastAsia="Times New Roman" w:hint="default"/>
                <w:sz w:val="18"/>
                <w:szCs w:val="18"/>
              </w:rPr>
            </w:pPr>
            <w:r>
              <w:rPr>
                <w:rFonts w:ascii="Times New Roman"/>
                <w:sz w:val="18"/>
              </w:rPr>
              <w:t>27</w:t>
            </w:r>
            <w:r>
              <w:rPr>
                <w:rFonts w:ascii="宋体"/>
                <w:sz w:val="18"/>
              </w:rPr>
              <w:t>,</w:t>
            </w:r>
            <w:r>
              <w:rPr>
                <w:rFonts w:ascii="Times New Roman"/>
                <w:sz w:val="18"/>
              </w:rPr>
              <w:t>833</w:t>
            </w:r>
            <w:r>
              <w:rPr>
                <w:rFonts w:ascii="宋体"/>
                <w:sz w:val="18"/>
              </w:rPr>
              <w:t>,</w:t>
            </w:r>
            <w:r>
              <w:rPr>
                <w:rFonts w:ascii="Times New Roman"/>
                <w:sz w:val="18"/>
              </w:rPr>
              <w:t>326</w:t>
            </w:r>
            <w:r>
              <w:rPr>
                <w:rFonts w:ascii="宋体"/>
                <w:sz w:val="18"/>
              </w:rPr>
              <w:t>.</w:t>
            </w:r>
            <w:r>
              <w:rPr>
                <w:rFonts w:ascii="Times New Roman"/>
                <w:sz w:val="18"/>
              </w:rPr>
              <w:t>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Times New Roman"/>
                <w:sz w:val="18"/>
              </w:rPr>
              <w:t>6</w:t>
            </w:r>
            <w:r>
              <w:rPr>
                <w:rFonts w:ascii="宋体"/>
                <w:sz w:val="18"/>
              </w:rPr>
              <w:t>,</w:t>
            </w:r>
            <w:r>
              <w:rPr>
                <w:rFonts w:ascii="Times New Roman"/>
                <w:sz w:val="18"/>
              </w:rPr>
              <w:t>045</w:t>
            </w:r>
            <w:r>
              <w:rPr>
                <w:rFonts w:ascii="宋体"/>
                <w:sz w:val="18"/>
              </w:rPr>
              <w:t>,</w:t>
            </w:r>
            <w:r>
              <w:rPr>
                <w:rFonts w:ascii="Times New Roman"/>
                <w:sz w:val="18"/>
              </w:rPr>
              <w:t>024</w:t>
            </w:r>
            <w:r>
              <w:rPr>
                <w:rFonts w:ascii="宋体"/>
                <w:sz w:val="18"/>
              </w:rPr>
              <w:t>.</w:t>
            </w:r>
            <w:r>
              <w:rPr>
                <w:rFonts w:ascii="Times New Roman"/>
                <w:sz w:val="18"/>
              </w:rPr>
              <w:t>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 w:right="0"/>
              <w:jc w:val="left"/>
              <w:rPr>
                <w:rFonts w:ascii="Times New Roman" w:hAnsi="Times New Roman" w:cs="Times New Roman" w:eastAsia="Times New Roman" w:hint="default"/>
                <w:sz w:val="18"/>
                <w:szCs w:val="18"/>
              </w:rPr>
            </w:pPr>
            <w:r>
              <w:rPr>
                <w:rFonts w:ascii="Times New Roman"/>
                <w:sz w:val="18"/>
              </w:rPr>
              <w:t>33</w:t>
            </w:r>
            <w:r>
              <w:rPr>
                <w:rFonts w:ascii="宋体"/>
                <w:sz w:val="18"/>
              </w:rPr>
              <w:t>,</w:t>
            </w:r>
            <w:r>
              <w:rPr>
                <w:rFonts w:ascii="Times New Roman"/>
                <w:sz w:val="18"/>
              </w:rPr>
              <w:t>878</w:t>
            </w:r>
            <w:r>
              <w:rPr>
                <w:rFonts w:ascii="宋体"/>
                <w:sz w:val="18"/>
              </w:rPr>
              <w:t>,</w:t>
            </w:r>
            <w:r>
              <w:rPr>
                <w:rFonts w:ascii="Times New Roman"/>
                <w:sz w:val="18"/>
              </w:rPr>
              <w:t>351</w:t>
            </w:r>
            <w:r>
              <w:rPr>
                <w:rFonts w:ascii="宋体"/>
                <w:sz w:val="18"/>
              </w:rPr>
              <w:t>.</w:t>
            </w:r>
            <w:r>
              <w:rPr>
                <w:rFonts w:ascii="Times New Roman"/>
                <w:sz w:val="18"/>
              </w:rPr>
              <w:t>36</w:t>
            </w:r>
          </w:p>
        </w:tc>
      </w:tr>
      <w:tr>
        <w:trPr>
          <w:trHeight w:val="63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58"/>
              <w:jc w:val="left"/>
              <w:rPr>
                <w:rFonts w:ascii="宋体" w:hAnsi="宋体" w:cs="宋体" w:eastAsia="宋体" w:hint="default"/>
                <w:sz w:val="18"/>
                <w:szCs w:val="18"/>
              </w:rPr>
            </w:pPr>
            <w:r>
              <w:rPr>
                <w:rFonts w:ascii="宋体" w:hAnsi="宋体" w:cs="宋体" w:eastAsia="宋体" w:hint="default"/>
                <w:spacing w:val="32"/>
                <w:sz w:val="18"/>
                <w:szCs w:val="18"/>
              </w:rPr>
              <w:t>应付职工薪</w:t>
            </w:r>
            <w:r>
              <w:rPr>
                <w:rFonts w:ascii="宋体" w:hAnsi="宋体" w:cs="宋体" w:eastAsia="宋体" w:hint="default"/>
                <w:spacing w:val="-50"/>
                <w:sz w:val="18"/>
                <w:szCs w:val="18"/>
              </w:rPr>
              <w:t> </w:t>
            </w:r>
            <w:r>
              <w:rPr>
                <w:rFonts w:ascii="宋体" w:hAnsi="宋体" w:cs="宋体" w:eastAsia="宋体" w:hint="default"/>
                <w:sz w:val="18"/>
                <w:szCs w:val="18"/>
              </w:rPr>
              <w:t>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18"/>
                <w:szCs w:val="18"/>
              </w:rPr>
            </w:pPr>
            <w:r>
              <w:rPr>
                <w:rFonts w:ascii="Times New Roman"/>
                <w:sz w:val="18"/>
              </w:rPr>
              <w:t>20</w:t>
            </w:r>
            <w:r>
              <w:rPr>
                <w:rFonts w:ascii="宋体"/>
                <w:sz w:val="18"/>
              </w:rPr>
              <w:t>,</w:t>
            </w:r>
            <w:r>
              <w:rPr>
                <w:rFonts w:ascii="Times New Roman"/>
                <w:sz w:val="18"/>
              </w:rPr>
              <w:t>125</w:t>
            </w:r>
            <w:r>
              <w:rPr>
                <w:rFonts w:ascii="宋体"/>
                <w:sz w:val="18"/>
              </w:rPr>
              <w:t>.</w:t>
            </w:r>
            <w:r>
              <w:rPr>
                <w:rFonts w:ascii="Times New Roman"/>
                <w:sz w:val="18"/>
              </w:rPr>
              <w:t>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6" w:right="0"/>
              <w:jc w:val="left"/>
              <w:rPr>
                <w:rFonts w:ascii="Times New Roman" w:hAnsi="Times New Roman" w:cs="Times New Roman" w:eastAsia="Times New Roman" w:hint="default"/>
                <w:sz w:val="18"/>
                <w:szCs w:val="18"/>
              </w:rPr>
            </w:pPr>
            <w:r>
              <w:rPr>
                <w:rFonts w:ascii="Times New Roman"/>
                <w:sz w:val="18"/>
              </w:rPr>
              <w:t>1</w:t>
            </w:r>
            <w:r>
              <w:rPr>
                <w:rFonts w:ascii="宋体"/>
                <w:sz w:val="18"/>
              </w:rPr>
              <w:t>,</w:t>
            </w:r>
            <w:r>
              <w:rPr>
                <w:rFonts w:ascii="Times New Roman"/>
                <w:sz w:val="18"/>
              </w:rPr>
              <w:t>509</w:t>
            </w:r>
            <w:r>
              <w:rPr>
                <w:rFonts w:ascii="宋体"/>
                <w:sz w:val="18"/>
              </w:rPr>
              <w:t>,</w:t>
            </w:r>
            <w:r>
              <w:rPr>
                <w:rFonts w:ascii="Times New Roman"/>
                <w:sz w:val="18"/>
              </w:rPr>
              <w:t>289</w:t>
            </w:r>
            <w:r>
              <w:rPr>
                <w:rFonts w:ascii="宋体"/>
                <w:sz w:val="18"/>
              </w:rPr>
              <w:t>.</w:t>
            </w:r>
            <w:r>
              <w:rPr>
                <w:rFonts w:ascii="Times New Roman"/>
                <w:sz w:val="18"/>
              </w:rPr>
              <w:t>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5" w:right="0"/>
              <w:jc w:val="left"/>
              <w:rPr>
                <w:rFonts w:ascii="Times New Roman" w:hAnsi="Times New Roman" w:cs="Times New Roman" w:eastAsia="Times New Roman" w:hint="default"/>
                <w:sz w:val="18"/>
                <w:szCs w:val="18"/>
              </w:rPr>
            </w:pPr>
            <w:r>
              <w:rPr>
                <w:rFonts w:ascii="Times New Roman"/>
                <w:sz w:val="18"/>
              </w:rPr>
              <w:t>1</w:t>
            </w:r>
            <w:r>
              <w:rPr>
                <w:rFonts w:ascii="宋体"/>
                <w:sz w:val="18"/>
              </w:rPr>
              <w:t>,</w:t>
            </w:r>
            <w:r>
              <w:rPr>
                <w:rFonts w:ascii="Times New Roman"/>
                <w:sz w:val="18"/>
              </w:rPr>
              <w:t>529</w:t>
            </w:r>
            <w:r>
              <w:rPr>
                <w:rFonts w:ascii="宋体"/>
                <w:sz w:val="18"/>
              </w:rPr>
              <w:t>,</w:t>
            </w:r>
            <w:r>
              <w:rPr>
                <w:rFonts w:ascii="Times New Roman"/>
                <w:sz w:val="18"/>
              </w:rPr>
              <w:t>414</w:t>
            </w:r>
            <w:r>
              <w:rPr>
                <w:rFonts w:ascii="宋体"/>
                <w:sz w:val="18"/>
              </w:rPr>
              <w:t>.</w:t>
            </w:r>
            <w:r>
              <w:rPr>
                <w:rFonts w:ascii="Times New Roman"/>
                <w:sz w:val="18"/>
              </w:rPr>
              <w:t>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sz w:val="18"/>
              </w:rPr>
              <w:t>36</w:t>
            </w:r>
            <w:r>
              <w:rPr>
                <w:rFonts w:ascii="宋体"/>
                <w:sz w:val="18"/>
              </w:rPr>
              <w:t>,</w:t>
            </w:r>
            <w:r>
              <w:rPr>
                <w:rFonts w:ascii="Times New Roman"/>
                <w:sz w:val="18"/>
              </w:rPr>
              <w:t>553</w:t>
            </w:r>
            <w:r>
              <w:rPr>
                <w:rFonts w:ascii="宋体"/>
                <w:sz w:val="18"/>
              </w:rPr>
              <w:t>.</w:t>
            </w:r>
            <w:r>
              <w:rPr>
                <w:rFonts w:ascii="Times New Roman"/>
                <w:sz w:val="18"/>
              </w:rPr>
              <w:t>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866</w:t>
            </w:r>
            <w:r>
              <w:rPr>
                <w:rFonts w:ascii="宋体"/>
                <w:spacing w:val="-1"/>
                <w:sz w:val="18"/>
              </w:rPr>
              <w:t>,</w:t>
            </w:r>
            <w:r>
              <w:rPr>
                <w:rFonts w:ascii="Times New Roman"/>
                <w:spacing w:val="-1"/>
                <w:sz w:val="18"/>
              </w:rPr>
              <w:t>725</w:t>
            </w:r>
            <w:r>
              <w:rPr>
                <w:rFonts w:ascii="宋体"/>
                <w:spacing w:val="-1"/>
                <w:sz w:val="18"/>
              </w:rPr>
              <w:t>.</w:t>
            </w:r>
            <w:r>
              <w:rPr>
                <w:rFonts w:ascii="Times New Roman"/>
                <w:spacing w:val="-1"/>
                <w:sz w:val="18"/>
              </w:rPr>
              <w:t>45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3" w:right="0"/>
              <w:jc w:val="left"/>
              <w:rPr>
                <w:rFonts w:ascii="Times New Roman" w:hAnsi="Times New Roman" w:cs="Times New Roman" w:eastAsia="Times New Roman" w:hint="default"/>
                <w:sz w:val="18"/>
                <w:szCs w:val="18"/>
              </w:rPr>
            </w:pPr>
            <w:r>
              <w:rPr>
                <w:rFonts w:ascii="Times New Roman"/>
                <w:sz w:val="18"/>
              </w:rPr>
              <w:t>903</w:t>
            </w:r>
            <w:r>
              <w:rPr>
                <w:rFonts w:ascii="宋体"/>
                <w:sz w:val="18"/>
              </w:rPr>
              <w:t>,</w:t>
            </w:r>
            <w:r>
              <w:rPr>
                <w:rFonts w:ascii="Times New Roman"/>
                <w:sz w:val="18"/>
              </w:rPr>
              <w:t>279</w:t>
            </w:r>
            <w:r>
              <w:rPr>
                <w:rFonts w:ascii="宋体"/>
                <w:sz w:val="18"/>
              </w:rPr>
              <w:t>.</w:t>
            </w:r>
            <w:r>
              <w:rPr>
                <w:rFonts w:ascii="Times New Roman"/>
                <w:sz w:val="18"/>
              </w:rPr>
              <w:t>28</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6" w:right="0"/>
              <w:jc w:val="left"/>
              <w:rPr>
                <w:rFonts w:ascii="Times New Roman" w:hAnsi="Times New Roman" w:cs="Times New Roman" w:eastAsia="Times New Roman" w:hint="default"/>
                <w:sz w:val="18"/>
                <w:szCs w:val="18"/>
              </w:rPr>
            </w:pPr>
            <w:r>
              <w:rPr>
                <w:rFonts w:ascii="Times New Roman"/>
                <w:sz w:val="18"/>
              </w:rPr>
              <w:t>3</w:t>
            </w:r>
            <w:r>
              <w:rPr>
                <w:rFonts w:ascii="宋体"/>
                <w:sz w:val="18"/>
              </w:rPr>
              <w:t>,</w:t>
            </w:r>
            <w:r>
              <w:rPr>
                <w:rFonts w:ascii="Times New Roman"/>
                <w:sz w:val="18"/>
              </w:rPr>
              <w:t>708</w:t>
            </w:r>
            <w:r>
              <w:rPr>
                <w:rFonts w:ascii="宋体"/>
                <w:sz w:val="18"/>
              </w:rPr>
              <w:t>,</w:t>
            </w:r>
            <w:r>
              <w:rPr>
                <w:rFonts w:ascii="Times New Roman"/>
                <w:sz w:val="18"/>
              </w:rPr>
              <w:t>830</w:t>
            </w:r>
            <w:r>
              <w:rPr>
                <w:rFonts w:ascii="宋体"/>
                <w:sz w:val="18"/>
              </w:rPr>
              <w:t>.</w:t>
            </w:r>
            <w:r>
              <w:rPr>
                <w:rFonts w:ascii="Times New Roman"/>
                <w:sz w:val="18"/>
              </w:rPr>
              <w:t>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Times New Roman"/>
                <w:sz w:val="18"/>
              </w:rPr>
              <w:t>3</w:t>
            </w:r>
            <w:r>
              <w:rPr>
                <w:rFonts w:ascii="宋体"/>
                <w:sz w:val="18"/>
              </w:rPr>
              <w:t>,</w:t>
            </w:r>
            <w:r>
              <w:rPr>
                <w:rFonts w:ascii="Times New Roman"/>
                <w:sz w:val="18"/>
              </w:rPr>
              <w:t>708</w:t>
            </w:r>
            <w:r>
              <w:rPr>
                <w:rFonts w:ascii="宋体"/>
                <w:sz w:val="18"/>
              </w:rPr>
              <w:t>,</w:t>
            </w:r>
            <w:r>
              <w:rPr>
                <w:rFonts w:ascii="Times New Roman"/>
                <w:sz w:val="18"/>
              </w:rPr>
              <w:t>830</w:t>
            </w:r>
            <w:r>
              <w:rPr>
                <w:rFonts w:ascii="宋体"/>
                <w:sz w:val="18"/>
              </w:rPr>
              <w:t>.</w:t>
            </w:r>
            <w:r>
              <w:rPr>
                <w:rFonts w:ascii="Times New Roman"/>
                <w:sz w:val="18"/>
              </w:rPr>
              <w:t>22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Times New Roman"/>
                <w:sz w:val="18"/>
              </w:rPr>
              <w:t>1</w:t>
            </w:r>
            <w:r>
              <w:rPr>
                <w:rFonts w:ascii="宋体"/>
                <w:sz w:val="18"/>
              </w:rPr>
              <w:t>,</w:t>
            </w:r>
            <w:r>
              <w:rPr>
                <w:rFonts w:ascii="Times New Roman"/>
                <w:sz w:val="18"/>
              </w:rPr>
              <w:t>911</w:t>
            </w:r>
            <w:r>
              <w:rPr>
                <w:rFonts w:ascii="宋体"/>
                <w:sz w:val="18"/>
              </w:rPr>
              <w:t>,</w:t>
            </w:r>
            <w:r>
              <w:rPr>
                <w:rFonts w:ascii="Times New Roman"/>
                <w:sz w:val="18"/>
              </w:rPr>
              <w:t>331</w:t>
            </w:r>
            <w:r>
              <w:rPr>
                <w:rFonts w:ascii="宋体"/>
                <w:sz w:val="18"/>
              </w:rPr>
              <w:t>.</w:t>
            </w:r>
            <w:r>
              <w:rPr>
                <w:rFonts w:ascii="Times New Roman"/>
                <w:sz w:val="18"/>
              </w:rPr>
              <w:t>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Times New Roman" w:hAnsi="Times New Roman" w:cs="Times New Roman" w:eastAsia="Times New Roman" w:hint="default"/>
                <w:sz w:val="18"/>
                <w:szCs w:val="18"/>
              </w:rPr>
            </w:pPr>
            <w:r>
              <w:rPr>
                <w:rFonts w:ascii="Times New Roman"/>
                <w:sz w:val="18"/>
              </w:rPr>
              <w:t>1</w:t>
            </w:r>
            <w:r>
              <w:rPr>
                <w:rFonts w:ascii="宋体"/>
                <w:sz w:val="18"/>
              </w:rPr>
              <w:t>,</w:t>
            </w:r>
            <w:r>
              <w:rPr>
                <w:rFonts w:ascii="Times New Roman"/>
                <w:sz w:val="18"/>
              </w:rPr>
              <w:t>911</w:t>
            </w:r>
            <w:r>
              <w:rPr>
                <w:rFonts w:ascii="宋体"/>
                <w:sz w:val="18"/>
              </w:rPr>
              <w:t>,</w:t>
            </w:r>
            <w:r>
              <w:rPr>
                <w:rFonts w:ascii="Times New Roman"/>
                <w:sz w:val="18"/>
              </w:rPr>
              <w:t>331</w:t>
            </w:r>
            <w:r>
              <w:rPr>
                <w:rFonts w:ascii="宋体"/>
                <w:sz w:val="18"/>
              </w:rPr>
              <w:t>.</w:t>
            </w:r>
            <w:r>
              <w:rPr>
                <w:rFonts w:ascii="Times New Roman"/>
                <w:sz w:val="18"/>
              </w:rPr>
              <w:t>68</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Times New Roman"/>
                <w:sz w:val="18"/>
              </w:rPr>
              <w:t>4</w:t>
            </w:r>
            <w:r>
              <w:rPr>
                <w:rFonts w:ascii="宋体"/>
                <w:sz w:val="18"/>
              </w:rPr>
              <w:t>,</w:t>
            </w:r>
            <w:r>
              <w:rPr>
                <w:rFonts w:ascii="Times New Roman"/>
                <w:sz w:val="18"/>
              </w:rPr>
              <w:t>824</w:t>
            </w:r>
            <w:r>
              <w:rPr>
                <w:rFonts w:ascii="宋体"/>
                <w:sz w:val="18"/>
              </w:rPr>
              <w:t>,</w:t>
            </w:r>
            <w:r>
              <w:rPr>
                <w:rFonts w:ascii="Times New Roman"/>
                <w:sz w:val="18"/>
              </w:rPr>
              <w:t>246</w:t>
            </w:r>
            <w:r>
              <w:rPr>
                <w:rFonts w:ascii="宋体"/>
                <w:sz w:val="18"/>
              </w:rPr>
              <w:t>.</w:t>
            </w:r>
            <w:r>
              <w:rPr>
                <w:rFonts w:ascii="Times New Roman"/>
                <w:sz w:val="18"/>
              </w:rPr>
              <w:t>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6" w:right="0"/>
              <w:jc w:val="left"/>
              <w:rPr>
                <w:rFonts w:ascii="Times New Roman" w:hAnsi="Times New Roman" w:cs="Times New Roman" w:eastAsia="Times New Roman" w:hint="default"/>
                <w:sz w:val="18"/>
                <w:szCs w:val="18"/>
              </w:rPr>
            </w:pPr>
            <w:r>
              <w:rPr>
                <w:rFonts w:ascii="Times New Roman"/>
                <w:sz w:val="18"/>
              </w:rPr>
              <w:t>3</w:t>
            </w:r>
            <w:r>
              <w:rPr>
                <w:rFonts w:ascii="宋体"/>
                <w:sz w:val="18"/>
              </w:rPr>
              <w:t>,</w:t>
            </w:r>
            <w:r>
              <w:rPr>
                <w:rFonts w:ascii="Times New Roman"/>
                <w:sz w:val="18"/>
              </w:rPr>
              <w:t>020</w:t>
            </w:r>
            <w:r>
              <w:rPr>
                <w:rFonts w:ascii="宋体"/>
                <w:sz w:val="18"/>
              </w:rPr>
              <w:t>,</w:t>
            </w:r>
            <w:r>
              <w:rPr>
                <w:rFonts w:ascii="Times New Roman"/>
                <w:sz w:val="18"/>
              </w:rPr>
              <w:t>835</w:t>
            </w:r>
            <w:r>
              <w:rPr>
                <w:rFonts w:ascii="宋体"/>
                <w:sz w:val="18"/>
              </w:rPr>
              <w:t>.</w:t>
            </w:r>
            <w:r>
              <w:rPr>
                <w:rFonts w:ascii="Times New Roman"/>
                <w:sz w:val="18"/>
              </w:rPr>
              <w:t>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Times New Roman"/>
                <w:sz w:val="18"/>
              </w:rPr>
              <w:t>7</w:t>
            </w:r>
            <w:r>
              <w:rPr>
                <w:rFonts w:ascii="宋体"/>
                <w:sz w:val="18"/>
              </w:rPr>
              <w:t>,</w:t>
            </w:r>
            <w:r>
              <w:rPr>
                <w:rFonts w:ascii="Times New Roman"/>
                <w:sz w:val="18"/>
              </w:rPr>
              <w:t>845</w:t>
            </w:r>
            <w:r>
              <w:rPr>
                <w:rFonts w:ascii="宋体"/>
                <w:sz w:val="18"/>
              </w:rPr>
              <w:t>,</w:t>
            </w:r>
            <w:r>
              <w:rPr>
                <w:rFonts w:ascii="Times New Roman"/>
                <w:sz w:val="18"/>
              </w:rPr>
              <w:t>081</w:t>
            </w:r>
            <w:r>
              <w:rPr>
                <w:rFonts w:ascii="宋体"/>
                <w:sz w:val="18"/>
              </w:rPr>
              <w:t>.</w:t>
            </w:r>
            <w:r>
              <w:rPr>
                <w:rFonts w:ascii="Times New Roman"/>
                <w:sz w:val="18"/>
              </w:rPr>
              <w:t>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871</w:t>
            </w:r>
            <w:r>
              <w:rPr>
                <w:rFonts w:ascii="宋体"/>
                <w:spacing w:val="-1"/>
                <w:sz w:val="18"/>
              </w:rPr>
              <w:t>,</w:t>
            </w:r>
            <w:r>
              <w:rPr>
                <w:rFonts w:ascii="Times New Roman"/>
                <w:spacing w:val="-1"/>
                <w:sz w:val="18"/>
              </w:rPr>
              <w:t>830</w:t>
            </w:r>
            <w:r>
              <w:rPr>
                <w:rFonts w:ascii="宋体"/>
                <w:spacing w:val="-1"/>
                <w:sz w:val="18"/>
              </w:rPr>
              <w:t>.</w:t>
            </w:r>
            <w:r>
              <w:rPr>
                <w:rFonts w:ascii="Times New Roman"/>
                <w:spacing w:val="-1"/>
                <w:sz w:val="18"/>
              </w:rPr>
              <w:t>78</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Times New Roman"/>
                <w:sz w:val="18"/>
              </w:rPr>
              <w:t>3</w:t>
            </w:r>
            <w:r>
              <w:rPr>
                <w:rFonts w:ascii="宋体"/>
                <w:sz w:val="18"/>
              </w:rPr>
              <w:t>,</w:t>
            </w:r>
            <w:r>
              <w:rPr>
                <w:rFonts w:ascii="Times New Roman"/>
                <w:sz w:val="18"/>
              </w:rPr>
              <w:t>615</w:t>
            </w:r>
            <w:r>
              <w:rPr>
                <w:rFonts w:ascii="宋体"/>
                <w:sz w:val="18"/>
              </w:rPr>
              <w:t>,</w:t>
            </w:r>
            <w:r>
              <w:rPr>
                <w:rFonts w:ascii="Times New Roman"/>
                <w:sz w:val="18"/>
              </w:rPr>
              <w:t>315</w:t>
            </w:r>
            <w:r>
              <w:rPr>
                <w:rFonts w:ascii="宋体"/>
                <w:sz w:val="18"/>
              </w:rPr>
              <w:t>.</w:t>
            </w:r>
            <w:r>
              <w:rPr>
                <w:rFonts w:ascii="Times New Roman"/>
                <w:sz w:val="18"/>
              </w:rPr>
              <w:t>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Times New Roman" w:hAnsi="Times New Roman" w:cs="Times New Roman" w:eastAsia="Times New Roman" w:hint="default"/>
                <w:sz w:val="18"/>
                <w:szCs w:val="18"/>
              </w:rPr>
            </w:pPr>
            <w:r>
              <w:rPr>
                <w:rFonts w:ascii="Times New Roman"/>
                <w:sz w:val="18"/>
              </w:rPr>
              <w:t>4</w:t>
            </w:r>
            <w:r>
              <w:rPr>
                <w:rFonts w:ascii="宋体"/>
                <w:sz w:val="18"/>
              </w:rPr>
              <w:t>,</w:t>
            </w:r>
            <w:r>
              <w:rPr>
                <w:rFonts w:ascii="Times New Roman"/>
                <w:sz w:val="18"/>
              </w:rPr>
              <w:t>487</w:t>
            </w:r>
            <w:r>
              <w:rPr>
                <w:rFonts w:ascii="宋体"/>
                <w:sz w:val="18"/>
              </w:rPr>
              <w:t>,</w:t>
            </w:r>
            <w:r>
              <w:rPr>
                <w:rFonts w:ascii="Times New Roman"/>
                <w:sz w:val="18"/>
              </w:rPr>
              <w:t>146</w:t>
            </w:r>
            <w:r>
              <w:rPr>
                <w:rFonts w:ascii="宋体"/>
                <w:sz w:val="18"/>
              </w:rPr>
              <w:t>.</w:t>
            </w:r>
            <w:r>
              <w:rPr>
                <w:rFonts w:ascii="Times New Roman"/>
                <w:sz w:val="18"/>
              </w:rPr>
              <w:t>16</w:t>
            </w:r>
          </w:p>
        </w:tc>
      </w:tr>
      <w:tr>
        <w:trPr>
          <w:trHeight w:val="63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pacing w:val="-1"/>
                <w:sz w:val="18"/>
              </w:rPr>
              <w:t>514</w:t>
            </w:r>
            <w:r>
              <w:rPr>
                <w:rFonts w:ascii="宋体"/>
                <w:spacing w:val="-1"/>
                <w:sz w:val="18"/>
              </w:rPr>
              <w:t>,</w:t>
            </w:r>
            <w:r>
              <w:rPr>
                <w:rFonts w:ascii="Times New Roman"/>
                <w:spacing w:val="-1"/>
                <w:sz w:val="18"/>
              </w:rPr>
              <w:t>005</w:t>
            </w:r>
            <w:r>
              <w:rPr>
                <w:rFonts w:ascii="宋体"/>
                <w:spacing w:val="-1"/>
                <w:sz w:val="18"/>
              </w:rPr>
              <w:t>,</w:t>
            </w:r>
            <w:r>
              <w:rPr>
                <w:rFonts w:ascii="Times New Roman"/>
                <w:spacing w:val="-1"/>
                <w:sz w:val="18"/>
              </w:rPr>
              <w:t>457</w:t>
            </w:r>
            <w:r>
              <w:rPr>
                <w:rFonts w:ascii="宋体"/>
                <w:spacing w:val="-1"/>
                <w:sz w:val="18"/>
              </w:rPr>
              <w:t>.</w:t>
            </w:r>
            <w:r>
              <w:rPr>
                <w:rFonts w:ascii="Times New Roman"/>
                <w:spacing w:val="-1"/>
                <w:sz w:val="18"/>
              </w:rPr>
              <w:t>7</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207</w:t>
            </w:r>
            <w:r>
              <w:rPr>
                <w:rFonts w:ascii="宋体"/>
                <w:spacing w:val="-1"/>
                <w:sz w:val="18"/>
              </w:rPr>
              <w:t>,</w:t>
            </w:r>
            <w:r>
              <w:rPr>
                <w:rFonts w:ascii="Times New Roman"/>
                <w:spacing w:val="-1"/>
                <w:sz w:val="18"/>
              </w:rPr>
              <w:t>173</w:t>
            </w:r>
            <w:r>
              <w:rPr>
                <w:rFonts w:ascii="宋体"/>
                <w:spacing w:val="-1"/>
                <w:sz w:val="18"/>
              </w:rPr>
              <w:t>,</w:t>
            </w:r>
            <w:r>
              <w:rPr>
                <w:rFonts w:ascii="Times New Roman"/>
                <w:spacing w:val="-1"/>
                <w:sz w:val="18"/>
              </w:rPr>
              <w:t>995</w:t>
            </w:r>
            <w:r>
              <w:rPr>
                <w:rFonts w:ascii="宋体"/>
                <w:spacing w:val="-1"/>
                <w:sz w:val="18"/>
              </w:rPr>
              <w:t>.</w:t>
            </w:r>
            <w:r>
              <w:rPr>
                <w:rFonts w:ascii="Times New Roman"/>
                <w:spacing w:val="-1"/>
                <w:sz w:val="18"/>
              </w:rPr>
              <w:t>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721</w:t>
            </w:r>
            <w:r>
              <w:rPr>
                <w:rFonts w:ascii="宋体"/>
                <w:spacing w:val="-1"/>
                <w:sz w:val="18"/>
              </w:rPr>
              <w:t>,</w:t>
            </w:r>
            <w:r>
              <w:rPr>
                <w:rFonts w:ascii="Times New Roman"/>
                <w:spacing w:val="-1"/>
                <w:sz w:val="18"/>
              </w:rPr>
              <w:t>179</w:t>
            </w:r>
            <w:r>
              <w:rPr>
                <w:rFonts w:ascii="宋体"/>
                <w:spacing w:val="-1"/>
                <w:sz w:val="18"/>
              </w:rPr>
              <w:t>,</w:t>
            </w:r>
            <w:r>
              <w:rPr>
                <w:rFonts w:ascii="Times New Roman"/>
                <w:spacing w:val="-1"/>
                <w:sz w:val="18"/>
              </w:rPr>
              <w:t>453</w:t>
            </w:r>
            <w:r>
              <w:rPr>
                <w:rFonts w:ascii="宋体"/>
                <w:spacing w:val="-1"/>
                <w:sz w:val="18"/>
              </w:rPr>
              <w:t>.</w:t>
            </w:r>
            <w:r>
              <w:rPr>
                <w:rFonts w:ascii="Times New Roman"/>
                <w:spacing w:val="-1"/>
                <w:sz w:val="18"/>
              </w:rPr>
              <w:t>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257</w:t>
            </w:r>
            <w:r>
              <w:rPr>
                <w:rFonts w:ascii="宋体"/>
                <w:spacing w:val="-1"/>
                <w:sz w:val="18"/>
              </w:rPr>
              <w:t>,</w:t>
            </w:r>
            <w:r>
              <w:rPr>
                <w:rFonts w:ascii="Times New Roman"/>
                <w:spacing w:val="-1"/>
                <w:sz w:val="18"/>
              </w:rPr>
              <w:t>375</w:t>
            </w:r>
            <w:r>
              <w:rPr>
                <w:rFonts w:ascii="宋体"/>
                <w:spacing w:val="-1"/>
                <w:sz w:val="18"/>
              </w:rPr>
              <w:t>,</w:t>
            </w:r>
            <w:r>
              <w:rPr>
                <w:rFonts w:ascii="Times New Roman"/>
                <w:spacing w:val="-1"/>
                <w:sz w:val="18"/>
              </w:rPr>
              <w:t>513</w:t>
            </w:r>
            <w:r>
              <w:rPr>
                <w:rFonts w:ascii="宋体"/>
                <w:spacing w:val="-1"/>
                <w:sz w:val="18"/>
              </w:rPr>
              <w:t>.</w:t>
            </w:r>
            <w:r>
              <w:rPr>
                <w:rFonts w:ascii="Times New Roman"/>
                <w:spacing w:val="-1"/>
                <w:sz w:val="18"/>
              </w:rPr>
              <w:t>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143</w:t>
            </w:r>
            <w:r>
              <w:rPr>
                <w:rFonts w:ascii="宋体"/>
                <w:spacing w:val="-1"/>
                <w:sz w:val="18"/>
              </w:rPr>
              <w:t>,</w:t>
            </w:r>
            <w:r>
              <w:rPr>
                <w:rFonts w:ascii="Times New Roman"/>
                <w:spacing w:val="-1"/>
                <w:sz w:val="18"/>
              </w:rPr>
              <w:t>539</w:t>
            </w:r>
            <w:r>
              <w:rPr>
                <w:rFonts w:ascii="宋体"/>
                <w:spacing w:val="-1"/>
                <w:sz w:val="18"/>
              </w:rPr>
              <w:t>,</w:t>
            </w:r>
            <w:r>
              <w:rPr>
                <w:rFonts w:ascii="Times New Roman"/>
                <w:spacing w:val="-1"/>
                <w:sz w:val="18"/>
              </w:rPr>
              <w:t>411</w:t>
            </w:r>
            <w:r>
              <w:rPr>
                <w:rFonts w:ascii="宋体"/>
                <w:spacing w:val="-1"/>
                <w:sz w:val="18"/>
              </w:rPr>
              <w:t>.</w:t>
            </w:r>
            <w:r>
              <w:rPr>
                <w:rFonts w:ascii="Times New Roman"/>
                <w:spacing w:val="-1"/>
                <w:sz w:val="18"/>
              </w:rPr>
              <w:t>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400</w:t>
            </w:r>
            <w:r>
              <w:rPr>
                <w:rFonts w:ascii="宋体"/>
                <w:spacing w:val="-1"/>
                <w:sz w:val="18"/>
              </w:rPr>
              <w:t>,</w:t>
            </w:r>
            <w:r>
              <w:rPr>
                <w:rFonts w:ascii="Times New Roman"/>
                <w:spacing w:val="-1"/>
                <w:sz w:val="18"/>
              </w:rPr>
              <w:t>914</w:t>
            </w:r>
            <w:r>
              <w:rPr>
                <w:rFonts w:ascii="宋体"/>
                <w:spacing w:val="-1"/>
                <w:sz w:val="18"/>
              </w:rPr>
              <w:t>,</w:t>
            </w:r>
            <w:r>
              <w:rPr>
                <w:rFonts w:ascii="Times New Roman"/>
                <w:spacing w:val="-1"/>
                <w:sz w:val="18"/>
              </w:rPr>
              <w:t>925</w:t>
            </w:r>
            <w:r>
              <w:rPr>
                <w:rFonts w:ascii="宋体"/>
                <w:spacing w:val="-1"/>
                <w:sz w:val="18"/>
              </w:rPr>
              <w:t>.</w:t>
            </w:r>
            <w:r>
              <w:rPr>
                <w:rFonts w:ascii="Times New Roman"/>
                <w:spacing w:val="-1"/>
                <w:sz w:val="18"/>
              </w:rPr>
              <w:t>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r>
    </w:tbl>
    <w:p>
      <w:pPr>
        <w:pStyle w:val="Heading3"/>
        <w:spacing w:line="328" w:lineRule="auto"/>
        <w:ind w:left="673" w:right="0" w:hanging="315"/>
        <w:jc w:val="left"/>
      </w:pPr>
      <w:r>
        <w:rPr>
          <w:rFonts w:ascii="宋体" w:hAnsi="宋体" w:cs="宋体" w:eastAsia="宋体" w:hint="default"/>
          <w:b/>
          <w:bCs/>
        </w:rPr>
        <w:t>（</w:t>
      </w:r>
      <w:r>
        <w:rPr>
          <w:rFonts w:ascii="Times New Roman" w:hAnsi="Times New Roman" w:cs="Times New Roman" w:eastAsia="Times New Roman" w:hint="default"/>
          <w:b/>
          <w:bCs/>
          <w:sz w:val="18"/>
          <w:szCs w:val="18"/>
        </w:rPr>
        <w:t>2</w:t>
      </w:r>
      <w:r>
        <w:rPr>
          <w:rFonts w:ascii="宋体" w:hAnsi="宋体" w:cs="宋体" w:eastAsia="宋体" w:hint="default"/>
          <w:b/>
          <w:bCs/>
        </w:rPr>
        <w:t>）其他价格风险</w:t>
      </w:r>
      <w:r>
        <w:rPr>
          <w:rFonts w:ascii="宋体" w:hAnsi="宋体" w:cs="宋体" w:eastAsia="宋体" w:hint="default"/>
          <w:b/>
          <w:bCs/>
          <w:w w:val="100"/>
        </w:rPr>
        <w:t> </w:t>
      </w:r>
      <w:r>
        <w:rPr>
          <w:spacing w:val="-2"/>
        </w:rPr>
        <w:t>本公司持有其他上市公司的权益投资，管理层认为这些投资活动面临的市场价格风险是可以接受的。</w:t>
      </w:r>
    </w:p>
    <w:p>
      <w:pPr>
        <w:pStyle w:val="Heading3"/>
        <w:spacing w:line="240" w:lineRule="auto" w:before="115"/>
        <w:ind w:left="673" w:right="253"/>
        <w:jc w:val="left"/>
      </w:pPr>
      <w:r>
        <w:rPr/>
        <w:t>本公司持有的上市公司权益投资列示如下：</w:t>
      </w:r>
    </w:p>
    <w:p>
      <w:pPr>
        <w:spacing w:line="240" w:lineRule="auto" w:before="11"/>
        <w:rPr>
          <w:rFonts w:ascii="宋体" w:hAnsi="宋体" w:cs="宋体" w:eastAsia="宋体" w:hint="default"/>
          <w:sz w:val="9"/>
          <w:szCs w:val="9"/>
        </w:rPr>
      </w:pPr>
    </w:p>
    <w:tbl>
      <w:tblPr>
        <w:tblW w:w="0" w:type="auto"/>
        <w:jc w:val="left"/>
        <w:tblInd w:w="245" w:type="dxa"/>
        <w:tblLayout w:type="fixed"/>
        <w:tblCellMar>
          <w:top w:w="0" w:type="dxa"/>
          <w:left w:w="0" w:type="dxa"/>
          <w:bottom w:w="0" w:type="dxa"/>
          <w:right w:w="0" w:type="dxa"/>
        </w:tblCellMar>
        <w:tblLook w:val="01E0"/>
      </w:tblPr>
      <w:tblGrid>
        <w:gridCol w:w="4259"/>
        <w:gridCol w:w="2830"/>
        <w:gridCol w:w="2552"/>
      </w:tblGrid>
      <w:tr>
        <w:trPr>
          <w:trHeight w:val="346" w:hRule="exact"/>
        </w:trPr>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55" w:right="0"/>
              <w:jc w:val="left"/>
              <w:rPr>
                <w:rFonts w:ascii="Times New Roman" w:hAnsi="Times New Roman" w:cs="Times New Roman" w:eastAsia="Times New Roman" w:hint="default"/>
                <w:sz w:val="18"/>
                <w:szCs w:val="18"/>
              </w:rPr>
            </w:pPr>
            <w:r>
              <w:rPr>
                <w:rFonts w:ascii="Times New Roman"/>
                <w:sz w:val="18"/>
              </w:rPr>
              <w:t>1,080,145,915.44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77" w:right="0"/>
              <w:jc w:val="left"/>
              <w:rPr>
                <w:rFonts w:ascii="Times New Roman" w:hAnsi="Times New Roman" w:cs="Times New Roman" w:eastAsia="Times New Roman" w:hint="default"/>
                <w:sz w:val="18"/>
                <w:szCs w:val="18"/>
              </w:rPr>
            </w:pPr>
            <w:r>
              <w:rPr>
                <w:rFonts w:ascii="Times New Roman"/>
                <w:sz w:val="18"/>
              </w:rPr>
              <w:t>2,002,248,536.67</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100" w:bottom="1160" w:left="8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259"/>
        <w:gridCol w:w="2830"/>
        <w:gridCol w:w="2555"/>
      </w:tblGrid>
      <w:tr>
        <w:trPr>
          <w:trHeight w:val="348" w:hRule="exact"/>
        </w:trPr>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55" w:right="0"/>
              <w:jc w:val="left"/>
              <w:rPr>
                <w:rFonts w:ascii="Times New Roman" w:hAnsi="Times New Roman" w:cs="Times New Roman" w:eastAsia="Times New Roman" w:hint="default"/>
                <w:sz w:val="18"/>
                <w:szCs w:val="18"/>
              </w:rPr>
            </w:pPr>
            <w:r>
              <w:rPr>
                <w:rFonts w:ascii="Times New Roman"/>
                <w:sz w:val="18"/>
              </w:rPr>
              <w:t>1,080,145,915.44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77" w:right="0"/>
              <w:jc w:val="left"/>
              <w:rPr>
                <w:rFonts w:ascii="Times New Roman" w:hAnsi="Times New Roman" w:cs="Times New Roman" w:eastAsia="Times New Roman" w:hint="default"/>
                <w:sz w:val="18"/>
                <w:szCs w:val="18"/>
              </w:rPr>
            </w:pPr>
            <w:r>
              <w:rPr>
                <w:rFonts w:ascii="Times New Roman"/>
                <w:sz w:val="18"/>
              </w:rPr>
              <w:t>2,002,248,536.67</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3</w:t>
      </w:r>
      <w:r>
        <w:rPr/>
        <w:t>、流动性风险</w:t>
      </w:r>
      <w:r>
        <w:rPr>
          <w:b w:val="0"/>
          <w:bCs w:val="0"/>
        </w:rPr>
      </w:r>
    </w:p>
    <w:p>
      <w:pPr>
        <w:spacing w:line="240" w:lineRule="auto" w:before="0"/>
        <w:rPr>
          <w:rFonts w:ascii="宋体" w:hAnsi="宋体" w:cs="宋体" w:eastAsia="宋体" w:hint="default"/>
          <w:b/>
          <w:bCs/>
          <w:sz w:val="20"/>
          <w:szCs w:val="20"/>
        </w:rPr>
      </w:pPr>
    </w:p>
    <w:p>
      <w:pPr>
        <w:pStyle w:val="Heading3"/>
        <w:spacing w:line="400" w:lineRule="auto" w:before="147"/>
        <w:ind w:right="146" w:firstLine="420"/>
        <w:jc w:val="both"/>
      </w:pPr>
      <w:r>
        <w:rPr>
          <w:spacing w:val="-2"/>
        </w:rPr>
        <w:t>流动风险，是指企业在履行以交付现金或其他金融资产的方式结算的义务时发生资金短缺的风险。本</w:t>
      </w:r>
      <w:r>
        <w:rPr>
          <w:w w:val="100"/>
        </w:rPr>
        <w:t> </w:t>
      </w:r>
      <w:r>
        <w:rPr>
          <w:spacing w:val="-2"/>
        </w:rPr>
        <w:t>公司的政策是确保拥有充足的现金以偿还到期债务。流动性风险由本公司的财务部门集中控制。财务部门</w:t>
      </w:r>
      <w:r>
        <w:rPr>
          <w:spacing w:val="-43"/>
        </w:rPr>
        <w:t> </w:t>
      </w:r>
      <w:r>
        <w:rPr>
          <w:spacing w:val="-43"/>
        </w:rPr>
      </w:r>
      <w:r>
        <w:rPr>
          <w:spacing w:val="-2"/>
        </w:rPr>
        <w:t>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w:t>
      </w:r>
      <w:r>
        <w:rPr>
          <w:spacing w:val="-40"/>
        </w:rPr>
        <w:t> </w:t>
      </w:r>
      <w:r>
        <w:rPr>
          <w:spacing w:val="-40"/>
        </w:rPr>
      </w:r>
      <w:r>
        <w:rPr/>
        <w:t>预测的情况下拥有充足的资金偿还债务。</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t>十一、公允价值的披露</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、以公允价值计量的资产和负债的期末公允价值</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1430"/>
        <w:gridCol w:w="1135"/>
        <w:gridCol w:w="992"/>
        <w:gridCol w:w="1349"/>
      </w:tblGrid>
      <w:tr>
        <w:trPr>
          <w:trHeight w:val="380" w:hRule="exact"/>
        </w:trPr>
        <w:tc>
          <w:tcPr>
            <w:tcW w:w="46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4905" w:type="dxa"/>
            <w:gridSpan w:val="4"/>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84" w:hRule="exact"/>
        </w:trPr>
        <w:tc>
          <w:tcPr>
            <w:tcW w:w="465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1"/>
              <w:ind w:left="445" w:right="72" w:hanging="360"/>
              <w:jc w:val="left"/>
              <w:rPr>
                <w:rFonts w:ascii="宋体" w:hAnsi="宋体" w:cs="宋体" w:eastAsia="宋体" w:hint="default"/>
                <w:sz w:val="18"/>
                <w:szCs w:val="18"/>
              </w:rPr>
            </w:pPr>
            <w:r>
              <w:rPr>
                <w:rFonts w:ascii="宋体" w:hAnsi="宋体" w:cs="宋体" w:eastAsia="宋体" w:hint="default"/>
                <w:sz w:val="18"/>
                <w:szCs w:val="18"/>
              </w:rPr>
              <w:t>第一层次公允价 值计量</w:t>
            </w:r>
          </w:p>
        </w:tc>
        <w:tc>
          <w:tcPr>
            <w:tcW w:w="1135"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1"/>
              <w:ind w:left="112" w:right="110"/>
              <w:jc w:val="left"/>
              <w:rPr>
                <w:rFonts w:ascii="宋体" w:hAnsi="宋体" w:cs="宋体" w:eastAsia="宋体" w:hint="default"/>
                <w:sz w:val="18"/>
                <w:szCs w:val="18"/>
              </w:rPr>
            </w:pPr>
            <w:r>
              <w:rPr>
                <w:rFonts w:ascii="宋体" w:hAnsi="宋体" w:cs="宋体" w:eastAsia="宋体" w:hint="default"/>
                <w:sz w:val="18"/>
                <w:szCs w:val="18"/>
              </w:rPr>
              <w:t>第二层次公 允价值计量</w:t>
            </w:r>
          </w:p>
        </w:tc>
        <w:tc>
          <w:tcPr>
            <w:tcW w:w="992"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1"/>
              <w:ind w:left="40" w:right="39"/>
              <w:jc w:val="left"/>
              <w:rPr>
                <w:rFonts w:ascii="宋体" w:hAnsi="宋体" w:cs="宋体" w:eastAsia="宋体" w:hint="default"/>
                <w:sz w:val="18"/>
                <w:szCs w:val="18"/>
              </w:rPr>
            </w:pPr>
            <w:r>
              <w:rPr>
                <w:rFonts w:ascii="宋体" w:hAnsi="宋体" w:cs="宋体" w:eastAsia="宋体" w:hint="default"/>
                <w:sz w:val="18"/>
                <w:szCs w:val="18"/>
              </w:rPr>
              <w:t>第三层次公 允价值计量</w:t>
            </w:r>
          </w:p>
        </w:tc>
        <w:tc>
          <w:tcPr>
            <w:tcW w:w="1349" w:type="dxa"/>
            <w:tcBorders>
              <w:top w:val="single" w:sz="14" w:space="0" w:color="FFFFFF"/>
              <w:left w:val="single" w:sz="4" w:space="0" w:color="000000"/>
              <w:bottom w:val="nil" w:sz="6" w:space="0" w:color="auto"/>
              <w:right w:val="single" w:sz="4" w:space="0" w:color="000000"/>
            </w:tcBorders>
            <w:shd w:val="clear" w:color="auto" w:fill="D2D2D2"/>
          </w:tcPr>
          <w:p>
            <w:pPr/>
          </w:p>
        </w:tc>
      </w:tr>
      <w:tr>
        <w:trPr>
          <w:trHeight w:val="190" w:hRule="exact"/>
        </w:trPr>
        <w:tc>
          <w:tcPr>
            <w:tcW w:w="4656"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4656"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4656"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（一）以公允价值计量且变动计入当期损益的金融资产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指定以公允价值计量且其变动计入当期损益的金融资产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1,080,145,915.44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1,080,145,915.44</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1,080,145,915.44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1,080,145,915.44</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持有并准备增值后转让的土地使用权</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1430"/>
        <w:gridCol w:w="1135"/>
        <w:gridCol w:w="992"/>
        <w:gridCol w:w="1349"/>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8" w:right="0"/>
              <w:jc w:val="center"/>
              <w:rPr>
                <w:rFonts w:ascii="Times New Roman" w:hAnsi="Times New Roman" w:cs="Times New Roman" w:eastAsia="Times New Roman" w:hint="default"/>
                <w:sz w:val="18"/>
                <w:szCs w:val="18"/>
              </w:rPr>
            </w:pPr>
            <w:r>
              <w:rPr>
                <w:rFonts w:ascii="Times New Roman"/>
                <w:sz w:val="18"/>
              </w:rPr>
              <w:t>1,080,145,915.44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1,080,145,915.44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3"/>
                <w:sz w:val="18"/>
                <w:szCs w:val="18"/>
              </w:rPr>
              <w:t>（六）指定为以公允价值计量且变动计入当期损益的金融负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债</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非持续以公允价值计量的资产总额</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非持续以公允价值计量的负债总额</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50"/>
        <w:ind w:right="0" w:firstLine="317"/>
        <w:jc w:val="left"/>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日，本公司持有神州数码控股有限公司</w:t>
      </w:r>
      <w:r>
        <w:rPr>
          <w:rFonts w:ascii="Times New Roman" w:hAnsi="Times New Roman" w:cs="Times New Roman" w:eastAsia="Times New Roman" w:hint="default"/>
          <w:spacing w:val="-2"/>
        </w:rPr>
        <w:t>24,335.125</w:t>
      </w:r>
      <w:r>
        <w:rPr>
          <w:spacing w:val="-2"/>
        </w:rPr>
        <w:t>万股，其</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日的收盘价</w:t>
      </w:r>
      <w:r>
        <w:rPr>
          <w:w w:val="100"/>
        </w:rPr>
        <w:t> </w:t>
      </w:r>
      <w:r>
        <w:rPr/>
        <w:t>为</w:t>
      </w:r>
      <w:r>
        <w:rPr>
          <w:rFonts w:ascii="Times New Roman" w:hAnsi="Times New Roman" w:cs="Times New Roman" w:eastAsia="Times New Roman" w:hint="default"/>
        </w:rPr>
        <w:t>5.31</w:t>
      </w:r>
      <w:r>
        <w:rPr/>
        <w:t>港元</w:t>
      </w:r>
      <w:r>
        <w:rPr>
          <w:rFonts w:ascii="Times New Roman" w:hAnsi="Times New Roman" w:cs="Times New Roman" w:eastAsia="Times New Roman" w:hint="default"/>
        </w:rPr>
        <w:t>/</w:t>
      </w:r>
      <w:r>
        <w:rPr/>
        <w:t>股，按照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日的汇率折算公允价值为</w:t>
      </w:r>
      <w:r>
        <w:rPr>
          <w:rFonts w:ascii="Times New Roman" w:hAnsi="Times New Roman" w:cs="Times New Roman" w:eastAsia="Times New Roman" w:hint="default"/>
        </w:rPr>
        <w:t>108,014.59</w:t>
      </w:r>
      <w:r>
        <w:rPr/>
        <w:t>万元。</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公司本期没有持续和非持续第二层次公允价值计量项目。</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公司本期没有持续和非持续第三层次公允价值计量项目。</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5</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467" w:right="0"/>
        <w:jc w:val="left"/>
      </w:pPr>
      <w:r>
        <w:rPr/>
        <w:t>公司本期没有持续的第三层次公允价值计量项目。</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364" w:right="0"/>
        <w:jc w:val="left"/>
      </w:pPr>
      <w:r>
        <w:rPr/>
        <w:t>公司持续的公允价值计量项目，本期没有本期内发生各层级之间转换的情况。</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7</w:t>
      </w:r>
      <w:r>
        <w:rPr/>
        <w:t>、本期内发生的估值技术变更及变更原因</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364" w:right="0"/>
        <w:jc w:val="left"/>
      </w:pPr>
      <w:r>
        <w:rPr/>
        <w:t>公司本期内没有发生估值技术变更。</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70" w:right="0"/>
        <w:jc w:val="left"/>
      </w:pPr>
      <w:r>
        <w:rPr/>
        <w:t>公司本期没有不以公允价值计量的金融资产和金融负债的公允价值情况。</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十二、关联方及关联交易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、本企业的母公司情况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2091"/>
        <w:gridCol w:w="1097"/>
        <w:gridCol w:w="1594"/>
        <w:gridCol w:w="1594"/>
        <w:gridCol w:w="1596"/>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广州无线电集团有 限公司</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广州市天河区黄埔大道西 平云路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1,000,000,000.00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52.52%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52.52%</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2</w:t>
      </w:r>
      <w:r>
        <w:rPr/>
        <w:t>、本企业的子公司情况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364" w:right="0"/>
        <w:jc w:val="left"/>
      </w:pPr>
      <w:r>
        <w:rPr/>
        <w:t>本企业子公司的情况详见附注九、在其他主体中的权益。</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3</w:t>
      </w:r>
      <w:r>
        <w:rPr/>
        <w:t>、本企业合营和联营企业情况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本企业重要的合营或联营企业详见附注九、在其他主体中的权益。</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4</w:t>
      </w:r>
      <w:r>
        <w:rPr/>
        <w:t>、其他关联方情况</w:t>
      </w:r>
      <w:r>
        <w:rPr>
          <w:b w:val="0"/>
          <w:bCs w:val="0"/>
        </w:rPr>
      </w:r>
    </w:p>
    <w:p>
      <w:pPr>
        <w:spacing w:line="240" w:lineRule="auto" w:before="7"/>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广州海格智能科技有限公司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夏锦军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资阳市政府国有资产监督管理委员会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8"/>
        <w:rPr>
          <w:rFonts w:ascii="宋体" w:hAnsi="宋体" w:cs="宋体" w:eastAsia="宋体" w:hint="default"/>
          <w:b/>
          <w:bCs/>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5</w:t>
      </w:r>
      <w:r>
        <w:rPr/>
        <w:t>、关联交易情况</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）购销商品、提供和接受劳务的关联交易</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0" w:footer="979" w:top="1100" w:bottom="1160" w:left="980" w:right="980"/>
        </w:sectPr>
      </w:pPr>
    </w:p>
    <w:p>
      <w:pPr>
        <w:pStyle w:val="Heading3"/>
        <w:spacing w:line="240" w:lineRule="auto" w:before="36"/>
        <w:ind w:right="0"/>
        <w:jc w:val="left"/>
      </w:pPr>
      <w:r>
        <w:rPr>
          <w:spacing w:val="-2"/>
        </w:rPr>
        <w:t>采购商品</w:t>
      </w:r>
      <w:r>
        <w:rPr>
          <w:rFonts w:ascii="Times New Roman" w:hAnsi="Times New Roman" w:cs="Times New Roman" w:eastAsia="Times New Roman" w:hint="default"/>
          <w:spacing w:val="-2"/>
        </w:rPr>
        <w:t>/</w:t>
      </w:r>
      <w:r>
        <w:rPr>
          <w:spacing w:val="-2"/>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980"/>
          <w:cols w:num="2" w:equalWidth="0">
            <w:col w:w="2525" w:space="6395"/>
            <w:col w:w="1030"/>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133"/>
        <w:gridCol w:w="1560"/>
        <w:gridCol w:w="1702"/>
        <w:gridCol w:w="1205"/>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广州海格智能科技有限公司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19,190,383.76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37,432,331.92</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119,820.95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123,285.85</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224,403.77</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334,528.30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281,471.15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pStyle w:val="Heading3"/>
        <w:spacing w:line="240" w:lineRule="auto" w:before="28"/>
        <w:ind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980"/>
          <w:cols w:num="2" w:equalWidth="0">
            <w:col w:w="2525" w:space="6395"/>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702"/>
        <w:gridCol w:w="2268"/>
        <w:gridCol w:w="2338"/>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8,396.22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5" w:right="0"/>
              <w:jc w:val="left"/>
              <w:rPr>
                <w:rFonts w:ascii="Times New Roman" w:hAnsi="Times New Roman" w:cs="Times New Roman" w:eastAsia="Times New Roman" w:hint="default"/>
                <w:sz w:val="18"/>
                <w:szCs w:val="18"/>
              </w:rPr>
            </w:pPr>
            <w:r>
              <w:rPr>
                <w:rFonts w:ascii="Times New Roman"/>
                <w:sz w:val="18"/>
              </w:rPr>
              <w:t>122,018.87</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119,487.18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157,128.21</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pPr>
      <w:r>
        <w:rPr/>
        <w:t>本公司本期没有关联管理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3</w:t>
      </w:r>
      <w:r>
        <w:rPr/>
        <w:t>）关联租赁情况</w:t>
      </w:r>
      <w:r>
        <w:rPr>
          <w:b w:val="0"/>
          <w:bCs w:val="0"/>
        </w:rPr>
      </w:r>
    </w:p>
    <w:p>
      <w:pPr>
        <w:spacing w:line="240" w:lineRule="auto" w:before="8"/>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100" w:bottom="1160" w:left="980" w:right="980"/>
        </w:sectPr>
      </w:pPr>
    </w:p>
    <w:p>
      <w:pPr>
        <w:pStyle w:val="Heading3"/>
        <w:spacing w:line="240" w:lineRule="auto" w:before="36"/>
        <w:ind w:right="-7"/>
        <w:jc w:val="left"/>
      </w:pPr>
      <w:r>
        <w:rPr>
          <w:spacing w:val="-1"/>
        </w:rPr>
        <w:t>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980"/>
          <w:cols w:num="2" w:equalWidth="0">
            <w:col w:w="2047" w:space="6873"/>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987"/>
        <w:gridCol w:w="2213"/>
        <w:gridCol w:w="2393"/>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办公大楼</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4,754,970.21</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员工宿舍楼</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1,085,590.00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1,135,134.00</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4</w:t>
      </w:r>
      <w:r>
        <w:rPr/>
        <w:t>）关联担保情况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pPr>
      <w:r>
        <w:rPr/>
        <w:t>本公司期末无关联担保情况。</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5</w:t>
      </w:r>
      <w:r>
        <w:rPr/>
        <w:t>）关联方资金拆借</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364" w:right="0"/>
        <w:jc w:val="left"/>
      </w:pPr>
      <w:r>
        <w:rPr/>
        <w:t>本公司本期没有关联方资金拆借。</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6</w:t>
      </w:r>
      <w:r>
        <w:rPr/>
        <w:t>）关联方资产转让、债务重组情况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364" w:right="0"/>
        <w:jc w:val="left"/>
      </w:pPr>
      <w:r>
        <w:rPr/>
        <w:t>本公司本期没有关联方资产转让、债务重组情况。</w:t>
      </w:r>
    </w:p>
    <w:p>
      <w:pPr>
        <w:spacing w:after="0" w:line="240" w:lineRule="auto"/>
        <w:jc w:val="left"/>
        <w:sectPr>
          <w:type w:val="continuous"/>
          <w:pgSz w:w="11910" w:h="16840"/>
          <w:pgMar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7</w:t>
      </w:r>
      <w:r>
        <w:rPr/>
        <w:t>）关键管理人员报酬</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12,182,200.00</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8</w:t>
      </w:r>
      <w:r>
        <w:rPr/>
        <w:t>）其他关联交易</w:t>
      </w:r>
      <w:r>
        <w:rPr>
          <w:b w:val="0"/>
          <w:bCs w:val="0"/>
        </w:rPr>
      </w:r>
    </w:p>
    <w:p>
      <w:pPr>
        <w:spacing w:line="240" w:lineRule="auto" w:before="1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0" w:footer="979" w:top="1100" w:bottom="1160" w:left="980" w:right="980"/>
        </w:sectPr>
      </w:pPr>
    </w:p>
    <w:p>
      <w:pPr>
        <w:pStyle w:val="Heading3"/>
        <w:spacing w:line="240" w:lineRule="auto" w:before="36"/>
        <w:ind w:left="578" w:right="0"/>
        <w:jc w:val="left"/>
      </w:pPr>
      <w:r>
        <w:rPr>
          <w:spacing w:val="-2"/>
        </w:rPr>
        <w:t>关联物业管理费情况：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pStyle w:val="BodyText"/>
        <w:spacing w:line="240" w:lineRule="auto"/>
        <w:ind w:left="578" w:right="0"/>
        <w:jc w:val="left"/>
      </w:pPr>
      <w:r>
        <w:rPr/>
        <w:t>单位：元</w:t>
      </w:r>
    </w:p>
    <w:p>
      <w:pPr>
        <w:spacing w:after="0" w:line="240" w:lineRule="auto"/>
        <w:jc w:val="left"/>
        <w:sectPr>
          <w:type w:val="continuous"/>
          <w:pgSz w:w="11910" w:h="16840"/>
          <w:pgMar w:top="1100" w:bottom="1160" w:left="980" w:right="980"/>
          <w:cols w:num="2" w:equalWidth="0">
            <w:col w:w="2681" w:space="5814"/>
            <w:col w:w="1455"/>
          </w:cols>
        </w:sectPr>
      </w:pP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829"/>
        <w:gridCol w:w="2192"/>
        <w:gridCol w:w="1834"/>
        <w:gridCol w:w="1742"/>
      </w:tblGrid>
      <w:tr>
        <w:trPr>
          <w:trHeight w:val="34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租赁方</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71" w:right="0"/>
              <w:jc w:val="left"/>
              <w:rPr>
                <w:rFonts w:ascii="Times New Roman" w:hAnsi="Times New Roman" w:cs="Times New Roman" w:eastAsia="Times New Roman" w:hint="default"/>
                <w:sz w:val="18"/>
                <w:szCs w:val="18"/>
              </w:rPr>
            </w:pPr>
            <w:r>
              <w:rPr>
                <w:rFonts w:ascii="Times New Roman"/>
                <w:sz w:val="18"/>
              </w:rPr>
              <w:t>7,865,717.19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80" w:right="0"/>
              <w:jc w:val="left"/>
              <w:rPr>
                <w:rFonts w:ascii="Times New Roman" w:hAnsi="Times New Roman" w:cs="Times New Roman" w:eastAsia="Times New Roman" w:hint="default"/>
                <w:sz w:val="18"/>
                <w:szCs w:val="18"/>
              </w:rPr>
            </w:pPr>
            <w:r>
              <w:rPr>
                <w:rFonts w:ascii="Times New Roman"/>
                <w:sz w:val="18"/>
              </w:rPr>
              <w:t>7,741,538.83</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6</w:t>
      </w:r>
      <w:r>
        <w:rPr/>
        <w:t>、关联方应收应付款项</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）应收项目</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3118"/>
        <w:gridCol w:w="1277"/>
        <w:gridCol w:w="991"/>
        <w:gridCol w:w="1561"/>
        <w:gridCol w:w="1486"/>
      </w:tblGrid>
      <w:tr>
        <w:trPr>
          <w:trHeight w:val="40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3118"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105,600.00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1,822.50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1,822.50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546.75</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171,600.00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8,580.00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171,600.00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858.00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夏锦军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资阳市政府国有资产监督管理委员会</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8,500.00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）应付项目</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3224"/>
        <w:gridCol w:w="2393"/>
        <w:gridCol w:w="2393"/>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35,438.80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2,436,542.89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11,836,628.89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193,924.50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31,800.09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5,065,166.00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4,115,166.00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7</w:t>
      </w:r>
      <w:r>
        <w:rPr/>
        <w:t>、关联方承诺</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本公司没有于资产负债表日，已签约而尚不必在资产负债表上列示的与关联方有关的承诺事项。</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十三、股份支付</w:t>
      </w:r>
      <w:r>
        <w:rPr>
          <w:b w:val="0"/>
          <w:bCs w:val="0"/>
        </w:rPr>
      </w:r>
    </w:p>
    <w:p>
      <w:pPr>
        <w:spacing w:line="240" w:lineRule="auto" w:before="3"/>
        <w:rPr>
          <w:rFonts w:ascii="宋体" w:hAnsi="宋体" w:cs="宋体" w:eastAsia="宋体" w:hint="default"/>
          <w:b/>
          <w:bCs/>
          <w:sz w:val="25"/>
          <w:szCs w:val="25"/>
        </w:rPr>
      </w:pPr>
    </w:p>
    <w:p>
      <w:pPr>
        <w:spacing w:line="523" w:lineRule="auto" w:before="0"/>
        <w:ind w:left="152" w:right="6714" w:firstLine="0"/>
        <w:jc w:val="left"/>
        <w:rPr>
          <w:rFonts w:ascii="宋体" w:hAnsi="宋体" w:cs="宋体" w:eastAsia="宋体" w:hint="default"/>
          <w:sz w:val="24"/>
          <w:szCs w:val="24"/>
        </w:rPr>
      </w:pPr>
      <w:r>
        <w:rPr>
          <w:rFonts w:ascii="Times New Roman" w:hAnsi="Times New Roman" w:cs="Times New Roman" w:eastAsia="Times New Roman" w:hint="default"/>
          <w:b/>
          <w:bCs/>
          <w:sz w:val="18"/>
          <w:szCs w:val="18"/>
        </w:rPr>
        <w:t>1</w:t>
      </w:r>
      <w:r>
        <w:rPr>
          <w:rFonts w:ascii="宋体" w:hAnsi="宋体" w:cs="宋体" w:eastAsia="宋体" w:hint="default"/>
          <w:b/>
          <w:bCs/>
          <w:sz w:val="20"/>
          <w:szCs w:val="20"/>
        </w:rPr>
        <w:t>、股份支付总体情况</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本公司本期没有股份支付。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4"/>
          <w:szCs w:val="24"/>
        </w:rPr>
        <w:t>十四、承诺及或有事项</w:t>
      </w:r>
      <w:r>
        <w:rPr>
          <w:rFonts w:ascii="宋体" w:hAnsi="宋体" w:cs="宋体" w:eastAsia="宋体" w:hint="default"/>
          <w:sz w:val="24"/>
          <w:szCs w:val="24"/>
        </w:rPr>
      </w:r>
    </w:p>
    <w:p>
      <w:pPr>
        <w:pStyle w:val="Heading4"/>
        <w:spacing w:line="240" w:lineRule="auto" w:before="47"/>
        <w:ind w:right="0"/>
        <w:jc w:val="left"/>
        <w:rPr>
          <w:b w:val="0"/>
          <w:bCs w:val="0"/>
        </w:rPr>
      </w:pPr>
      <w:r>
        <w:rPr>
          <w:rFonts w:ascii="Times New Roman" w:hAnsi="Times New Roman" w:cs="Times New Roman" w:eastAsia="Times New Roman" w:hint="default"/>
          <w:sz w:val="18"/>
          <w:szCs w:val="18"/>
        </w:rPr>
        <w:t>1</w:t>
      </w:r>
      <w:r>
        <w:rPr/>
        <w:t>、重要承诺事项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467" w:right="0"/>
        <w:jc w:val="left"/>
      </w:pPr>
      <w:r>
        <w:rPr/>
        <w:t>本公司没有资产负债表日存在的重要承诺。</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2</w:t>
      </w:r>
      <w:r>
        <w:rPr/>
        <w:t>、或有事项</w:t>
      </w:r>
      <w:r>
        <w:rPr>
          <w:b w:val="0"/>
          <w:bCs w:val="0"/>
        </w:rPr>
      </w:r>
    </w:p>
    <w:p>
      <w:pPr>
        <w:spacing w:line="240" w:lineRule="auto" w:before="0"/>
        <w:rPr>
          <w:rFonts w:ascii="宋体" w:hAnsi="宋体" w:cs="宋体" w:eastAsia="宋体" w:hint="default"/>
          <w:b/>
          <w:bCs/>
          <w:sz w:val="20"/>
          <w:szCs w:val="20"/>
        </w:rPr>
      </w:pPr>
    </w:p>
    <w:p>
      <w:pPr>
        <w:pStyle w:val="Heading3"/>
        <w:spacing w:line="386" w:lineRule="auto" w:before="147"/>
        <w:ind w:right="0" w:firstLine="420"/>
        <w:jc w:val="left"/>
      </w:pPr>
      <w:r>
        <w:rPr/>
        <w:t>截至报告日止本公司未结清人民币保函为</w:t>
      </w:r>
      <w:r>
        <w:rPr>
          <w:rFonts w:ascii="Times New Roman" w:hAnsi="Times New Roman" w:cs="Times New Roman" w:eastAsia="Times New Roman" w:hint="default"/>
        </w:rPr>
        <w:t>37</w:t>
      </w:r>
      <w:r>
        <w:rPr>
          <w:rFonts w:ascii="宋体" w:hAnsi="宋体" w:cs="宋体" w:eastAsia="宋体" w:hint="default"/>
        </w:rPr>
        <w:t>,</w:t>
      </w:r>
      <w:r>
        <w:rPr>
          <w:rFonts w:ascii="Times New Roman" w:hAnsi="Times New Roman" w:cs="Times New Roman" w:eastAsia="Times New Roman" w:hint="default"/>
        </w:rPr>
        <w:t>770</w:t>
      </w:r>
      <w:r>
        <w:rPr>
          <w:rFonts w:ascii="宋体" w:hAnsi="宋体" w:cs="宋体" w:eastAsia="宋体" w:hint="default"/>
        </w:rPr>
        <w:t>,</w:t>
      </w:r>
      <w:r>
        <w:rPr>
          <w:rFonts w:ascii="Times New Roman" w:hAnsi="Times New Roman" w:cs="Times New Roman" w:eastAsia="Times New Roman" w:hint="default"/>
        </w:rPr>
        <w:t>403</w:t>
      </w:r>
      <w:r>
        <w:rPr>
          <w:rFonts w:ascii="宋体" w:hAnsi="宋体" w:cs="宋体" w:eastAsia="宋体" w:hint="default"/>
        </w:rPr>
        <w:t>.</w:t>
      </w:r>
      <w:r>
        <w:rPr>
          <w:rFonts w:ascii="Times New Roman" w:hAnsi="Times New Roman" w:cs="Times New Roman" w:eastAsia="Times New Roman" w:hint="default"/>
        </w:rPr>
        <w:t>06</w:t>
      </w:r>
      <w:r>
        <w:rPr/>
        <w:t>元，港币保函为</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410</w:t>
      </w:r>
      <w:r>
        <w:rPr>
          <w:rFonts w:ascii="宋体" w:hAnsi="宋体" w:cs="宋体" w:eastAsia="宋体" w:hint="default"/>
        </w:rPr>
        <w:t>,</w:t>
      </w:r>
      <w:r>
        <w:rPr>
          <w:rFonts w:ascii="Times New Roman" w:hAnsi="Times New Roman" w:cs="Times New Roman" w:eastAsia="Times New Roman" w:hint="default"/>
        </w:rPr>
        <w:t>211</w:t>
      </w:r>
      <w:r>
        <w:rPr>
          <w:rFonts w:ascii="宋体" w:hAnsi="宋体" w:cs="宋体" w:eastAsia="宋体" w:hint="default"/>
        </w:rPr>
        <w:t>.</w:t>
      </w:r>
      <w:r>
        <w:rPr>
          <w:rFonts w:ascii="Times New Roman" w:hAnsi="Times New Roman" w:cs="Times New Roman" w:eastAsia="Times New Roman" w:hint="default"/>
        </w:rPr>
        <w:t>30</w:t>
      </w:r>
      <w:r>
        <w:rPr/>
        <w:t>元，美元保函</w:t>
      </w:r>
      <w:r>
        <w:rPr>
          <w:w w:val="100"/>
        </w:rPr>
        <w:t> </w:t>
      </w:r>
      <w:r>
        <w:rPr/>
        <w:t>为</w:t>
      </w:r>
      <w:r>
        <w:rPr>
          <w:rFonts w:ascii="Times New Roman" w:hAnsi="Times New Roman" w:cs="Times New Roman" w:eastAsia="Times New Roman" w:hint="default"/>
        </w:rPr>
        <w:t>14</w:t>
      </w:r>
      <w:r>
        <w:rPr>
          <w:rFonts w:ascii="宋体" w:hAnsi="宋体" w:cs="宋体" w:eastAsia="宋体" w:hint="default"/>
        </w:rPr>
        <w:t>,</w:t>
      </w:r>
      <w:r>
        <w:rPr>
          <w:rFonts w:ascii="Times New Roman" w:hAnsi="Times New Roman" w:cs="Times New Roman" w:eastAsia="Times New Roman" w:hint="default"/>
        </w:rPr>
        <w:t>662</w:t>
      </w:r>
      <w:r>
        <w:rPr>
          <w:rFonts w:ascii="宋体" w:hAnsi="宋体" w:cs="宋体" w:eastAsia="宋体" w:hint="default"/>
        </w:rPr>
        <w:t>,</w:t>
      </w:r>
      <w:r>
        <w:rPr>
          <w:rFonts w:ascii="Times New Roman" w:hAnsi="Times New Roman" w:cs="Times New Roman" w:eastAsia="Times New Roman" w:hint="default"/>
        </w:rPr>
        <w:t>303</w:t>
      </w:r>
      <w:r>
        <w:rPr>
          <w:rFonts w:ascii="宋体" w:hAnsi="宋体" w:cs="宋体" w:eastAsia="宋体" w:hint="default"/>
        </w:rPr>
        <w:t>.</w:t>
      </w:r>
      <w:r>
        <w:rPr>
          <w:rFonts w:ascii="Times New Roman" w:hAnsi="Times New Roman" w:cs="Times New Roman" w:eastAsia="Times New Roman" w:hint="default"/>
        </w:rPr>
        <w:t>00</w:t>
      </w:r>
      <w:r>
        <w:rPr/>
        <w:t>元，对本公司财务没有重大影响。</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十五、资产负债表日后事项</w:t>
      </w:r>
      <w:r>
        <w:rPr>
          <w:b w:val="0"/>
          <w:bCs w:val="0"/>
        </w:rPr>
      </w:r>
    </w:p>
    <w:p>
      <w:pPr>
        <w:spacing w:line="240" w:lineRule="auto" w:before="6"/>
        <w:rPr>
          <w:rFonts w:ascii="宋体" w:hAnsi="宋体" w:cs="宋体" w:eastAsia="宋体" w:hint="default"/>
          <w:b/>
          <w:bCs/>
          <w:sz w:val="25"/>
          <w:szCs w:val="25"/>
        </w:rPr>
      </w:pPr>
    </w:p>
    <w:p>
      <w:pPr>
        <w:spacing w:line="537" w:lineRule="auto" w:before="0"/>
        <w:ind w:left="152" w:right="6622"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w:t>
      </w:r>
      <w:r>
        <w:rPr>
          <w:rFonts w:ascii="宋体" w:hAnsi="宋体" w:cs="宋体" w:eastAsia="宋体" w:hint="default"/>
          <w:b/>
          <w:bCs/>
          <w:sz w:val="20"/>
          <w:szCs w:val="20"/>
        </w:rPr>
        <w:t>、重要的非调整事项</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本公司本期没有重要非调整事项。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Times New Roman" w:hAnsi="Times New Roman" w:cs="Times New Roman" w:eastAsia="Times New Roman" w:hint="default"/>
          <w:b/>
          <w:bCs/>
          <w:sz w:val="18"/>
          <w:szCs w:val="18"/>
        </w:rPr>
        <w:t>2</w:t>
      </w:r>
      <w:r>
        <w:rPr>
          <w:rFonts w:ascii="宋体" w:hAnsi="宋体" w:cs="宋体" w:eastAsia="宋体" w:hint="default"/>
          <w:b/>
          <w:bCs/>
          <w:sz w:val="20"/>
          <w:szCs w:val="20"/>
        </w:rPr>
        <w:t>、利润分配情况</w:t>
      </w:r>
      <w:r>
        <w:rPr>
          <w:rFonts w:ascii="宋体" w:hAnsi="宋体" w:cs="宋体" w:eastAsia="宋体" w:hint="default"/>
          <w:sz w:val="20"/>
          <w:szCs w:val="20"/>
        </w:rPr>
      </w:r>
    </w:p>
    <w:p>
      <w:pPr>
        <w:pStyle w:val="BodyText"/>
        <w:spacing w:line="240" w:lineRule="auto" w:before="96"/>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485,777,145.00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485,777,145.00</w:t>
            </w:r>
          </w:p>
        </w:tc>
      </w:tr>
    </w:tbl>
    <w:p>
      <w:pPr>
        <w:spacing w:line="240" w:lineRule="auto" w:before="8"/>
        <w:rPr>
          <w:rFonts w:ascii="宋体" w:hAnsi="宋体" w:cs="宋体" w:eastAsia="宋体" w:hint="default"/>
          <w:sz w:val="19"/>
          <w:szCs w:val="19"/>
        </w:rPr>
      </w:pPr>
    </w:p>
    <w:p>
      <w:pPr>
        <w:spacing w:line="523" w:lineRule="auto" w:before="37"/>
        <w:ind w:left="152" w:right="5634" w:firstLine="0"/>
        <w:jc w:val="left"/>
        <w:rPr>
          <w:rFonts w:ascii="宋体" w:hAnsi="宋体" w:cs="宋体" w:eastAsia="宋体" w:hint="default"/>
          <w:sz w:val="24"/>
          <w:szCs w:val="24"/>
        </w:rPr>
      </w:pPr>
      <w:r>
        <w:rPr>
          <w:rFonts w:ascii="Times New Roman" w:hAnsi="Times New Roman" w:cs="Times New Roman" w:eastAsia="Times New Roman" w:hint="default"/>
          <w:b/>
          <w:bCs/>
          <w:sz w:val="18"/>
          <w:szCs w:val="18"/>
        </w:rPr>
        <w:t>3</w:t>
      </w:r>
      <w:r>
        <w:rPr>
          <w:rFonts w:ascii="宋体" w:hAnsi="宋体" w:cs="宋体" w:eastAsia="宋体" w:hint="default"/>
          <w:b/>
          <w:bCs/>
          <w:sz w:val="20"/>
          <w:szCs w:val="20"/>
        </w:rPr>
        <w:t>、销售退回</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本公司本期没有重要的销售退回情况。</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4"/>
          <w:szCs w:val="24"/>
        </w:rPr>
        <w:t>十六、其他重要事项</w:t>
      </w:r>
      <w:r>
        <w:rPr>
          <w:rFonts w:ascii="宋体" w:hAnsi="宋体" w:cs="宋体" w:eastAsia="宋体" w:hint="default"/>
          <w:sz w:val="24"/>
          <w:szCs w:val="24"/>
        </w:rPr>
      </w:r>
    </w:p>
    <w:p>
      <w:pPr>
        <w:pStyle w:val="Heading4"/>
        <w:spacing w:line="240" w:lineRule="auto" w:before="49"/>
        <w:ind w:right="0"/>
        <w:jc w:val="left"/>
        <w:rPr>
          <w:b w:val="0"/>
          <w:bCs w:val="0"/>
        </w:rPr>
      </w:pPr>
      <w:r>
        <w:rPr>
          <w:rFonts w:ascii="Times New Roman" w:hAnsi="Times New Roman" w:cs="Times New Roman" w:eastAsia="Times New Roman" w:hint="default"/>
          <w:sz w:val="18"/>
          <w:szCs w:val="18"/>
        </w:rPr>
        <w:t>1</w:t>
      </w:r>
      <w:r>
        <w:rPr/>
        <w:t>、前期会计差错更正</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pPr>
      <w:r>
        <w:rPr/>
        <w:t>本公司本期未发生该事项</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spacing w:line="537" w:lineRule="auto" w:before="37"/>
        <w:ind w:left="152" w:right="6774" w:firstLine="0"/>
        <w:jc w:val="left"/>
        <w:rPr>
          <w:rFonts w:ascii="宋体" w:hAnsi="宋体" w:cs="宋体" w:eastAsia="宋体" w:hint="default"/>
          <w:sz w:val="21"/>
          <w:szCs w:val="21"/>
        </w:rPr>
      </w:pPr>
      <w:r>
        <w:rPr>
          <w:rFonts w:ascii="Times New Roman" w:hAnsi="Times New Roman" w:cs="Times New Roman" w:eastAsia="Times New Roman" w:hint="default"/>
          <w:b/>
          <w:bCs/>
          <w:sz w:val="18"/>
          <w:szCs w:val="18"/>
        </w:rPr>
        <w:t>2</w:t>
      </w:r>
      <w:r>
        <w:rPr>
          <w:rFonts w:ascii="宋体" w:hAnsi="宋体" w:cs="宋体" w:eastAsia="宋体" w:hint="default"/>
          <w:b/>
          <w:bCs/>
          <w:sz w:val="20"/>
          <w:szCs w:val="20"/>
        </w:rPr>
        <w:t>、债务重组</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本公司本期未发生该事项。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b/>
          <w:bCs/>
          <w:sz w:val="18"/>
          <w:szCs w:val="18"/>
        </w:rPr>
        <w:t>3</w:t>
      </w:r>
      <w:r>
        <w:rPr>
          <w:rFonts w:ascii="宋体" w:hAnsi="宋体" w:cs="宋体" w:eastAsia="宋体" w:hint="default"/>
          <w:b/>
          <w:bCs/>
          <w:sz w:val="20"/>
          <w:szCs w:val="20"/>
        </w:rPr>
        <w:t>、资产置换</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本公司本期未发生该事项。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b/>
          <w:bCs/>
          <w:sz w:val="18"/>
          <w:szCs w:val="18"/>
        </w:rPr>
        <w:t>4</w:t>
      </w:r>
      <w:r>
        <w:rPr>
          <w:rFonts w:ascii="宋体" w:hAnsi="宋体" w:cs="宋体" w:eastAsia="宋体" w:hint="default"/>
          <w:b/>
          <w:bCs/>
          <w:sz w:val="20"/>
          <w:szCs w:val="20"/>
        </w:rPr>
        <w:t>、年金计划</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本公司本期未发生该事项。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b/>
          <w:bCs/>
          <w:sz w:val="18"/>
          <w:szCs w:val="18"/>
        </w:rPr>
        <w:t>5</w:t>
      </w:r>
      <w:r>
        <w:rPr>
          <w:rFonts w:ascii="宋体" w:hAnsi="宋体" w:cs="宋体" w:eastAsia="宋体" w:hint="default"/>
          <w:b/>
          <w:bCs/>
          <w:sz w:val="20"/>
          <w:szCs w:val="20"/>
        </w:rPr>
        <w:t>、终止经营</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本公司本期未发生该事项。</w:t>
      </w:r>
    </w:p>
    <w:p>
      <w:pPr>
        <w:pStyle w:val="Heading4"/>
        <w:spacing w:line="240" w:lineRule="auto" w:before="163"/>
        <w:ind w:right="0"/>
        <w:jc w:val="left"/>
        <w:rPr>
          <w:b w:val="0"/>
          <w:bCs w:val="0"/>
        </w:rPr>
      </w:pPr>
      <w:r>
        <w:rPr>
          <w:rFonts w:ascii="Times New Roman" w:hAnsi="Times New Roman" w:cs="Times New Roman" w:eastAsia="Times New Roman" w:hint="default"/>
          <w:sz w:val="18"/>
          <w:szCs w:val="18"/>
        </w:rPr>
        <w:t>6</w:t>
      </w:r>
      <w:r>
        <w:rPr/>
        <w:t>、分部信息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3"/>
        <w:spacing w:line="400" w:lineRule="auto"/>
        <w:ind w:right="0" w:firstLine="420"/>
        <w:jc w:val="left"/>
      </w:pPr>
      <w:r>
        <w:rPr>
          <w:spacing w:val="-2"/>
        </w:rPr>
        <w:t>根据本公司的内部组织结构、管理要求及内部报告制度确定了</w:t>
      </w:r>
      <w:r>
        <w:rPr>
          <w:rFonts w:ascii="Times New Roman" w:hAnsi="Times New Roman" w:cs="Times New Roman" w:eastAsia="Times New Roman" w:hint="default"/>
          <w:spacing w:val="-2"/>
        </w:rPr>
        <w:t>2</w:t>
      </w:r>
      <w:r>
        <w:rPr>
          <w:spacing w:val="-2"/>
        </w:rPr>
        <w:t>个报告分部，分别为：制造业和其他。</w:t>
      </w:r>
      <w:r>
        <w:rPr>
          <w:w w:val="100"/>
        </w:rPr>
        <w:t> </w:t>
      </w:r>
      <w:r>
        <w:rPr/>
        <w:t>本公司的各个报告分部分别提供不同的产品或服务，或在不同地区从事经营活动。由于每个分部需要不同</w:t>
      </w:r>
      <w:r>
        <w:rPr>
          <w:w w:val="100"/>
        </w:rPr>
        <w:t> </w:t>
      </w:r>
      <w:r>
        <w:rPr/>
        <w:t>的技术或市场策略，本公司管理层分别单独管理各个报告分部的经营活动，定期评价这些报告分部的经营</w:t>
      </w:r>
      <w:r>
        <w:rPr>
          <w:w w:val="100"/>
        </w:rPr>
        <w:t> </w:t>
      </w:r>
      <w:r>
        <w:rPr/>
        <w:t>成果，以决定向其分配资源及评价其业绩。</w:t>
      </w:r>
    </w:p>
    <w:p>
      <w:pPr>
        <w:pStyle w:val="Heading3"/>
        <w:spacing w:line="408" w:lineRule="auto" w:before="93"/>
        <w:ind w:right="206" w:firstLine="420"/>
        <w:jc w:val="both"/>
      </w:pPr>
      <w:r>
        <w:rPr>
          <w:spacing w:val="-2"/>
        </w:rPr>
        <w:t>分部间转移价格按照实际交易价格为基础确定，间接归属于各分部的费用按照一定比例在分部之间进</w:t>
      </w:r>
      <w:r>
        <w:rPr>
          <w:w w:val="100"/>
        </w:rPr>
        <w:t> </w:t>
      </w:r>
      <w:r>
        <w:rPr>
          <w:spacing w:val="-2"/>
        </w:rPr>
        <w:t>行分配。资产根据分部的经营以及资产的所在位置进行分配，分部负债包括分部经营活动形成的可归属于</w:t>
      </w:r>
      <w:r>
        <w:rPr>
          <w:spacing w:val="-43"/>
        </w:rPr>
        <w:t> </w:t>
      </w:r>
      <w:r>
        <w:rPr>
          <w:spacing w:val="-43"/>
        </w:rPr>
      </w:r>
      <w:r>
        <w:rPr>
          <w:spacing w:val="-2"/>
        </w:rPr>
        <w:t>该分部的负债。如果多个经营分部共同承担的负债相关的费用分配给这些经营分部，该共同承担的负债也</w:t>
      </w:r>
      <w:r>
        <w:rPr>
          <w:spacing w:val="-43"/>
        </w:rPr>
        <w:t> </w:t>
      </w:r>
      <w:r>
        <w:rPr>
          <w:spacing w:val="-43"/>
        </w:rPr>
      </w:r>
      <w:r>
        <w:rPr/>
        <w:t>分配给这些经营分部。</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2</w:t>
      </w:r>
      <w:r>
        <w:rPr/>
        <w:t>）报告分部的财务信息</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3"/>
        <w:ind w:left="0" w:right="21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2,407,517,312.25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2,876,079,693.52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-900,019,989.68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4,383,577,016.09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1,806,826,813.81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2,576,750,202.28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4,383,577,016.09</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600,690,498.44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299,329,491.24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-900,019,989.68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2,382,896,680.69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2,435,633,066.95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-902,177,088.34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3,916,352,659.30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705,408,065.58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62,173,170.40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510,951,235.98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854,272,873.31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531,462,950.66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-254,472,901.34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1,131,262,922.63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11,077,474,952.55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5,676,306,545.75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-4,062,561,485.14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12,691,220,013.16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2,611,726,701.80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1,019,722,715.42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-424,468,529.24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3,206,980,887.98</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7</w:t>
      </w:r>
      <w:r>
        <w:rPr/>
        <w:t>、其他对投资者决策有影响的重要交易和事项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73" w:right="0"/>
        <w:jc w:val="left"/>
      </w:pPr>
      <w:r>
        <w:rPr/>
        <w:t>本公司本期未发生该事项。</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sz w:val="18"/>
          <w:szCs w:val="18"/>
        </w:rPr>
        <w:t>1</w:t>
      </w:r>
      <w:r>
        <w:rPr/>
        <w:t>、应收账款</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1</w:t>
      </w:r>
      <w:r>
        <w:rPr/>
        <w:t>）应收账款分类披露</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559,167,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532.87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23,922,4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535,245,1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598,843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,956.22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22,941,30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575,902,64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8.68</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559,167,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532.87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23,922,4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32.61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4.28%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535,245,1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00.26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598,843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,956.22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22,941,30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7.54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3.83%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575,902,64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Heading3"/>
        <w:spacing w:line="441" w:lineRule="auto" w:before="36"/>
        <w:ind w:left="578" w:right="0"/>
        <w:jc w:val="left"/>
      </w:pPr>
      <w:r>
        <w:rPr>
          <w:spacing w:val="-2"/>
        </w:rPr>
        <w:t>期末没有单项金额重大并单项计提坏账准备的应收账款。</w:t>
      </w:r>
      <w:r>
        <w:rPr>
          <w:spacing w:val="-55"/>
        </w:rPr>
        <w:t> </w:t>
      </w:r>
      <w:r>
        <w:rPr>
          <w:spacing w:val="-55"/>
        </w:rPr>
      </w:r>
      <w:r>
        <w:rPr/>
        <w:t>组合中，按账龄分析法计提坏账准备的应收账款：</w:t>
      </w:r>
    </w:p>
    <w:p>
      <w:pPr>
        <w:pStyle w:val="BodyText"/>
        <w:spacing w:line="240" w:lineRule="auto" w:before="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83"/>
        <w:gridCol w:w="2306"/>
        <w:gridCol w:w="2391"/>
        <w:gridCol w:w="2391"/>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277,420,662.94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1,387,103.39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109,616,630.44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5,480,831.55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79,990,999.04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7,999,099.91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18,386,371.23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9,055,397.76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49.25%</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5,315,189.32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1,594,556.80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11,220,681.91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5,610,340.96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485,414,663.65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23,922,432.61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4.93%</w:t>
            </w:r>
          </w:p>
        </w:tc>
      </w:tr>
    </w:tbl>
    <w:p>
      <w:pPr>
        <w:spacing w:line="240" w:lineRule="auto" w:before="3"/>
        <w:rPr>
          <w:rFonts w:ascii="宋体" w:hAnsi="宋体" w:cs="宋体" w:eastAsia="宋体" w:hint="default"/>
          <w:sz w:val="5"/>
          <w:szCs w:val="5"/>
        </w:rPr>
      </w:pPr>
    </w:p>
    <w:p>
      <w:pPr>
        <w:pStyle w:val="Heading3"/>
        <w:spacing w:line="427" w:lineRule="auto" w:before="36"/>
        <w:ind w:left="638" w:right="1526"/>
        <w:jc w:val="left"/>
      </w:pPr>
      <w:r>
        <w:rPr/>
        <w:t>确定该组合依据的说明：详见本附注五、</w:t>
      </w:r>
      <w:r>
        <w:rPr>
          <w:rFonts w:ascii="Times New Roman" w:hAnsi="Times New Roman" w:cs="Times New Roman" w:eastAsia="Times New Roman" w:hint="default"/>
          <w:sz w:val="18"/>
          <w:szCs w:val="18"/>
        </w:rPr>
        <w:t>11</w:t>
      </w:r>
      <w:r>
        <w:rPr/>
        <w:t>。</w:t>
      </w:r>
      <w:r>
        <w:rPr>
          <w:w w:val="100"/>
        </w:rPr>
        <w:t> </w:t>
      </w:r>
      <w:r>
        <w:rPr>
          <w:spacing w:val="-2"/>
        </w:rPr>
        <w:t>组合中，采用其他方法计提坏账准备的应收账款：</w:t>
      </w:r>
    </w:p>
    <w:p>
      <w:pPr>
        <w:pStyle w:val="BodyText"/>
        <w:spacing w:line="240" w:lineRule="auto" w:before="17"/>
        <w:ind w:left="0" w:right="148"/>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282"/>
        <w:gridCol w:w="1963"/>
        <w:gridCol w:w="1844"/>
        <w:gridCol w:w="2552"/>
      </w:tblGrid>
      <w:tr>
        <w:trPr>
          <w:trHeight w:val="322" w:hRule="exact"/>
        </w:trPr>
        <w:tc>
          <w:tcPr>
            <w:tcW w:w="3282" w:type="dxa"/>
            <w:vMerge w:val="restart"/>
            <w:tcBorders>
              <w:top w:val="single" w:sz="4" w:space="0" w:color="000000"/>
              <w:left w:val="single" w:sz="4" w:space="0" w:color="000000"/>
              <w:right w:val="single" w:sz="4" w:space="0" w:color="000000"/>
            </w:tcBorders>
          </w:tcPr>
          <w:p>
            <w:pPr>
              <w:pStyle w:val="TableParagraph"/>
              <w:spacing w:line="240" w:lineRule="auto" w:before="10"/>
              <w:ind w:right="36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3282" w:type="dxa"/>
            <w:vMerge/>
            <w:tcBorders>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73,752,869.22</w:t>
            </w:r>
          </w:p>
        </w:tc>
        <w:tc>
          <w:tcPr>
            <w:tcW w:w="1844"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73,752,869.22</w:t>
            </w:r>
          </w:p>
        </w:tc>
        <w:tc>
          <w:tcPr>
            <w:tcW w:w="1844"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t>（</w:t>
      </w:r>
      <w:r>
        <w:rPr>
          <w:rFonts w:ascii="Times New Roman" w:hAnsi="Times New Roman" w:cs="Times New Roman" w:eastAsia="Times New Roman" w:hint="default"/>
          <w:sz w:val="18"/>
          <w:szCs w:val="18"/>
        </w:rPr>
        <w:t>2</w:t>
      </w:r>
      <w:r>
        <w:rPr/>
        <w:t>）本期计提、收回或转回的坏账准备情况</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424" w:right="0"/>
        <w:jc w:val="left"/>
      </w:pPr>
      <w:r>
        <w:rPr/>
        <w:t>本期计提坏账准备金额</w:t>
      </w:r>
      <w:r>
        <w:rPr>
          <w:spacing w:val="-55"/>
        </w:rPr>
        <w:t> </w:t>
      </w:r>
      <w:r>
        <w:rPr>
          <w:rFonts w:ascii="Times New Roman" w:hAnsi="Times New Roman" w:cs="Times New Roman" w:eastAsia="Times New Roman" w:hint="default"/>
        </w:rPr>
        <w:t>981,125.07</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r>
    </w:p>
    <w:p>
      <w:pPr>
        <w:spacing w:line="240" w:lineRule="auto" w:before="1"/>
        <w:rPr>
          <w:rFonts w:ascii="宋体" w:hAnsi="宋体" w:cs="宋体" w:eastAsia="宋体" w:hint="default"/>
          <w:sz w:val="25"/>
          <w:szCs w:val="25"/>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3</w:t>
      </w:r>
      <w:r>
        <w:rPr/>
        <w:t>）本期实际核销的应收账款情况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27" w:right="0"/>
        <w:jc w:val="left"/>
      </w:pPr>
      <w:r>
        <w:rPr/>
        <w:t>本期未发生实际核销的应收账款情况。</w:t>
      </w:r>
    </w:p>
    <w:p>
      <w:pPr>
        <w:spacing w:line="240" w:lineRule="auto" w:before="0"/>
        <w:rPr>
          <w:rFonts w:ascii="宋体" w:hAnsi="宋体" w:cs="宋体" w:eastAsia="宋体" w:hint="default"/>
          <w:sz w:val="20"/>
          <w:szCs w:val="20"/>
        </w:rPr>
      </w:pPr>
    </w:p>
    <w:p>
      <w:pPr>
        <w:pStyle w:val="Heading4"/>
        <w:spacing w:line="240" w:lineRule="auto" w:before="159"/>
        <w:ind w:left="212" w:right="0"/>
        <w:jc w:val="left"/>
        <w:rPr>
          <w:b w:val="0"/>
          <w:bCs w:val="0"/>
        </w:rPr>
      </w:pPr>
      <w:r>
        <w:rPr/>
        <w:t>（</w:t>
      </w:r>
      <w:r>
        <w:rPr>
          <w:rFonts w:ascii="Times New Roman" w:hAnsi="Times New Roman" w:cs="Times New Roman" w:eastAsia="Times New Roman" w:hint="default"/>
          <w:sz w:val="18"/>
          <w:szCs w:val="18"/>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3"/>
        <w:spacing w:line="386" w:lineRule="auto"/>
        <w:ind w:left="212" w:right="0" w:firstLine="420"/>
        <w:jc w:val="left"/>
      </w:pPr>
      <w:r>
        <w:rPr>
          <w:spacing w:val="-3"/>
        </w:rPr>
        <w:t>按欠款方集中度归集的期末余额前五名应收账款汇总金额</w:t>
      </w:r>
      <w:r>
        <w:rPr>
          <w:rFonts w:ascii="Times New Roman" w:hAnsi="Times New Roman" w:cs="Times New Roman" w:eastAsia="Times New Roman" w:hint="default"/>
          <w:spacing w:val="-3"/>
        </w:rPr>
        <w:t>259,689,915.35</w:t>
      </w:r>
      <w:r>
        <w:rPr>
          <w:spacing w:val="-3"/>
        </w:rPr>
        <w:t>元，占应收账款期末余额合计</w:t>
      </w:r>
      <w:r>
        <w:rPr>
          <w:w w:val="100"/>
        </w:rPr>
        <w:t> </w:t>
      </w:r>
      <w:r>
        <w:rPr/>
        <w:t>数的比例</w:t>
      </w:r>
      <w:r>
        <w:rPr>
          <w:rFonts w:ascii="Times New Roman" w:hAnsi="Times New Roman" w:cs="Times New Roman" w:eastAsia="Times New Roman" w:hint="default"/>
        </w:rPr>
        <w:t>46.44%</w:t>
      </w:r>
      <w:r>
        <w:rPr/>
        <w:t>，相应计提的坏账准备期末余额汇总</w:t>
      </w:r>
      <w:r>
        <w:rPr>
          <w:rFonts w:ascii="Times New Roman" w:hAnsi="Times New Roman" w:cs="Times New Roman" w:eastAsia="Times New Roman" w:hint="default"/>
        </w:rPr>
        <w:t>8,710,080.63</w:t>
      </w:r>
      <w:r>
        <w:rPr/>
        <w:t>元。</w:t>
      </w:r>
    </w:p>
    <w:p>
      <w:pPr>
        <w:spacing w:line="240" w:lineRule="auto" w:before="4"/>
        <w:rPr>
          <w:rFonts w:ascii="宋体" w:hAnsi="宋体" w:cs="宋体" w:eastAsia="宋体" w:hint="default"/>
          <w:sz w:val="20"/>
          <w:szCs w:val="20"/>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5</w:t>
      </w:r>
      <w:r>
        <w:rPr/>
        <w:t>）因金融资产转移而终止确认的应收账款</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633" w:right="0"/>
        <w:jc w:val="left"/>
      </w:pPr>
      <w:r>
        <w:rPr/>
        <w:t>本期没有因金融资产转移而终止确认的应收款项。</w:t>
      </w:r>
    </w:p>
    <w:p>
      <w:pPr>
        <w:spacing w:line="240" w:lineRule="auto" w:before="4"/>
        <w:rPr>
          <w:rFonts w:ascii="宋体" w:hAnsi="宋体" w:cs="宋体" w:eastAsia="宋体" w:hint="default"/>
          <w:sz w:val="26"/>
          <w:szCs w:val="26"/>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6</w:t>
      </w:r>
      <w:r>
        <w:rPr/>
        <w:t>）转移应收账款且继续涉入形成的资产、负债金额</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633" w:right="0"/>
        <w:jc w:val="left"/>
      </w:pPr>
      <w:r>
        <w:rPr/>
        <w:t>本期没有转移应收账款且继续涉入形成的资产、负债。</w:t>
      </w:r>
    </w:p>
    <w:p>
      <w:pPr>
        <w:spacing w:line="240" w:lineRule="auto" w:before="1"/>
        <w:rPr>
          <w:rFonts w:ascii="宋体" w:hAnsi="宋体" w:cs="宋体" w:eastAsia="宋体" w:hint="default"/>
          <w:sz w:val="26"/>
          <w:szCs w:val="26"/>
        </w:rPr>
      </w:pPr>
    </w:p>
    <w:p>
      <w:pPr>
        <w:pStyle w:val="Heading4"/>
        <w:spacing w:line="240" w:lineRule="auto"/>
        <w:ind w:left="212" w:right="0"/>
        <w:jc w:val="left"/>
        <w:rPr>
          <w:b w:val="0"/>
          <w:bCs w:val="0"/>
        </w:rPr>
      </w:pPr>
      <w:r>
        <w:rPr>
          <w:rFonts w:ascii="Times New Roman" w:hAnsi="Times New Roman" w:cs="Times New Roman" w:eastAsia="Times New Roman" w:hint="default"/>
          <w:sz w:val="18"/>
          <w:szCs w:val="18"/>
        </w:rPr>
        <w:t>2</w:t>
      </w:r>
      <w:r>
        <w:rPr/>
        <w:t>、其他应收款</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left="212" w:right="0"/>
        <w:jc w:val="left"/>
        <w:rPr>
          <w:b w:val="0"/>
          <w:bCs w:val="0"/>
        </w:rPr>
      </w:pPr>
      <w:r>
        <w:rPr/>
        <w:t>（</w:t>
      </w:r>
      <w:r>
        <w:rPr>
          <w:rFonts w:ascii="Times New Roman" w:hAnsi="Times New Roman" w:cs="Times New Roman" w:eastAsia="Times New Roman" w:hint="default"/>
          <w:sz w:val="18"/>
          <w:szCs w:val="18"/>
        </w:rPr>
        <w:t>1</w:t>
      </w:r>
      <w:r>
        <w:rPr/>
        <w:t>）其他应收款分类披露</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after="0" w:line="240" w:lineRule="auto"/>
        <w:jc w:val="right"/>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103,186,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122.80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2,301,88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100,884,2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163,224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,531.76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1,181,884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162,042,64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7.70</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103,186,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122.80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2,301,88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2.75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2.23%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100,884,2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40.05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163,224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,531.76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1,181,884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162,042,64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7.70</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Heading3"/>
        <w:spacing w:line="441" w:lineRule="auto" w:before="36"/>
        <w:ind w:left="578" w:right="0"/>
        <w:jc w:val="left"/>
      </w:pPr>
      <w:r>
        <w:rPr>
          <w:spacing w:val="-2"/>
        </w:rPr>
        <w:t>期末没有单项金额重大并单项计提坏账准备的其他应收款。</w:t>
      </w:r>
      <w:r>
        <w:rPr>
          <w:spacing w:val="-55"/>
        </w:rPr>
        <w:t> </w:t>
      </w:r>
      <w:r>
        <w:rPr>
          <w:spacing w:val="-55"/>
        </w:rPr>
      </w:r>
      <w:r>
        <w:rPr/>
        <w:t>组合中，按账龄分析法计提坏账准备的其他应收款：</w:t>
      </w:r>
    </w:p>
    <w:p>
      <w:pPr>
        <w:pStyle w:val="BodyText"/>
        <w:spacing w:line="240" w:lineRule="auto" w:before="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15,222,807.85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3,690,316.40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184,515.82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9,647,152.44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964,715.24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3,519,868.25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1,076,537.65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30.58%</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3,479,482.40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1,043,844.72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7,692.93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32,080,144.94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2,301,882.75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w:t>
            </w:r>
          </w:p>
        </w:tc>
      </w:tr>
    </w:tbl>
    <w:p>
      <w:pPr>
        <w:spacing w:line="240" w:lineRule="auto" w:before="3"/>
        <w:rPr>
          <w:rFonts w:ascii="宋体" w:hAnsi="宋体" w:cs="宋体" w:eastAsia="宋体" w:hint="default"/>
          <w:sz w:val="5"/>
          <w:szCs w:val="5"/>
        </w:rPr>
      </w:pPr>
    </w:p>
    <w:p>
      <w:pPr>
        <w:pStyle w:val="Heading3"/>
        <w:spacing w:line="429" w:lineRule="auto" w:before="36"/>
        <w:ind w:left="578" w:right="1674"/>
        <w:jc w:val="left"/>
      </w:pPr>
      <w:r>
        <w:rPr/>
        <w:t>确定该组合依据的说明：详见本附注五、</w:t>
      </w:r>
      <w:r>
        <w:rPr>
          <w:rFonts w:ascii="Times New Roman" w:hAnsi="Times New Roman" w:cs="Times New Roman" w:eastAsia="Times New Roman" w:hint="default"/>
          <w:sz w:val="18"/>
          <w:szCs w:val="18"/>
        </w:rPr>
        <w:t>11</w:t>
      </w:r>
      <w:r>
        <w:rPr/>
        <w:t>。</w:t>
      </w:r>
      <w:r>
        <w:rPr>
          <w:w w:val="100"/>
        </w:rPr>
        <w:t> </w:t>
      </w:r>
      <w:r>
        <w:rPr>
          <w:spacing w:val="-2"/>
        </w:rPr>
        <w:t>组合中，采用其他方法计提坏账准备的其他应收款：</w:t>
      </w:r>
    </w:p>
    <w:p>
      <w:pPr>
        <w:pStyle w:val="BodyText"/>
        <w:spacing w:line="240" w:lineRule="auto" w:before="12"/>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63"/>
        <w:gridCol w:w="1983"/>
        <w:gridCol w:w="1843"/>
        <w:gridCol w:w="2413"/>
      </w:tblGrid>
      <w:tr>
        <w:trPr>
          <w:trHeight w:val="348"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2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3263" w:type="dxa"/>
            <w:vMerge/>
            <w:tcBorders>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71,105,977.86</w:t>
            </w:r>
          </w:p>
        </w:tc>
        <w:tc>
          <w:tcPr>
            <w:tcW w:w="1843"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71,105,977.86</w:t>
            </w:r>
          </w:p>
        </w:tc>
        <w:tc>
          <w:tcPr>
            <w:tcW w:w="1843"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）本期计提、收回或转回的坏账准备情况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pPr>
      <w:r>
        <w:rPr/>
        <w:t>本期计提坏账准备金额</w:t>
      </w:r>
      <w:r>
        <w:rPr>
          <w:spacing w:val="-54"/>
        </w:rPr>
        <w:t> </w:t>
      </w:r>
      <w:r>
        <w:rPr>
          <w:rFonts w:ascii="Times New Roman" w:hAnsi="Times New Roman" w:cs="Times New Roman" w:eastAsia="Times New Roman" w:hint="default"/>
        </w:rPr>
        <w:t>1,119,998.69</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3</w:t>
      </w:r>
      <w:r>
        <w:rPr/>
        <w:t>）本期实际核销的其他应收款情况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right="0"/>
        <w:jc w:val="left"/>
      </w:pPr>
      <w:r>
        <w:rPr/>
        <w:t>本报告期没有实际核销的其他应收款。</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4</w:t>
      </w:r>
      <w:r>
        <w:rPr/>
        <w:t>）其他应收款按款项性质分类情况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18,995,706.68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20,486,582.76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77,407,910.43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133,721,000.01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6,782,505.69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9,016,948.99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103,186,122.80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163,224,531.76</w:t>
            </w: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合并关联方一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69,177,365.36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一年至三年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67.04%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2,730,655.13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13,653.28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合并关联方二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1,928,612.50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82,666,632.99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1,576,653.28</w:t>
            </w:r>
          </w:p>
        </w:tc>
      </w:tr>
    </w:tbl>
    <w:p>
      <w:pPr>
        <w:spacing w:line="240" w:lineRule="auto" w:before="9"/>
        <w:rPr>
          <w:rFonts w:ascii="宋体" w:hAnsi="宋体" w:cs="宋体" w:eastAsia="宋体" w:hint="default"/>
          <w:sz w:val="19"/>
          <w:szCs w:val="19"/>
        </w:rPr>
      </w:pPr>
    </w:p>
    <w:p>
      <w:pPr>
        <w:pStyle w:val="Heading4"/>
        <w:spacing w:line="240" w:lineRule="auto" w:before="37"/>
        <w:ind w:right="0"/>
        <w:jc w:val="left"/>
        <w:rPr>
          <w:b w:val="0"/>
          <w:bCs w:val="0"/>
        </w:rPr>
      </w:pPr>
      <w:r>
        <w:rPr>
          <w:sz w:val="18"/>
          <w:szCs w:val="18"/>
        </w:rPr>
        <w:t>（</w:t>
      </w:r>
      <w:r>
        <w:rPr>
          <w:rFonts w:ascii="Times New Roman" w:hAnsi="Times New Roman" w:cs="Times New Roman" w:eastAsia="Times New Roman" w:hint="default"/>
          <w:sz w:val="18"/>
          <w:szCs w:val="18"/>
        </w:rPr>
        <w:t>6</w:t>
      </w:r>
      <w:r>
        <w:rPr/>
        <w:t>）涉及政府补助的应收款项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right="0"/>
        <w:jc w:val="left"/>
      </w:pPr>
      <w:r>
        <w:rPr/>
        <w:t>期末无涉及政府补助的应收款项。</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7</w:t>
      </w:r>
      <w:r>
        <w:rPr/>
        <w:t>）因金融资产转移而终止确认的其他应收款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pPr>
      <w:r>
        <w:rPr/>
        <w:t>本期没有因金融资产转移而终止确认的应收款项。</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sz w:val="18"/>
          <w:szCs w:val="18"/>
        </w:rPr>
        <w:t>8</w:t>
      </w:r>
      <w:r>
        <w:rPr/>
        <w:t>）转移其他应收款且继续涉入形成的资产、负债金额</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pPr>
      <w:r>
        <w:rPr/>
        <w:t>本期没有转移其他应收款且继续涉入形成的资产、负债。</w:t>
      </w:r>
    </w:p>
    <w:p>
      <w:pPr>
        <w:spacing w:after="0" w:line="240" w:lineRule="auto"/>
        <w:jc w:val="left"/>
        <w:sectPr>
          <w:pgSz w:w="11910" w:h="16840"/>
          <w:pgMar w:header="880" w:footer="979" w:top="1100" w:bottom="1160" w:left="980" w:right="980"/>
        </w:sectPr>
      </w:pPr>
    </w:p>
    <w:p>
      <w:pPr>
        <w:spacing w:line="240" w:lineRule="auto" w:before="4"/>
        <w:rPr>
          <w:rFonts w:ascii="宋体" w:hAnsi="宋体" w:cs="宋体" w:eastAsia="宋体" w:hint="default"/>
          <w:sz w:val="21"/>
          <w:szCs w:val="21"/>
        </w:rPr>
      </w:pPr>
    </w:p>
    <w:p>
      <w:pPr>
        <w:pStyle w:val="Heading4"/>
        <w:spacing w:line="240" w:lineRule="auto" w:before="37"/>
        <w:ind w:right="0"/>
        <w:jc w:val="left"/>
        <w:rPr>
          <w:b w:val="0"/>
          <w:bCs w:val="0"/>
        </w:rPr>
      </w:pPr>
      <w:r>
        <w:rPr>
          <w:rFonts w:ascii="Times New Roman" w:hAnsi="Times New Roman" w:cs="Times New Roman" w:eastAsia="Times New Roman" w:hint="default"/>
          <w:sz w:val="18"/>
          <w:szCs w:val="18"/>
        </w:rPr>
        <w:t>3</w:t>
      </w:r>
      <w:r>
        <w:rPr/>
        <w:t>、长期股权投资</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5"/>
        <w:gridCol w:w="1418"/>
        <w:gridCol w:w="1133"/>
        <w:gridCol w:w="1419"/>
        <w:gridCol w:w="1418"/>
        <w:gridCol w:w="973"/>
        <w:gridCol w:w="1368"/>
      </w:tblGrid>
      <w:tr>
        <w:trPr>
          <w:trHeight w:val="206"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9" w:type="dxa"/>
            <w:gridSpan w:val="3"/>
            <w:vMerge/>
            <w:tcBorders>
              <w:left w:val="single" w:sz="4" w:space="0" w:color="000000"/>
              <w:bottom w:val="single" w:sz="4" w:space="0" w:color="000000"/>
              <w:right w:val="single" w:sz="4" w:space="0" w:color="000000"/>
            </w:tcBorders>
            <w:shd w:val="clear" w:color="auto" w:fill="D2D2D2"/>
          </w:tcPr>
          <w:p>
            <w:pPr/>
          </w:p>
        </w:tc>
        <w:tc>
          <w:tcPr>
            <w:tcW w:w="375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45"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3,756,590,770.48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3,756,590,770.48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3,596,590,770.48</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3,596,590,770.48</w:t>
            </w: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619,606,605.43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619,606,605.43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63,708,632.43</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63,708,632.43</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4,376,197,375.91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4,376,197,375.91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3,660,299,402.91</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3,660,299,402.91</w:t>
            </w:r>
          </w:p>
        </w:tc>
      </w:tr>
    </w:tbl>
    <w:p>
      <w:pPr>
        <w:spacing w:line="240" w:lineRule="auto" w:before="9"/>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1</w:t>
      </w:r>
      <w:r>
        <w:rPr/>
        <w:t>）对子公司投资</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560"/>
        <w:gridCol w:w="1277"/>
        <w:gridCol w:w="566"/>
        <w:gridCol w:w="1419"/>
        <w:gridCol w:w="850"/>
        <w:gridCol w:w="919"/>
      </w:tblGrid>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93"/>
              <w:jc w:val="left"/>
              <w:rPr>
                <w:rFonts w:ascii="Times New Roman" w:hAnsi="Times New Roman" w:cs="Times New Roman" w:eastAsia="Times New Roman" w:hint="default"/>
                <w:sz w:val="18"/>
                <w:szCs w:val="18"/>
              </w:rPr>
            </w:pPr>
            <w:r>
              <w:rPr>
                <w:rFonts w:ascii="Times New Roman"/>
                <w:sz w:val="18"/>
              </w:rPr>
              <w:t>GRG Banking</w:t>
            </w:r>
            <w:r>
              <w:rPr>
                <w:rFonts w:ascii="Times New Roman"/>
                <w:spacing w:val="-7"/>
                <w:sz w:val="18"/>
              </w:rPr>
              <w:t> </w:t>
            </w:r>
            <w:r>
              <w:rPr>
                <w:rFonts w:ascii="Times New Roman"/>
                <w:sz w:val="18"/>
              </w:rPr>
              <w:t>Equipment(HK)</w:t>
            </w:r>
            <w:r>
              <w:rPr>
                <w:rFonts w:ascii="Times New Roman"/>
                <w:w w:val="99"/>
                <w:sz w:val="18"/>
              </w:rPr>
              <w:t> </w:t>
            </w:r>
            <w:r>
              <w:rPr>
                <w:rFonts w:ascii="Times New Roman"/>
                <w:sz w:val="18"/>
              </w:rPr>
              <w:t>Co.,Limited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86,044,540.00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86,044,540.00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150,971,193.64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150,971,193.64</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2,741,044,424.84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2,821,044,424.84</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深圳创自技术有限公司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166,530,612.00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166,530,612.00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3,596,590,770.48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3,756,590,770.48</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0"/>
        <w:jc w:val="left"/>
        <w:rPr>
          <w:b w:val="0"/>
          <w:bCs w:val="0"/>
        </w:rPr>
      </w:pPr>
      <w:r>
        <w:rPr/>
        <w:t>（</w:t>
      </w:r>
      <w:r>
        <w:rPr>
          <w:rFonts w:ascii="Times New Roman" w:hAnsi="Times New Roman" w:cs="Times New Roman" w:eastAsia="Times New Roman" w:hint="default"/>
          <w:sz w:val="18"/>
          <w:szCs w:val="18"/>
        </w:rPr>
        <w:t>2</w:t>
      </w:r>
      <w:r>
        <w:rPr/>
        <w:t>）对联营、合营企业投资</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708"/>
        <w:gridCol w:w="1136"/>
        <w:gridCol w:w="566"/>
        <w:gridCol w:w="850"/>
        <w:gridCol w:w="852"/>
        <w:gridCol w:w="566"/>
        <w:gridCol w:w="850"/>
        <w:gridCol w:w="566"/>
        <w:gridCol w:w="711"/>
        <w:gridCol w:w="850"/>
        <w:gridCol w:w="499"/>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4"/>
              <w:ind w:left="170" w:right="167"/>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0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59" w:right="60"/>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2" w:right="123"/>
              <w:jc w:val="left"/>
              <w:rPr>
                <w:rFonts w:ascii="宋体" w:hAnsi="宋体" w:cs="宋体" w:eastAsia="宋体" w:hint="default"/>
                <w:sz w:val="18"/>
                <w:szCs w:val="18"/>
              </w:rPr>
            </w:pPr>
            <w:r>
              <w:rPr>
                <w:rFonts w:ascii="宋体" w:hAnsi="宋体" w:cs="宋体" w:eastAsia="宋体" w:hint="default"/>
                <w:sz w:val="18"/>
                <w:szCs w:val="18"/>
              </w:rPr>
              <w:t>广州市广百小额 贷款有限公司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62,372,8</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76.52</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1,723,274.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1,366,794.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62,729,35</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6.53</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1419"/>
        <w:gridCol w:w="708"/>
        <w:gridCol w:w="1136"/>
        <w:gridCol w:w="566"/>
        <w:gridCol w:w="850"/>
        <w:gridCol w:w="852"/>
        <w:gridCol w:w="566"/>
        <w:gridCol w:w="850"/>
        <w:gridCol w:w="566"/>
        <w:gridCol w:w="711"/>
        <w:gridCol w:w="850"/>
        <w:gridCol w:w="499"/>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广州市力沛企业 管理咨询有限公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1,335,75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5.91</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783,768.3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802,166.6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3"/>
              <w:jc w:val="left"/>
              <w:rPr>
                <w:rFonts w:ascii="宋体" w:hAnsi="宋体" w:cs="宋体" w:eastAsia="宋体" w:hint="default"/>
                <w:sz w:val="18"/>
                <w:szCs w:val="18"/>
              </w:rPr>
            </w:pPr>
            <w:r>
              <w:rPr>
                <w:rFonts w:ascii="宋体" w:hAnsi="宋体" w:cs="宋体" w:eastAsia="宋体" w:hint="default"/>
                <w:sz w:val="18"/>
                <w:szCs w:val="18"/>
              </w:rPr>
              <w:t>重庆中余锦通科 技有限公司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-18,871.02</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1,181,128.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广东美电贝尔科 技集团股份有限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64,028,891.48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6,298,988.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70,327,87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9.95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3"/>
              <w:jc w:val="left"/>
              <w:rPr>
                <w:rFonts w:ascii="宋体" w:hAnsi="宋体" w:cs="宋体" w:eastAsia="宋体" w:hint="default"/>
                <w:sz w:val="18"/>
                <w:szCs w:val="18"/>
              </w:rPr>
            </w:pPr>
            <w:r>
              <w:rPr>
                <w:rFonts w:ascii="宋体" w:hAnsi="宋体" w:cs="宋体" w:eastAsia="宋体" w:hint="default"/>
                <w:sz w:val="18"/>
                <w:szCs w:val="18"/>
              </w:rPr>
              <w:t>广州广电计量检 测股份有限公司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12,066,07</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3.37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262,500,0</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63" w:right="0"/>
              <w:jc w:val="center"/>
              <w:rPr>
                <w:rFonts w:ascii="Times New Roman" w:hAnsi="Times New Roman" w:cs="Times New Roman" w:eastAsia="Times New Roman" w:hint="default"/>
                <w:sz w:val="18"/>
                <w:szCs w:val="18"/>
              </w:rPr>
            </w:pPr>
            <w:r>
              <w:rPr>
                <w:rFonts w:ascii="Times New Roman"/>
                <w:sz w:val="18"/>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484,566,0</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73.37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63,708,6</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32.43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65,228,891.48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20,319,64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262,500,0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2,150,563.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619,606,6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05.43</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4</w:t>
      </w:r>
      <w:r>
        <w:rPr/>
        <w:t>、营业收入和营业成本</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2,159,432,615.55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1,309,587,282.48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2,954,424,147.27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1,593,517,008.88</w:t>
            </w: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2,159,432,615.55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1,309,587,282.48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2,954,424,147.27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1,593,517,008.88</w:t>
            </w:r>
          </w:p>
        </w:tc>
      </w:tr>
    </w:tbl>
    <w:p>
      <w:pPr>
        <w:spacing w:line="240" w:lineRule="auto" w:before="8"/>
        <w:rPr>
          <w:rFonts w:ascii="宋体" w:hAnsi="宋体" w:cs="宋体" w:eastAsia="宋体" w:hint="default"/>
          <w:sz w:val="19"/>
          <w:szCs w:val="19"/>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5</w:t>
      </w:r>
      <w:r>
        <w:rPr/>
        <w:t>、投资收益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313"/>
        <w:gridCol w:w="3060"/>
        <w:gridCol w:w="3185"/>
      </w:tblGrid>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256,630,000.00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158,950,000.00</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20,319,644.69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2,389,514.63</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137,564,689.22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23,438,846.73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25,463,921.63</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704,953,180.64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186,803,436.26</w:t>
            </w:r>
          </w:p>
        </w:tc>
      </w:tr>
    </w:tbl>
    <w:p>
      <w:pPr>
        <w:spacing w:line="240" w:lineRule="auto" w:before="1"/>
        <w:rPr>
          <w:rFonts w:ascii="宋体" w:hAnsi="宋体" w:cs="宋体" w:eastAsia="宋体" w:hint="default"/>
          <w:sz w:val="18"/>
          <w:szCs w:val="18"/>
        </w:rPr>
      </w:pPr>
    </w:p>
    <w:p>
      <w:pPr>
        <w:pStyle w:val="Heading2"/>
        <w:spacing w:line="240" w:lineRule="auto" w:before="26"/>
        <w:ind w:left="212" w:right="0"/>
        <w:jc w:val="left"/>
        <w:rPr>
          <w:b w:val="0"/>
          <w:bCs w:val="0"/>
        </w:rPr>
      </w:pPr>
      <w:r>
        <w:rPr/>
        <w:t>十八、补充资料</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212" w:right="0"/>
        <w:jc w:val="left"/>
        <w:rPr>
          <w:b w:val="0"/>
          <w:bCs w:val="0"/>
        </w:rPr>
      </w:pPr>
      <w:r>
        <w:rPr>
          <w:rFonts w:ascii="Times New Roman" w:hAnsi="Times New Roman" w:cs="Times New Roman" w:eastAsia="Times New Roman" w:hint="default"/>
          <w:sz w:val="18"/>
          <w:szCs w:val="18"/>
        </w:rPr>
        <w:t>1</w:t>
      </w:r>
      <w:r>
        <w:rPr/>
        <w:t>、当期非经常性损益明细表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645"/>
        <w:gridCol w:w="2019"/>
        <w:gridCol w:w="2907"/>
      </w:tblGrid>
      <w:tr>
        <w:trPr>
          <w:trHeight w:val="40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0" w:right="0"/>
              <w:jc w:val="left"/>
              <w:rPr>
                <w:rFonts w:ascii="Times New Roman" w:hAnsi="Times New Roman" w:cs="Times New Roman" w:eastAsia="Times New Roman" w:hint="default"/>
                <w:sz w:val="18"/>
                <w:szCs w:val="18"/>
              </w:rPr>
            </w:pPr>
            <w:r>
              <w:rPr>
                <w:rFonts w:ascii="Times New Roman"/>
                <w:sz w:val="18"/>
              </w:rPr>
              <w:t>1,742,447.72</w:t>
            </w:r>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645"/>
        <w:gridCol w:w="2019"/>
        <w:gridCol w:w="2907"/>
      </w:tblGrid>
      <w:tr>
        <w:trPr>
          <w:trHeight w:val="71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家统一标准定额或定量享受的政府补助除外）</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102,228,372.64</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90,705,909.66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主要是银行理财收益。</w:t>
            </w:r>
          </w:p>
        </w:tc>
      </w:tr>
      <w:tr>
        <w:trPr>
          <w:trHeight w:val="164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交易性金融资产、交易性金融负债产生的公允价值变动损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益，以及处置交易性金融资产、交易性金融负债和可供出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售金融资产取得的投资收益</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404,564,689.22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5" w:right="43"/>
              <w:jc w:val="left"/>
              <w:rPr>
                <w:rFonts w:ascii="宋体" w:hAnsi="宋体" w:cs="宋体" w:eastAsia="宋体" w:hint="default"/>
                <w:sz w:val="18"/>
                <w:szCs w:val="18"/>
              </w:rPr>
            </w:pPr>
            <w:r>
              <w:rPr>
                <w:rFonts w:ascii="宋体" w:hAnsi="宋体" w:cs="宋体" w:eastAsia="宋体" w:hint="default"/>
                <w:sz w:val="18"/>
                <w:szCs w:val="18"/>
              </w:rPr>
              <w:t>投资的广电计量会计核算方法变 更取得的投资收益为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26,700 </w:t>
            </w:r>
            <w:r>
              <w:rPr>
                <w:rFonts w:ascii="宋体" w:hAnsi="宋体" w:cs="宋体" w:eastAsia="宋体" w:hint="default"/>
                <w:sz w:val="18"/>
                <w:szCs w:val="18"/>
              </w:rPr>
              <w:t>万元； 减持神州控股部分可供出售金融 资产取得的投资收益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13,756.47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-9,259,434.96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主要是存货报废损失。</w:t>
            </w:r>
          </w:p>
        </w:tc>
      </w:tr>
      <w:tr>
        <w:trPr>
          <w:trHeight w:val="40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89,481,299.30</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13,677,602.60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主要是投资收益增加影响。</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486,823,082.38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2"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left="212"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line="240" w:lineRule="auto" w:before="9"/>
        <w:rPr>
          <w:rFonts w:ascii="宋体" w:hAnsi="宋体" w:cs="宋体" w:eastAsia="宋体" w:hint="default"/>
          <w:sz w:val="4"/>
          <w:szCs w:val="4"/>
        </w:rPr>
      </w:pPr>
    </w:p>
    <w:tbl>
      <w:tblPr>
        <w:tblW w:w="0" w:type="auto"/>
        <w:jc w:val="left"/>
        <w:tblInd w:w="207" w:type="dxa"/>
        <w:tblLayout w:type="fixed"/>
        <w:tblCellMar>
          <w:top w:w="0" w:type="dxa"/>
          <w:left w:w="0" w:type="dxa"/>
          <w:bottom w:w="0" w:type="dxa"/>
          <w:right w:w="0" w:type="dxa"/>
        </w:tblCellMar>
        <w:tblLook w:val="01E0"/>
      </w:tblPr>
      <w:tblGrid>
        <w:gridCol w:w="2127"/>
        <w:gridCol w:w="1277"/>
        <w:gridCol w:w="6167"/>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涉及金额（元）</w:t>
            </w:r>
          </w:p>
        </w:tc>
        <w:tc>
          <w:tcPr>
            <w:tcW w:w="6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49,111,112.50</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文《关于软件产品增值税政策的通知》的规定，享 受软件产品增值税即征即退税收优惠。</w:t>
            </w:r>
          </w:p>
        </w:tc>
      </w:tr>
    </w:tbl>
    <w:p>
      <w:pPr>
        <w:spacing w:line="240" w:lineRule="auto" w:before="9"/>
        <w:rPr>
          <w:rFonts w:ascii="宋体" w:hAnsi="宋体" w:cs="宋体" w:eastAsia="宋体" w:hint="default"/>
          <w:sz w:val="19"/>
          <w:szCs w:val="19"/>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2</w:t>
      </w:r>
      <w:r>
        <w:rPr/>
        <w:t>、净资产收益率及每股收益</w:t>
      </w:r>
      <w:r>
        <w:rPr>
          <w:b w:val="0"/>
          <w:bCs w:val="0"/>
        </w:rPr>
      </w:r>
    </w:p>
    <w:p>
      <w:pPr>
        <w:spacing w:line="240" w:lineRule="auto" w:before="7"/>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4385"/>
        <w:gridCol w:w="1360"/>
        <w:gridCol w:w="1913"/>
        <w:gridCol w:w="1913"/>
      </w:tblGrid>
      <w:tr>
        <w:trPr>
          <w:trHeight w:val="206" w:hRule="exact"/>
        </w:trPr>
        <w:tc>
          <w:tcPr>
            <w:tcW w:w="4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09" w:right="39"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4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60"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385" w:type="dxa"/>
            <w:vMerge/>
            <w:tcBorders>
              <w:left w:val="single" w:sz="4" w:space="0" w:color="000000"/>
              <w:bottom w:val="nil" w:sz="6" w:space="0" w:color="auto"/>
              <w:right w:val="single" w:sz="4" w:space="0" w:color="000000"/>
            </w:tcBorders>
            <w:shd w:val="clear" w:color="auto" w:fill="D2D2D2"/>
          </w:tcPr>
          <w:p>
            <w:pPr/>
          </w:p>
        </w:tc>
        <w:tc>
          <w:tcPr>
            <w:tcW w:w="1360"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0" w:type="dxa"/>
            <w:tcBorders>
              <w:top w:val="single" w:sz="18" w:space="0" w:color="D2D2D2"/>
              <w:left w:val="single" w:sz="10" w:space="0" w:color="D2D2D2"/>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r>
      <w:tr>
        <w:trPr>
          <w:trHeight w:val="403"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spacing w:line="240" w:lineRule="auto" w:before="8"/>
        <w:rPr>
          <w:rFonts w:ascii="宋体" w:hAnsi="宋体" w:cs="宋体" w:eastAsia="宋体" w:hint="default"/>
          <w:b/>
          <w:bCs/>
          <w:sz w:val="19"/>
          <w:szCs w:val="19"/>
        </w:rPr>
      </w:pPr>
    </w:p>
    <w:p>
      <w:pPr>
        <w:pStyle w:val="Heading4"/>
        <w:spacing w:line="240" w:lineRule="auto" w:before="37"/>
        <w:ind w:left="212" w:right="0"/>
        <w:jc w:val="left"/>
        <w:rPr>
          <w:b w:val="0"/>
          <w:bCs w:val="0"/>
        </w:rPr>
      </w:pPr>
      <w:r>
        <w:rPr>
          <w:rFonts w:ascii="Times New Roman" w:hAnsi="Times New Roman" w:cs="Times New Roman" w:eastAsia="Times New Roman" w:hint="default"/>
          <w:sz w:val="18"/>
          <w:szCs w:val="18"/>
        </w:rPr>
        <w:t>3</w:t>
      </w:r>
      <w:r>
        <w:rPr/>
        <w:t>、境内外会计准则下会计数据差异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left="212" w:right="0"/>
        <w:jc w:val="left"/>
      </w:pPr>
      <w:r>
        <w:rPr/>
        <w:t>公司本期未发生此事项。</w:t>
      </w:r>
    </w:p>
    <w:p>
      <w:pPr>
        <w:spacing w:after="0" w:line="240" w:lineRule="auto"/>
        <w:jc w:val="left"/>
        <w:sectPr>
          <w:pgSz w:w="11910" w:h="16840"/>
          <w:pgMar w:header="880" w:footer="979" w:top="1100" w:bottom="1160" w:left="92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2" w:lineRule="auto" w:before="44"/>
        <w:ind w:left="515" w:right="141" w:hanging="3"/>
        <w:jc w:val="left"/>
      </w:pPr>
      <w:r>
        <w:rPr/>
        <w:t>一、载有董事长签名的</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 二、载有法定代表人、主管会计工作负责人、会计机构负责人签名并盖章的财务报表； 三、载有会计师事务所盖章、注册会计师签名并盖章的审计报告原件； 四、报告期内，公司在《证券时报》和巨潮资讯网</w:t>
      </w:r>
      <w:r>
        <w:rPr>
          <w:spacing w:val="-58"/>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2"/>
        </w:rPr>
        <w:t> </w:t>
      </w:r>
      <w:r>
        <w:rPr/>
        <w:t>上公开披露过的所有公司文件的正本及公告的原</w:t>
      </w:r>
    </w:p>
    <w:p>
      <w:pPr>
        <w:pStyle w:val="BodyText"/>
        <w:spacing w:line="205" w:lineRule="exact"/>
        <w:ind w:right="0"/>
        <w:jc w:val="left"/>
      </w:pPr>
      <w:r>
        <w:rPr/>
        <w:t>稿。</w:t>
      </w:r>
    </w:p>
    <w:p>
      <w:pPr>
        <w:pStyle w:val="BodyText"/>
        <w:spacing w:line="240" w:lineRule="auto" w:before="117"/>
        <w:ind w:left="515" w:right="0"/>
        <w:jc w:val="left"/>
      </w:pPr>
      <w:r>
        <w:rPr/>
        <w:t>上述文件的原件或具有法律效力的复印件同时备置于公司证券部、深交所备查。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516" w:lineRule="auto"/>
        <w:ind w:left="7541" w:right="405" w:hanging="900"/>
        <w:jc w:val="left"/>
      </w:pPr>
      <w:r>
        <w:rPr/>
        <w:t>广州广电运通金融电子股份有限公司 董事长：黄跃珍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29</w:t>
      </w:r>
      <w:r>
        <w:rPr/>
        <w:t>日</w:t>
      </w:r>
    </w:p>
    <w:sectPr>
      <w:pgSz w:w="11910" w:h="16840"/>
      <w:pgMar w:header="88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234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4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3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125</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234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234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4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6.125pt;width:484.25pt;height:12.6pt;mso-position-horizontal-relative:page;mso-position-vertical-relative:page;z-index:-12341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通智慧金融外包服务有限公司、黄石市金安押运护卫保安服务有限公司、保山安邦武装守护押运有限责任</w:t>
                </w:r>
              </w:p>
            </w:txbxContent>
          </v:textbox>
          <w10:wrap type="none"/>
        </v:shape>
      </w:pict>
    </w:r>
    <w:r>
      <w:rPr/>
      <w:pict>
        <v:shape style="position:absolute;margin-left:523.099976pt;margin-top:781.957947pt;width:17.7pt;height:11pt;mso-position-horizontal-relative:page;mso-position-vertical-relative:page;z-index:-1234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4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4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4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234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342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08.049988pt;margin-top:42.985607pt;width:231.75pt;height:11.5pt;mso-position-horizontal-relative:page;mso-position-vertical-relative:page;z-index:-1234264" type="#_x0000_t202" filled="false" stroked="false">
          <v:textbox inset="0,0,0,0">
            <w:txbxContent>
              <w:p>
                <w:pPr>
                  <w:pStyle w:val="BodyText"/>
                  <w:spacing w:line="214" w:lineRule="exact"/>
                  <w:ind w:left="20" w:right="0"/>
                  <w:jc w:val="left"/>
                </w:pPr>
                <w:r>
                  <w:rPr/>
                  <w:t>广州广电运通金融电子股份有限公司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1"/>
      <w:szCs w:val="21"/>
    </w:rPr>
  </w:style>
  <w:style w:styleId="Heading4" w:type="paragraph">
    <w:name w:val="Heading 4"/>
    <w:basedOn w:val="Normal"/>
    <w:uiPriority w:val="1"/>
    <w:qFormat/>
    <w:pPr>
      <w:ind w:left="152"/>
      <w:outlineLvl w:val="4"/>
    </w:pPr>
    <w:rPr>
      <w:rFonts w:ascii="宋体" w:hAnsi="宋体" w:eastAsia="宋体"/>
      <w:b/>
      <w:bCs/>
      <w:sz w:val="20"/>
      <w:szCs w:val="20"/>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grgbanking.com/" TargetMode="External"/><Relationship Id="rId9" Type="http://schemas.openxmlformats.org/officeDocument/2006/relationships/hyperlink" Target="mailto:securities@grgbanking.com" TargetMode="External"/><Relationship Id="rId10" Type="http://schemas.openxmlformats.org/officeDocument/2006/relationships/hyperlink" Target="http://www.cninfo.com.cn/" TargetMode="External"/><Relationship Id="rId11" Type="http://schemas.openxmlformats.org/officeDocument/2006/relationships/hyperlink" Target="http://www.cninfo.com.cn&#19978;&#30340;&#30456;&#20851;&#20844;&#21578;/" TargetMode="External"/><Relationship Id="rId12" Type="http://schemas.openxmlformats.org/officeDocument/2006/relationships/hyperlink" Target="http://disclosure.szse.cn/m/finalpage/2015-03-11/1200687927.PDF" TargetMode="External"/><Relationship Id="rId13" Type="http://schemas.openxmlformats.org/officeDocument/2006/relationships/hyperlink" Target="http://disclosure.szse.cn/m/finalpage/2015-03-11/1200687930.PDF" TargetMode="External"/><Relationship Id="rId14" Type="http://schemas.openxmlformats.org/officeDocument/2006/relationships/hyperlink" Target="http://disclosure.szse.cn/m/finalpage/2015-03-11/1200687931.PDF" TargetMode="External"/><Relationship Id="rId15" Type="http://schemas.openxmlformats.org/officeDocument/2006/relationships/hyperlink" Target="http://disclosure.szse.cn/m/finalpage/2015-03-11/1200687934.PDF" TargetMode="External"/><Relationship Id="rId16" Type="http://schemas.openxmlformats.org/officeDocument/2006/relationships/hyperlink" Target="http://disclosure.szse.cn/m/finalpage/2015-04-17/1200849145.PDF" TargetMode="External"/><Relationship Id="rId17" Type="http://schemas.openxmlformats.org/officeDocument/2006/relationships/hyperlink" Target="http://disclosure.szse.cn/m/finalpage/2015-08-03/1201383088.PDF" TargetMode="External"/><Relationship Id="rId18" Type="http://schemas.openxmlformats.org/officeDocument/2006/relationships/hyperlink" Target="http://disclosure.szse.cn/m/finalpage/2015-08-03/1201383091.PDF" TargetMode="External"/><Relationship Id="rId19" Type="http://schemas.openxmlformats.org/officeDocument/2006/relationships/hyperlink" Target="http://disclosure.szse.cn/m/finalpage/2015-10-10/1201674705.PDF" TargetMode="External"/><Relationship Id="rId20" Type="http://schemas.openxmlformats.org/officeDocument/2006/relationships/hyperlink" Target="http://disclosure.szse.cn/m/finalpage/2015-10-10/1201674709.PDF" TargetMode="External"/><Relationship Id="rId21" Type="http://schemas.openxmlformats.org/officeDocument/2006/relationships/hyperlink" Target="http://disclosure.szse.cn/m/finalpage/2015-10-10/1201674716.PDF" TargetMode="External"/><Relationship Id="rId22" Type="http://schemas.openxmlformats.org/officeDocument/2006/relationships/hyperlink" Target="http://disclosure.szse.cn/m/finalpage/2015-10-27/1201726851.PDF" TargetMode="External"/><Relationship Id="rId23" Type="http://schemas.openxmlformats.org/officeDocument/2006/relationships/hyperlink" Target="http://disclosure.szse.cn/m/finalpage/2016-01-04/1201882846.PDF" TargetMode="External"/><Relationship Id="rId24" Type="http://schemas.openxmlformats.org/officeDocument/2006/relationships/footer" Target="footer2.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footer" Target="footer8.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广州广电运通金融电子股份有限公司</dc:creator>
  <dc:title>广州广电运通金融电子股份有限公司2017年年度报告全文</dc:title>
  <dcterms:created xsi:type="dcterms:W3CDTF">2020-05-02T21:30:14Z</dcterms:created>
  <dcterms:modified xsi:type="dcterms:W3CDTF">2020-05-02T21:30:14Z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Office Word 2007</vt:lpwstr>
  </property>
  <property fmtid="{D5CDD505-2E9C-101B-9397-08002B2CF9AE}" pid="4" name="LastSaved">
    <vt:filetime>2020-05-02T00:00:00Z</vt:filetime>
  </property>
</Properties>
</file>